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9F" w:rsidRDefault="0076219F" w:rsidP="0076219F">
      <w:pPr>
        <w:pStyle w:val="a3"/>
        <w:rPr>
          <w:rFonts w:ascii="Verdana" w:hAnsi="Verdana"/>
          <w:color w:val="000000"/>
          <w:sz w:val="19"/>
          <w:szCs w:val="19"/>
          <w:shd w:val="clear" w:color="auto" w:fill="E8E8E6"/>
        </w:rPr>
      </w:pPr>
      <w:bookmarkStart w:id="0" w:name="3."/>
      <w:bookmarkStart w:id="1" w:name="_GoBack"/>
      <w:bookmarkEnd w:id="1"/>
      <w:r>
        <w:rPr>
          <w:rFonts w:ascii="Verdana" w:hAnsi="Verdana"/>
          <w:color w:val="000000"/>
          <w:sz w:val="19"/>
          <w:szCs w:val="19"/>
          <w:shd w:val="clear" w:color="auto" w:fill="E8E8E6"/>
        </w:rPr>
        <w:t>В соответствии с учебным планом (ФГОС ВПО 3-е поколение) по дисциплине "Теория учета и экономического анализа медиаорганизации" бакалавры заочной формы обучения в 5 семестре выполняют контрольную и курсовую работу.</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Целью контрольной работы является закрепление и углубление теоретических знаний по дисциплине, умения пользоваться учебной литературой, грамотное изложение вопроса по существу и по стилю.</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Контрольная работа предусматривает 10 вариантов, бакалавр выбирает номер варианта в соответствии с последней цифрой номера зачетной книжки.</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В ходе выполнения контрольной работы бакалавры должны при помощи рекомендуемой литературы изучить теоретические основы экономического анализа.</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Основная часть контрольной работы состоит из двух разделов: теоретического и практического. Теоретический раздел контрольной работы состоит из двух подразделов, каждый из которых раскрывает теоретические основы экономического анализа в зависимости от варианта работы.</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Практический раздел контрольной работы состоит из трех подразделов, включающих по одной практической задаче.</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При выполнении отдельных задач следует приводить формулы расчета рассматриваемых показателей, выявлять влияние отдельных факторов на показатель и давать необходимые краткие пояснения.</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По материалам анализа бакалавр должен указать на имеющиеся внутрипроизводственные резервы, дать рекомендации по их использованию и сделать обоснованные аналитические выводы.</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Важным этапом выполнения контрольной работы является изучение рекомендованной литературы, самостоятельное и творческое изложение материала.</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В контрольной работе предусматривается наличие введения, где дается обоснование актуальности темы и определяется цель работы.</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В конце контрольной работы должно быть дано заключение, которое представляет собой краткий итог основных этапов исследования и формулировку важнейших практических предложений, содержащихся в работе.</w:t>
      </w:r>
    </w:p>
    <w:p w:rsidR="0076219F" w:rsidRDefault="0076219F" w:rsidP="0076219F">
      <w:pPr>
        <w:pStyle w:val="a3"/>
        <w:rPr>
          <w:rFonts w:ascii="Verdana" w:hAnsi="Verdana"/>
          <w:color w:val="000000"/>
          <w:sz w:val="19"/>
          <w:szCs w:val="19"/>
          <w:shd w:val="clear" w:color="auto" w:fill="E8E8E6"/>
        </w:rPr>
      </w:pPr>
      <w:r>
        <w:rPr>
          <w:rFonts w:ascii="Verdana" w:hAnsi="Verdana"/>
          <w:color w:val="000000"/>
          <w:sz w:val="19"/>
          <w:szCs w:val="19"/>
          <w:shd w:val="clear" w:color="auto" w:fill="E8E8E6"/>
        </w:rPr>
        <w:t>Работа завершается библиографическим списком и приложениями к работе.</w:t>
      </w:r>
    </w:p>
    <w:p w:rsidR="0076219F" w:rsidRPr="0076219F" w:rsidRDefault="0076219F" w:rsidP="0076219F">
      <w:pPr>
        <w:shd w:val="clear" w:color="auto" w:fill="F04571"/>
        <w:spacing w:after="0" w:line="240" w:lineRule="auto"/>
        <w:rPr>
          <w:rFonts w:ascii="Verdana" w:eastAsia="Times New Roman" w:hAnsi="Verdana" w:cs="Times New Roman"/>
          <w:b/>
          <w:bCs/>
          <w:color w:val="FFFFFF"/>
          <w:sz w:val="27"/>
          <w:szCs w:val="27"/>
          <w:lang w:eastAsia="ru-RU"/>
        </w:rPr>
      </w:pPr>
      <w:bookmarkStart w:id="2" w:name="3.4."/>
      <w:bookmarkStart w:id="3" w:name="i302"/>
      <w:bookmarkEnd w:id="0"/>
      <w:bookmarkEnd w:id="2"/>
      <w:bookmarkEnd w:id="3"/>
      <w:r w:rsidRPr="0076219F">
        <w:rPr>
          <w:rFonts w:ascii="Verdana" w:eastAsia="Times New Roman" w:hAnsi="Verdana" w:cs="Times New Roman"/>
          <w:b/>
          <w:bCs/>
          <w:color w:val="FFFFFF"/>
          <w:sz w:val="27"/>
          <w:szCs w:val="27"/>
          <w:lang w:eastAsia="ru-RU"/>
        </w:rPr>
        <w:t>3.5.</w:t>
      </w:r>
    </w:p>
    <w:p w:rsidR="0076219F" w:rsidRPr="0076219F" w:rsidRDefault="0076219F" w:rsidP="0076219F">
      <w:pPr>
        <w:shd w:val="clear" w:color="auto" w:fill="808080"/>
        <w:spacing w:after="75" w:line="240" w:lineRule="auto"/>
        <w:rPr>
          <w:rFonts w:ascii="Verdana" w:eastAsia="Times New Roman" w:hAnsi="Verdana" w:cs="Times New Roman"/>
          <w:b/>
          <w:bCs/>
          <w:color w:val="FFFFFF"/>
          <w:sz w:val="27"/>
          <w:szCs w:val="27"/>
          <w:lang w:eastAsia="ru-RU"/>
        </w:rPr>
      </w:pPr>
      <w:r w:rsidRPr="0076219F">
        <w:rPr>
          <w:rFonts w:ascii="Verdana" w:eastAsia="Times New Roman" w:hAnsi="Verdana" w:cs="Times New Roman"/>
          <w:b/>
          <w:bCs/>
          <w:color w:val="FFFFFF"/>
          <w:sz w:val="27"/>
          <w:szCs w:val="27"/>
          <w:lang w:eastAsia="ru-RU"/>
        </w:rPr>
        <w:t>Вариант 5</w:t>
      </w:r>
    </w:p>
    <w:p w:rsidR="0076219F" w:rsidRPr="0076219F" w:rsidRDefault="0076219F" w:rsidP="0076219F">
      <w:pPr>
        <w:spacing w:after="0" w:line="240" w:lineRule="auto"/>
        <w:rPr>
          <w:rFonts w:ascii="Verdana" w:eastAsia="Times New Roman" w:hAnsi="Verdana" w:cs="Times New Roman"/>
          <w:b/>
          <w:bCs/>
          <w:i/>
          <w:iCs/>
          <w:color w:val="000000"/>
          <w:sz w:val="23"/>
          <w:szCs w:val="23"/>
          <w:shd w:val="clear" w:color="auto" w:fill="E8E8E6"/>
          <w:lang w:eastAsia="ru-RU"/>
        </w:rPr>
      </w:pPr>
      <w:bookmarkStart w:id="4" w:name="3.5."/>
      <w:r w:rsidRPr="0076219F">
        <w:rPr>
          <w:rFonts w:ascii="Verdana" w:eastAsia="Times New Roman" w:hAnsi="Verdana" w:cs="Times New Roman"/>
          <w:b/>
          <w:bCs/>
          <w:i/>
          <w:iCs/>
          <w:color w:val="000000"/>
          <w:sz w:val="23"/>
          <w:szCs w:val="23"/>
          <w:shd w:val="clear" w:color="auto" w:fill="E8E8E6"/>
          <w:lang w:eastAsia="ru-RU"/>
        </w:rPr>
        <w:t>Теоретические вопросы</w:t>
      </w:r>
    </w:p>
    <w:p w:rsidR="0076219F" w:rsidRPr="0076219F" w:rsidRDefault="0076219F" w:rsidP="0076219F">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Роль экономического анализа в управлении организацией.</w:t>
      </w:r>
    </w:p>
    <w:p w:rsidR="0076219F" w:rsidRPr="0076219F" w:rsidRDefault="0076219F" w:rsidP="0076219F">
      <w:pPr>
        <w:numPr>
          <w:ilvl w:val="0"/>
          <w:numId w:val="1"/>
        </w:num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Оптимизационные экономико-математические методы экономического анализа.</w:t>
      </w:r>
    </w:p>
    <w:p w:rsidR="0076219F" w:rsidRPr="0076219F" w:rsidRDefault="0076219F" w:rsidP="0076219F">
      <w:pPr>
        <w:spacing w:after="0" w:line="240" w:lineRule="auto"/>
        <w:rPr>
          <w:rFonts w:ascii="Verdana" w:eastAsia="Times New Roman" w:hAnsi="Verdana" w:cs="Times New Roman"/>
          <w:b/>
          <w:bCs/>
          <w:i/>
          <w:iCs/>
          <w:color w:val="000000"/>
          <w:sz w:val="23"/>
          <w:szCs w:val="23"/>
          <w:shd w:val="clear" w:color="auto" w:fill="E8E8E6"/>
          <w:lang w:eastAsia="ru-RU"/>
        </w:rPr>
      </w:pPr>
      <w:r w:rsidRPr="0076219F">
        <w:rPr>
          <w:rFonts w:ascii="Verdana" w:eastAsia="Times New Roman" w:hAnsi="Verdana" w:cs="Times New Roman"/>
          <w:b/>
          <w:bCs/>
          <w:i/>
          <w:iCs/>
          <w:color w:val="000000"/>
          <w:sz w:val="23"/>
          <w:szCs w:val="23"/>
          <w:shd w:val="clear" w:color="auto" w:fill="E8E8E6"/>
          <w:lang w:eastAsia="ru-RU"/>
        </w:rPr>
        <w:lastRenderedPageBreak/>
        <w:t>Практические вопросы</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b/>
          <w:bCs/>
          <w:color w:val="0015AF"/>
          <w:sz w:val="19"/>
          <w:szCs w:val="19"/>
          <w:shd w:val="clear" w:color="auto" w:fill="E8E8E6"/>
          <w:lang w:eastAsia="ru-RU"/>
        </w:rPr>
        <w:t>Задача № 1</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Определить влияние на затраты на материалы изменения: объема выпуска продукции в натуральном выражении; норм расхода материалов и средней цены за единицу материалов способом цепных подстановок на основании следующих данных:</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56"/>
        <w:gridCol w:w="2692"/>
        <w:gridCol w:w="2722"/>
      </w:tblGrid>
      <w:tr w:rsidR="0076219F" w:rsidRPr="0076219F" w:rsidTr="0076219F">
        <w:trPr>
          <w:tblCellSpacing w:w="15"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before="100" w:beforeAutospacing="1" w:after="100" w:afterAutospacing="1"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Наименование показателя</w:t>
            </w:r>
          </w:p>
        </w:tc>
        <w:tc>
          <w:tcPr>
            <w:tcW w:w="26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Предыдущий</w:t>
            </w:r>
            <w:r w:rsidRPr="0076219F">
              <w:rPr>
                <w:rFonts w:ascii="Verdana" w:eastAsia="Times New Roman" w:hAnsi="Verdana" w:cs="Times New Roman"/>
                <w:b/>
                <w:bCs/>
                <w:sz w:val="20"/>
                <w:szCs w:val="20"/>
                <w:lang w:eastAsia="ru-RU"/>
              </w:rPr>
              <w:br/>
              <w:t>период</w:t>
            </w:r>
          </w:p>
        </w:tc>
        <w:tc>
          <w:tcPr>
            <w:tcW w:w="26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Отчетный</w:t>
            </w:r>
            <w:r w:rsidRPr="0076219F">
              <w:rPr>
                <w:rFonts w:ascii="Verdana" w:eastAsia="Times New Roman" w:hAnsi="Verdana" w:cs="Times New Roman"/>
                <w:b/>
                <w:bCs/>
                <w:sz w:val="20"/>
                <w:szCs w:val="20"/>
                <w:lang w:eastAsia="ru-RU"/>
              </w:rPr>
              <w:br/>
              <w:t>период</w:t>
            </w:r>
          </w:p>
        </w:tc>
      </w:tr>
      <w:tr w:rsidR="0076219F" w:rsidRPr="0076219F" w:rsidTr="0076219F">
        <w:trPr>
          <w:tblCellSpacing w:w="15"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Затраты на краску, руб.</w:t>
            </w:r>
          </w:p>
        </w:tc>
        <w:tc>
          <w:tcPr>
            <w:tcW w:w="26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315000</w:t>
            </w:r>
          </w:p>
        </w:tc>
        <w:tc>
          <w:tcPr>
            <w:tcW w:w="26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198000</w:t>
            </w:r>
          </w:p>
        </w:tc>
      </w:tr>
      <w:tr w:rsidR="0076219F" w:rsidRPr="0076219F" w:rsidTr="0076219F">
        <w:trPr>
          <w:tblCellSpacing w:w="15"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Выпуск печатной продукции, тыс. уч. кр.-отт.</w:t>
            </w:r>
          </w:p>
        </w:tc>
        <w:tc>
          <w:tcPr>
            <w:tcW w:w="26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10000</w:t>
            </w:r>
          </w:p>
        </w:tc>
        <w:tc>
          <w:tcPr>
            <w:tcW w:w="26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11000</w:t>
            </w:r>
          </w:p>
        </w:tc>
      </w:tr>
      <w:tr w:rsidR="0076219F" w:rsidRPr="0076219F" w:rsidTr="0076219F">
        <w:trPr>
          <w:tblCellSpacing w:w="15"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Норма расхода краски на 1 тыс. уч. кр.-отт., кг</w:t>
            </w:r>
          </w:p>
        </w:tc>
        <w:tc>
          <w:tcPr>
            <w:tcW w:w="26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0,09</w:t>
            </w:r>
          </w:p>
        </w:tc>
        <w:tc>
          <w:tcPr>
            <w:tcW w:w="26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0,06</w:t>
            </w:r>
          </w:p>
        </w:tc>
      </w:tr>
      <w:tr w:rsidR="0076219F" w:rsidRPr="0076219F" w:rsidTr="0076219F">
        <w:trPr>
          <w:tblCellSpacing w:w="15" w:type="dxa"/>
          <w:jc w:val="center"/>
        </w:trPr>
        <w:tc>
          <w:tcPr>
            <w:tcW w:w="58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Цена за 1 кг краски, руб.</w:t>
            </w:r>
          </w:p>
        </w:tc>
        <w:tc>
          <w:tcPr>
            <w:tcW w:w="265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350</w:t>
            </w:r>
          </w:p>
        </w:tc>
        <w:tc>
          <w:tcPr>
            <w:tcW w:w="26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300</w:t>
            </w:r>
          </w:p>
        </w:tc>
      </w:tr>
    </w:tbl>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По материалам анализа сделать соответствующие аналитические выводы.</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b/>
          <w:bCs/>
          <w:color w:val="0015AF"/>
          <w:sz w:val="19"/>
          <w:szCs w:val="19"/>
          <w:shd w:val="clear" w:color="auto" w:fill="E8E8E6"/>
          <w:lang w:eastAsia="ru-RU"/>
        </w:rPr>
        <w:t>Задача № 2</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Определить влияние на среднегодовую выработку одного работающего изменения: удельного веса рабочих в общей численности работающих; среднего числа дней, отработанных одним рабочим за год; средней продолжительности рабочего дня и среднечасовой выработки одного рабочего способом абсолютных разниц на основании следующих данных:</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14"/>
        <w:gridCol w:w="2163"/>
        <w:gridCol w:w="2193"/>
      </w:tblGrid>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before="100" w:beforeAutospacing="1" w:after="100" w:afterAutospacing="1"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Наименование показателя</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Предыдущий</w:t>
            </w:r>
            <w:r w:rsidRPr="0076219F">
              <w:rPr>
                <w:rFonts w:ascii="Verdana" w:eastAsia="Times New Roman" w:hAnsi="Verdana" w:cs="Times New Roman"/>
                <w:b/>
                <w:bCs/>
                <w:sz w:val="20"/>
                <w:szCs w:val="20"/>
                <w:lang w:eastAsia="ru-RU"/>
              </w:rPr>
              <w:br/>
              <w:t>период</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Отчетный</w:t>
            </w:r>
            <w:r w:rsidRPr="0076219F">
              <w:rPr>
                <w:rFonts w:ascii="Verdana" w:eastAsia="Times New Roman" w:hAnsi="Verdana" w:cs="Times New Roman"/>
                <w:b/>
                <w:bCs/>
                <w:sz w:val="20"/>
                <w:szCs w:val="20"/>
                <w:lang w:eastAsia="ru-RU"/>
              </w:rPr>
              <w:br/>
              <w:t>период</w:t>
            </w:r>
          </w:p>
        </w:tc>
      </w:tr>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Среднегодовая выработка одного работающего, тыс. руб.</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2242,5</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5712,0</w:t>
            </w:r>
          </w:p>
        </w:tc>
      </w:tr>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Удельный вес рабочих в общей численности промышленно-производственного персонала</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0,65</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0,85</w:t>
            </w:r>
          </w:p>
        </w:tc>
      </w:tr>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Среднее число дней, отработанных одним рабочим за год, дн.</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230</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240</w:t>
            </w:r>
          </w:p>
        </w:tc>
      </w:tr>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Средняя продолжительность рабочего дня, час.</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7,5</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8,0</w:t>
            </w:r>
          </w:p>
        </w:tc>
      </w:tr>
      <w:tr w:rsidR="0076219F" w:rsidRPr="0076219F" w:rsidTr="0076219F">
        <w:trPr>
          <w:tblCellSpacing w:w="15" w:type="dxa"/>
          <w:jc w:val="center"/>
        </w:trPr>
        <w:tc>
          <w:tcPr>
            <w:tcW w:w="6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Среднечасовая выработка одного рабочего, тыс.</w:t>
            </w:r>
            <w:r w:rsidRPr="0076219F">
              <w:rPr>
                <w:rFonts w:ascii="Verdana" w:eastAsia="Times New Roman" w:hAnsi="Verdana" w:cs="Times New Roman"/>
                <w:b/>
                <w:bCs/>
                <w:sz w:val="20"/>
                <w:szCs w:val="20"/>
                <w:lang w:eastAsia="ru-RU"/>
              </w:rPr>
              <w:t> </w:t>
            </w:r>
            <w:r w:rsidRPr="0076219F">
              <w:rPr>
                <w:rFonts w:ascii="Verdana" w:eastAsia="Times New Roman" w:hAnsi="Verdana" w:cs="Times New Roman"/>
                <w:sz w:val="20"/>
                <w:szCs w:val="20"/>
                <w:lang w:eastAsia="ru-RU"/>
              </w:rPr>
              <w:t>руб.</w:t>
            </w:r>
          </w:p>
        </w:tc>
        <w:tc>
          <w:tcPr>
            <w:tcW w:w="213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2,0</w:t>
            </w:r>
          </w:p>
        </w:tc>
        <w:tc>
          <w:tcPr>
            <w:tcW w:w="21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3,5</w:t>
            </w:r>
          </w:p>
        </w:tc>
      </w:tr>
    </w:tbl>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По материалам анализа сделать соответствующие аналитические выводы.</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b/>
          <w:bCs/>
          <w:color w:val="0015AF"/>
          <w:sz w:val="19"/>
          <w:szCs w:val="19"/>
          <w:shd w:val="clear" w:color="auto" w:fill="E8E8E6"/>
          <w:lang w:eastAsia="ru-RU"/>
        </w:rPr>
        <w:t>Задача № 3</w:t>
      </w:r>
    </w:p>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Составить баланс товарной и реализованной продукции за предыдущий и отчетный год на основании следующих данных:</w:t>
      </w:r>
    </w:p>
    <w:tbl>
      <w:tblPr>
        <w:tblW w:w="113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53"/>
        <w:gridCol w:w="2301"/>
        <w:gridCol w:w="2316"/>
      </w:tblGrid>
      <w:tr w:rsidR="0076219F" w:rsidRPr="0076219F" w:rsidTr="0076219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before="100" w:beforeAutospacing="1" w:after="100" w:afterAutospacing="1"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Наименование 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Предыдущий</w:t>
            </w:r>
            <w:r w:rsidRPr="0076219F">
              <w:rPr>
                <w:rFonts w:ascii="Verdana" w:eastAsia="Times New Roman" w:hAnsi="Verdana" w:cs="Times New Roman"/>
                <w:b/>
                <w:bCs/>
                <w:sz w:val="20"/>
                <w:szCs w:val="20"/>
                <w:lang w:eastAsia="ru-RU"/>
              </w:rPr>
              <w:br/>
              <w:t>год</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Отчетный</w:t>
            </w:r>
            <w:r w:rsidRPr="0076219F">
              <w:rPr>
                <w:rFonts w:ascii="Verdana" w:eastAsia="Times New Roman" w:hAnsi="Verdana" w:cs="Times New Roman"/>
                <w:b/>
                <w:bCs/>
                <w:sz w:val="20"/>
                <w:szCs w:val="20"/>
                <w:lang w:eastAsia="ru-RU"/>
              </w:rPr>
              <w:br/>
              <w:t>год</w:t>
            </w:r>
          </w:p>
        </w:tc>
      </w:tr>
      <w:tr w:rsidR="0076219F" w:rsidRPr="0076219F" w:rsidTr="0076219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 xml:space="preserve">Остатки нереализованной продукции на начало года, </w:t>
            </w:r>
            <w:r w:rsidRPr="0076219F">
              <w:rPr>
                <w:rFonts w:ascii="Verdana" w:eastAsia="Times New Roman" w:hAnsi="Verdana" w:cs="Times New Roman"/>
                <w:sz w:val="20"/>
                <w:szCs w:val="20"/>
                <w:lang w:eastAsia="ru-RU"/>
              </w:rPr>
              <w:lastRenderedPageBreak/>
              <w:t>тыс. руб.</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lastRenderedPageBreak/>
              <w:t>800</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850</w:t>
            </w:r>
          </w:p>
        </w:tc>
      </w:tr>
      <w:tr w:rsidR="0076219F" w:rsidRPr="0076219F" w:rsidTr="0076219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lastRenderedPageBreak/>
              <w:t>Остатки нереализованной продукции на конец года, тыс. руб.</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820</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860</w:t>
            </w:r>
          </w:p>
        </w:tc>
      </w:tr>
      <w:tr w:rsidR="0076219F" w:rsidRPr="0076219F" w:rsidTr="0076219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Объем произведенной в течение года товарной продукции,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8400</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sz w:val="20"/>
                <w:szCs w:val="20"/>
                <w:lang w:eastAsia="ru-RU"/>
              </w:rPr>
              <w:t>8520</w:t>
            </w:r>
          </w:p>
        </w:tc>
      </w:tr>
      <w:tr w:rsidR="0076219F" w:rsidRPr="0076219F" w:rsidTr="0076219F">
        <w:trPr>
          <w:tblCellSpacing w:w="15" w:type="dxa"/>
          <w:jc w:val="center"/>
        </w:trPr>
        <w:tc>
          <w:tcPr>
            <w:tcW w:w="669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Объем реализации, тыс. руб.</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76219F" w:rsidRPr="0076219F" w:rsidRDefault="0076219F" w:rsidP="0076219F">
            <w:pPr>
              <w:spacing w:after="0" w:line="240" w:lineRule="auto"/>
              <w:jc w:val="center"/>
              <w:rPr>
                <w:rFonts w:ascii="Verdana" w:eastAsia="Times New Roman" w:hAnsi="Verdana" w:cs="Times New Roman"/>
                <w:sz w:val="19"/>
                <w:szCs w:val="19"/>
                <w:lang w:eastAsia="ru-RU"/>
              </w:rPr>
            </w:pPr>
            <w:r w:rsidRPr="0076219F">
              <w:rPr>
                <w:rFonts w:ascii="Verdana" w:eastAsia="Times New Roman" w:hAnsi="Verdana" w:cs="Times New Roman"/>
                <w:b/>
                <w:bCs/>
                <w:sz w:val="20"/>
                <w:szCs w:val="20"/>
                <w:lang w:eastAsia="ru-RU"/>
              </w:rPr>
              <w:t>?</w:t>
            </w:r>
          </w:p>
        </w:tc>
      </w:tr>
    </w:tbl>
    <w:p w:rsidR="0076219F" w:rsidRPr="0076219F" w:rsidRDefault="0076219F" w:rsidP="0076219F">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76219F">
        <w:rPr>
          <w:rFonts w:ascii="Verdana" w:eastAsia="Times New Roman" w:hAnsi="Verdana" w:cs="Times New Roman"/>
          <w:color w:val="000000"/>
          <w:sz w:val="19"/>
          <w:szCs w:val="19"/>
          <w:shd w:val="clear" w:color="auto" w:fill="E8E8E6"/>
          <w:lang w:eastAsia="ru-RU"/>
        </w:rPr>
        <w:t>По материалам анализа сделать соответствующие аналитические выводы.</w:t>
      </w:r>
    </w:p>
    <w:p w:rsidR="007F1F33" w:rsidRPr="007F1F33" w:rsidRDefault="007F1F33" w:rsidP="007F1F33">
      <w:pPr>
        <w:shd w:val="clear" w:color="auto" w:fill="F04571"/>
        <w:spacing w:after="0" w:line="240" w:lineRule="auto"/>
        <w:rPr>
          <w:rFonts w:ascii="Verdana" w:eastAsia="Times New Roman" w:hAnsi="Verdana" w:cs="Times New Roman"/>
          <w:b/>
          <w:bCs/>
          <w:color w:val="FFFFFF"/>
          <w:sz w:val="27"/>
          <w:szCs w:val="27"/>
          <w:lang w:eastAsia="ru-RU"/>
        </w:rPr>
      </w:pPr>
      <w:bookmarkStart w:id="5" w:name="3.10."/>
      <w:bookmarkStart w:id="6" w:name="i374"/>
      <w:bookmarkEnd w:id="4"/>
      <w:bookmarkEnd w:id="5"/>
      <w:bookmarkEnd w:id="6"/>
      <w:r w:rsidRPr="007F1F33">
        <w:rPr>
          <w:rFonts w:ascii="Verdana" w:eastAsia="Times New Roman" w:hAnsi="Verdana" w:cs="Times New Roman"/>
          <w:b/>
          <w:bCs/>
          <w:color w:val="FFFFFF"/>
          <w:sz w:val="27"/>
          <w:szCs w:val="27"/>
          <w:lang w:eastAsia="ru-RU"/>
        </w:rPr>
        <w:t>3.11.</w:t>
      </w:r>
    </w:p>
    <w:p w:rsidR="007F1F33" w:rsidRPr="007F1F33" w:rsidRDefault="007F1F33" w:rsidP="007F1F33">
      <w:pPr>
        <w:shd w:val="clear" w:color="auto" w:fill="808080"/>
        <w:spacing w:after="75" w:line="240" w:lineRule="auto"/>
        <w:rPr>
          <w:rFonts w:ascii="Verdana" w:eastAsia="Times New Roman" w:hAnsi="Verdana" w:cs="Times New Roman"/>
          <w:b/>
          <w:bCs/>
          <w:color w:val="FFFFFF"/>
          <w:sz w:val="27"/>
          <w:szCs w:val="27"/>
          <w:lang w:eastAsia="ru-RU"/>
        </w:rPr>
      </w:pPr>
      <w:r w:rsidRPr="007F1F33">
        <w:rPr>
          <w:rFonts w:ascii="Verdana" w:eastAsia="Times New Roman" w:hAnsi="Verdana" w:cs="Times New Roman"/>
          <w:b/>
          <w:bCs/>
          <w:color w:val="FFFFFF"/>
          <w:sz w:val="27"/>
          <w:szCs w:val="27"/>
          <w:lang w:eastAsia="ru-RU"/>
        </w:rPr>
        <w:t>Требования, предъявляемые к оформлению контрольной работы</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bookmarkStart w:id="7" w:name="3.11."/>
      <w:r w:rsidRPr="007F1F33">
        <w:rPr>
          <w:rFonts w:ascii="Verdana" w:eastAsia="Times New Roman" w:hAnsi="Verdana" w:cs="Times New Roman"/>
          <w:color w:val="00008B"/>
          <w:sz w:val="19"/>
          <w:szCs w:val="19"/>
          <w:u w:val="single"/>
          <w:shd w:val="clear" w:color="auto" w:fill="E8E8E6"/>
          <w:lang w:eastAsia="ru-RU"/>
        </w:rPr>
        <w:t>Контрольная работа должна находиться в папке со скоросшивателем. Листы работы не должны быть вставлены в файлы, так как это затрудняет проверку.</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Текст контрольной работы печатается на стандартных листах формата А4 на компьютере шрифтом гарнитуры Times New Roman кеглем 14 пунктов через 1,5 интервала. Объем контрольной работы составляет 20</w:t>
      </w:r>
      <w:r w:rsidR="00DD4BB8">
        <w:rPr>
          <w:rFonts w:ascii="Verdana" w:eastAsia="Times New Roman" w:hAnsi="Verdana" w:cs="Times New Roman"/>
          <w:noProof/>
          <w:color w:val="00008B"/>
          <w:sz w:val="19"/>
          <w:szCs w:val="19"/>
          <w:lang w:eastAsia="ru-RU"/>
        </w:rPr>
      </w:r>
      <w:r w:rsidR="00DD4BB8">
        <w:rPr>
          <w:rFonts w:ascii="Verdana" w:eastAsia="Times New Roman" w:hAnsi="Verdana" w:cs="Times New Roman"/>
          <w:noProof/>
          <w:color w:val="00008B"/>
          <w:sz w:val="19"/>
          <w:szCs w:val="19"/>
          <w:lang w:eastAsia="ru-RU"/>
        </w:rPr>
        <w:pict>
          <v:rect id="Прямоугольник 1" o:spid="_x0000_s1026" alt="&lt;?xml version=&quot;1.0&quot;?&gt;&#10;"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Q23Fr9wIA&#10;APsFAAAOAAAAAAAAAAAAAAAAAC4CAABkcnMvZTJvRG9jLnhtbFBLAQItABQABgAIAAAAIQBMoOks&#10;2AAAAAMBAAAPAAAAAAAAAAAAAAAAAFEFAABkcnMvZG93bnJldi54bWxQSwUGAAAAAAQABADzAAAA&#10;VgYAAAAA&#10;" filled="f" stroked="f">
            <o:lock v:ext="edit" aspectratio="t"/>
            <w10:wrap type="none"/>
            <w10:anchorlock/>
          </v:rect>
        </w:pict>
      </w:r>
      <w:r w:rsidRPr="007F1F33">
        <w:rPr>
          <w:rFonts w:ascii="Verdana" w:eastAsia="Times New Roman" w:hAnsi="Verdana" w:cs="Times New Roman"/>
          <w:color w:val="00008B"/>
          <w:sz w:val="19"/>
          <w:szCs w:val="19"/>
          <w:u w:val="single"/>
          <w:shd w:val="clear" w:color="auto" w:fill="E8E8E6"/>
          <w:lang w:eastAsia="ru-RU"/>
        </w:rPr>
        <w:t>30 страниц.</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Текст контрольной работы следует печатать с соблюдением следующего размера полей:</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левое - 30 мм;</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правое - 10 мм;</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верхнее - 20 мм;</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нижнее - 20 мм.</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Величина абзацного отступа - 1,25 сантиметра. Выравнивание текста в пределах абзаца - по ширине. При наборе текста допускается использование функции автоматической расстановки переносов.</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Нумерация страниц контрольной работы производится арабскими цифрами в центре нижней части листа без точки и начинается с титульного листа, но на самом титульном листе номер страницы не проставляется.</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Заголовки структурных элементов контрольной работы «СОДЕРЖАНИЕ», «ВВЕДЕНИЕ», «ЗАКЛЮЧЕНИЕ», «БИБЛИОГРАФИЧЕСКИЙ СПИСОК», «ПРИЛОЖЕНИЯ» печатаются жирным шрифтом прописными буквами и записываются с абзацного отступа с новой страницы. Разделы нумеруются арабскими цифрами (точка после номера раздела не ставится), а их наименование печатается жирным шрифтом прописными буквами с абзацного отступа. Выравнивание заголовков разделов работы следует делать по левому краю. Номера подразделов включают номер раздела и порядковый номер соответствующего подраздела в рамках раздела, разделенные точкой. После номера подраздела перед его заголовком точку не ставят. Заголовки подразделов печатаются строчными буквами, выделяются жирным шрифтом и записываются с абзацного отступа. Выравнивание заголовков подразделов контрольной работы производится по левому краю.</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 xml:space="preserve">Иллюстрации в контрольной работе (графики, схемы, диаграммы, чертежи, рисунки) следует располагать непосредственно после текста, в котором они упоминаются впервые, или на следующей странице. Все иллюстрации в работе именуются рисунками. На все имеющиеся в контрольной работе рисунки по тексту работы обязательно должны быть даны ссылки. Рисунки должны иметь сквозную нумерацию в пределах раздела арабскими цифрами. При этом номер рисунка состоит из номера раздела и порядкового номера рисунка, разделенных точкой. Рисунки обязательно </w:t>
      </w:r>
      <w:r w:rsidRPr="007F1F33">
        <w:rPr>
          <w:rFonts w:ascii="Verdana" w:eastAsia="Times New Roman" w:hAnsi="Verdana" w:cs="Times New Roman"/>
          <w:color w:val="00008B"/>
          <w:sz w:val="19"/>
          <w:szCs w:val="19"/>
          <w:u w:val="single"/>
          <w:shd w:val="clear" w:color="auto" w:fill="E8E8E6"/>
          <w:lang w:eastAsia="ru-RU"/>
        </w:rPr>
        <w:lastRenderedPageBreak/>
        <w:t>должны иметь наименования. Номер рисунка отделяется от его наименования с помощью тире. Номер и наименование помещаются после рисунка и центрируются. Точка в конце наименования рисунка не ставится.</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Таблицы следует располагать непосредственно после текста, в котором они упоминаются впервые, или на следующей странице. Таблицы в контрольной работе следует нумеровать арабскими цифрами в пределах раздела. Номер таблицы в этом случае состоит из номера раздела и порядкового номера таблицы, разделенных точкой. Название таблицы должно отражать её содержание, быть точным и кратким. Название таблицы следует помещать над таблицей слева, без абзацного отступа в одну строку с её номером через тире. Точка в конце таблицы не ставится. При переносе части таблицы на другую страницу слово «Таблица», её номер и название указывают один раз над первой частью таблицы, над другими частями пишут слово «Продолжение» или «Окончание» и указывают номер таблицы. При переносе таблицы на другую страницу заголовок (шапку) таблицы помещают только над её первой частью.</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Формулы в контрольной работе выделяются из текста отдельной строкой. Пояснение значений символов и числовых коэффициентов следует приводить непосредственно под формулой в той же последовательности, в которой она дана в формуле. Формулы нумеруются арабскими цифрами в пределах раздела контрольной работы. Номер формулы в этом случае состоит из номера раздела и порядкового номера формулы, разделенных точкой, и указывается в круглых скобках в крайнем правом положении на строке. Для корректного набора формул в работе рекомендуется пользоваться специальным редактором формул Microsoft Equation, входящим в стандартную поставку программного пакета Microsoft Office.</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При написании контрольной работы бакалавр обязан делать ссылки на используемые им литературные источники и нормативно-правовой материал.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 на которых содержится цитируемый материал.</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Работа должна содержать:</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титульный лист;</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содержание;</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введение;</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основная часть;</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заключение;</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библиографический список;</w:t>
      </w:r>
    </w:p>
    <w:p w:rsidR="007F1F33" w:rsidRPr="007F1F33" w:rsidRDefault="007F1F33" w:rsidP="007F1F33">
      <w:pPr>
        <w:numPr>
          <w:ilvl w:val="1"/>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приложения (если есть).</w:t>
      </w:r>
    </w:p>
    <w:p w:rsidR="007F1F33" w:rsidRPr="007F1F33" w:rsidRDefault="007F1F33" w:rsidP="007F1F33">
      <w:pPr>
        <w:numPr>
          <w:ilvl w:val="0"/>
          <w:numId w:val="2"/>
        </w:num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Работа подписывается бакалавром (на титульном листе) напротив своих инициалов перед сдачей её преподавателю.</w:t>
      </w:r>
    </w:p>
    <w:p w:rsidR="007F1F33" w:rsidRPr="007F1F33" w:rsidRDefault="007F1F33" w:rsidP="007F1F33">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7F1F33">
        <w:rPr>
          <w:rFonts w:ascii="Verdana" w:eastAsia="Times New Roman" w:hAnsi="Verdana" w:cs="Times New Roman"/>
          <w:color w:val="00008B"/>
          <w:sz w:val="19"/>
          <w:szCs w:val="19"/>
          <w:u w:val="single"/>
          <w:shd w:val="clear" w:color="auto" w:fill="E8E8E6"/>
          <w:lang w:eastAsia="ru-RU"/>
        </w:rPr>
        <w:t>В случае невыполнения требований, предъявляемых к оформлению контрольной работы, преподаватель возвращает бакалавру работу на доработку. Если замечания, сделанные преподавателем, не устранены, то преподаватель имеет право не допустить обучающегося до защиты курсовой работы, сдачи экзамена по дисциплине "Теория учета и экономического анализа медиаорганизации".</w:t>
      </w:r>
    </w:p>
    <w:bookmarkEnd w:id="7"/>
    <w:p w:rsidR="00F773E0" w:rsidRDefault="00F773E0"/>
    <w:sectPr w:rsidR="00F773E0" w:rsidSect="0041565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B8" w:rsidRDefault="00DD4BB8" w:rsidP="000A1018">
      <w:pPr>
        <w:spacing w:after="0" w:line="240" w:lineRule="auto"/>
      </w:pPr>
      <w:r>
        <w:separator/>
      </w:r>
    </w:p>
  </w:endnote>
  <w:endnote w:type="continuationSeparator" w:id="0">
    <w:p w:rsidR="00DD4BB8" w:rsidRDefault="00DD4BB8" w:rsidP="000A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B8" w:rsidRDefault="00DD4BB8" w:rsidP="000A1018">
      <w:pPr>
        <w:spacing w:after="0" w:line="240" w:lineRule="auto"/>
      </w:pPr>
      <w:r>
        <w:separator/>
      </w:r>
    </w:p>
  </w:footnote>
  <w:footnote w:type="continuationSeparator" w:id="0">
    <w:p w:rsidR="00DD4BB8" w:rsidRDefault="00DD4BB8" w:rsidP="000A1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018" w:rsidRPr="00EA6587" w:rsidRDefault="000A1018" w:rsidP="000A1018">
    <w:pPr>
      <w:pStyle w:val="a5"/>
      <w:jc w:val="center"/>
      <w:rPr>
        <w:b/>
        <w:color w:val="FF0000"/>
        <w:sz w:val="32"/>
        <w:szCs w:val="32"/>
      </w:rPr>
    </w:pPr>
    <w:bookmarkStart w:id="8" w:name="OLE_LINK15"/>
    <w:bookmarkStart w:id="9" w:name="OLE_LINK14"/>
    <w:bookmarkStart w:id="10" w:name="OLE_LINK13"/>
    <w:bookmarkStart w:id="11" w:name="_Hlk3275872"/>
    <w:bookmarkStart w:id="12" w:name="OLE_LINK12"/>
    <w:bookmarkStart w:id="13" w:name="OLE_LINK11"/>
    <w:bookmarkStart w:id="14" w:name="_Hlk3275855"/>
    <w:bookmarkStart w:id="15" w:name="OLE_LINK10"/>
    <w:bookmarkStart w:id="16" w:name="OLE_LINK9"/>
    <w:bookmarkStart w:id="17" w:name="_Hlk3275839"/>
    <w:bookmarkStart w:id="18" w:name="OLE_LINK8"/>
    <w:bookmarkStart w:id="19" w:name="OLE_LINK7"/>
    <w:bookmarkStart w:id="20" w:name="_Hlk3275827"/>
    <w:bookmarkStart w:id="21" w:name="OLE_LINK6"/>
    <w:bookmarkStart w:id="22" w:name="OLE_LINK5"/>
    <w:bookmarkStart w:id="23" w:name="_Hlk3275814"/>
    <w:bookmarkStart w:id="24" w:name="OLE_LINK4"/>
    <w:bookmarkStart w:id="25" w:name="OLE_LINK3"/>
    <w:bookmarkStart w:id="26" w:name="_Hlk3275812"/>
    <w:bookmarkStart w:id="27" w:name="OLE_LINK2"/>
    <w:bookmarkStart w:id="28" w:name="OLE_LINK1"/>
    <w:r w:rsidRPr="00EA6587">
      <w:rPr>
        <w:b/>
        <w:color w:val="FF0000"/>
        <w:sz w:val="32"/>
        <w:szCs w:val="32"/>
      </w:rPr>
      <w:t xml:space="preserve">Работа выполнена авторами сайта </w:t>
    </w:r>
    <w:hyperlink r:id="rId1" w:history="1">
      <w:r w:rsidRPr="00EA6587">
        <w:rPr>
          <w:rStyle w:val="ab"/>
          <w:b/>
          <w:color w:val="FF0000"/>
          <w:sz w:val="32"/>
          <w:szCs w:val="32"/>
        </w:rPr>
        <w:t>ДЦО.РФ</w:t>
      </w:r>
    </w:hyperlink>
  </w:p>
  <w:p w:rsidR="000A1018" w:rsidRPr="00EA6587" w:rsidRDefault="000A1018" w:rsidP="000A1018">
    <w:pPr>
      <w:pStyle w:val="4"/>
      <w:shd w:val="clear" w:color="auto" w:fill="FFFFFF"/>
      <w:spacing w:before="187" w:beforeAutospacing="0" w:after="187" w:afterAutospacing="0"/>
      <w:jc w:val="center"/>
      <w:rPr>
        <w:rFonts w:ascii="Helvetica" w:hAnsi="Helvetica" w:cs="Helvetica"/>
        <w:bCs w:val="0"/>
        <w:color w:val="FF0000"/>
        <w:sz w:val="32"/>
        <w:szCs w:val="32"/>
      </w:rPr>
    </w:pPr>
    <w:r w:rsidRPr="00EA6587">
      <w:rPr>
        <w:rFonts w:ascii="Helvetica" w:hAnsi="Helvetica" w:cs="Helvetica"/>
        <w:bCs w:val="0"/>
        <w:color w:val="FF0000"/>
        <w:sz w:val="32"/>
        <w:szCs w:val="32"/>
      </w:rPr>
      <w:t xml:space="preserve">Помощь с дистанционным обучением: </w:t>
    </w:r>
  </w:p>
  <w:p w:rsidR="000A1018" w:rsidRPr="00EA6587" w:rsidRDefault="000A1018" w:rsidP="000A1018">
    <w:pPr>
      <w:pStyle w:val="4"/>
      <w:shd w:val="clear" w:color="auto" w:fill="FFFFFF"/>
      <w:spacing w:before="187" w:beforeAutospacing="0" w:after="187" w:afterAutospacing="0"/>
      <w:jc w:val="center"/>
      <w:rPr>
        <w:rFonts w:ascii="Helvetica" w:hAnsi="Helvetica" w:cs="Helvetica"/>
        <w:bCs w:val="0"/>
        <w:color w:val="FF0000"/>
        <w:sz w:val="32"/>
        <w:szCs w:val="32"/>
      </w:rPr>
    </w:pPr>
    <w:r w:rsidRPr="00EA6587">
      <w:rPr>
        <w:rFonts w:ascii="Helvetica" w:hAnsi="Helvetica" w:cs="Helvetica"/>
        <w:bCs w:val="0"/>
        <w:color w:val="FF0000"/>
        <w:sz w:val="32"/>
        <w:szCs w:val="32"/>
      </w:rPr>
      <w:t>тесты, экзамены, сессия.</w:t>
    </w:r>
  </w:p>
  <w:p w:rsidR="000A1018" w:rsidRPr="00EA6587" w:rsidRDefault="000A1018" w:rsidP="000A1018">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A6587">
      <w:rPr>
        <w:rFonts w:ascii="Helvetica" w:hAnsi="Helvetica" w:cs="Helvetica"/>
        <w:bCs w:val="0"/>
        <w:color w:val="FF0000"/>
        <w:sz w:val="32"/>
        <w:szCs w:val="32"/>
      </w:rPr>
      <w:t>Почта для заявок: </w:t>
    </w:r>
    <w:hyperlink r:id="rId2" w:history="1">
      <w:r w:rsidRPr="00EA6587">
        <w:rPr>
          <w:rStyle w:val="ab"/>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0A1018" w:rsidRDefault="000A1018">
    <w:pPr>
      <w:pStyle w:val="a5"/>
    </w:pPr>
  </w:p>
  <w:p w:rsidR="000A1018" w:rsidRDefault="000A10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E40CC"/>
    <w:multiLevelType w:val="multilevel"/>
    <w:tmpl w:val="2B364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7A5482"/>
    <w:multiLevelType w:val="multilevel"/>
    <w:tmpl w:val="69C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14FE"/>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101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15659"/>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90838"/>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4FE"/>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19F"/>
    <w:rsid w:val="00762ED2"/>
    <w:rsid w:val="007655BC"/>
    <w:rsid w:val="00780676"/>
    <w:rsid w:val="007833D5"/>
    <w:rsid w:val="007838DC"/>
    <w:rsid w:val="00785519"/>
    <w:rsid w:val="007952A1"/>
    <w:rsid w:val="007A1457"/>
    <w:rsid w:val="007C0C01"/>
    <w:rsid w:val="007C6B65"/>
    <w:rsid w:val="007D41A9"/>
    <w:rsid w:val="007D45A8"/>
    <w:rsid w:val="007E3E4D"/>
    <w:rsid w:val="007F1F33"/>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D4BB8"/>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2545"/>
    <w:rsid w:val="00E72E6C"/>
    <w:rsid w:val="00E742E1"/>
    <w:rsid w:val="00E80636"/>
    <w:rsid w:val="00E84887"/>
    <w:rsid w:val="00E85684"/>
    <w:rsid w:val="00EA05B7"/>
    <w:rsid w:val="00EA0F60"/>
    <w:rsid w:val="00EA6587"/>
    <w:rsid w:val="00EB46EF"/>
    <w:rsid w:val="00EB65F3"/>
    <w:rsid w:val="00EC0BA5"/>
    <w:rsid w:val="00EC2B89"/>
    <w:rsid w:val="00ED392D"/>
    <w:rsid w:val="00EE1F13"/>
    <w:rsid w:val="00EE3077"/>
    <w:rsid w:val="00EF17C8"/>
    <w:rsid w:val="00EF2077"/>
    <w:rsid w:val="00EF6507"/>
    <w:rsid w:val="00F00876"/>
    <w:rsid w:val="00F0236B"/>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59"/>
  </w:style>
  <w:style w:type="paragraph" w:styleId="3">
    <w:name w:val="heading 3"/>
    <w:basedOn w:val="a"/>
    <w:link w:val="30"/>
    <w:uiPriority w:val="9"/>
    <w:semiHidden/>
    <w:unhideWhenUsed/>
    <w:qFormat/>
    <w:rsid w:val="000A10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0A101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76219F"/>
  </w:style>
  <w:style w:type="paragraph" w:styleId="a5">
    <w:name w:val="header"/>
    <w:basedOn w:val="a"/>
    <w:link w:val="a6"/>
    <w:uiPriority w:val="99"/>
    <w:unhideWhenUsed/>
    <w:rsid w:val="000A10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018"/>
  </w:style>
  <w:style w:type="paragraph" w:styleId="a7">
    <w:name w:val="footer"/>
    <w:basedOn w:val="a"/>
    <w:link w:val="a8"/>
    <w:uiPriority w:val="99"/>
    <w:unhideWhenUsed/>
    <w:rsid w:val="000A10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018"/>
  </w:style>
  <w:style w:type="paragraph" w:styleId="a9">
    <w:name w:val="Balloon Text"/>
    <w:basedOn w:val="a"/>
    <w:link w:val="aa"/>
    <w:uiPriority w:val="99"/>
    <w:semiHidden/>
    <w:unhideWhenUsed/>
    <w:rsid w:val="000A10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1018"/>
    <w:rPr>
      <w:rFonts w:ascii="Tahoma" w:hAnsi="Tahoma" w:cs="Tahoma"/>
      <w:sz w:val="16"/>
      <w:szCs w:val="16"/>
    </w:rPr>
  </w:style>
  <w:style w:type="character" w:customStyle="1" w:styleId="30">
    <w:name w:val="Заголовок 3 Знак"/>
    <w:basedOn w:val="a0"/>
    <w:link w:val="3"/>
    <w:uiPriority w:val="9"/>
    <w:semiHidden/>
    <w:rsid w:val="000A101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0A1018"/>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0A1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ыделение"/>
    <w:basedOn w:val="a0"/>
    <w:rsid w:val="0076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393022">
      <w:bodyDiv w:val="1"/>
      <w:marLeft w:val="0"/>
      <w:marRight w:val="0"/>
      <w:marTop w:val="0"/>
      <w:marBottom w:val="0"/>
      <w:divBdr>
        <w:top w:val="none" w:sz="0" w:space="0" w:color="auto"/>
        <w:left w:val="none" w:sz="0" w:space="0" w:color="auto"/>
        <w:bottom w:val="none" w:sz="0" w:space="0" w:color="auto"/>
        <w:right w:val="none" w:sz="0" w:space="0" w:color="auto"/>
      </w:divBdr>
      <w:divsChild>
        <w:div w:id="1019157410">
          <w:marLeft w:val="0"/>
          <w:marRight w:val="0"/>
          <w:marTop w:val="0"/>
          <w:marBottom w:val="75"/>
          <w:divBdr>
            <w:top w:val="none" w:sz="0" w:space="0" w:color="auto"/>
            <w:left w:val="none" w:sz="0" w:space="0" w:color="auto"/>
            <w:bottom w:val="none" w:sz="0" w:space="0" w:color="auto"/>
            <w:right w:val="none" w:sz="0" w:space="0" w:color="auto"/>
          </w:divBdr>
          <w:divsChild>
            <w:div w:id="802424023">
              <w:marLeft w:val="0"/>
              <w:marRight w:val="0"/>
              <w:marTop w:val="0"/>
              <w:marBottom w:val="0"/>
              <w:divBdr>
                <w:top w:val="none" w:sz="0" w:space="0" w:color="auto"/>
                <w:left w:val="none" w:sz="0" w:space="0" w:color="auto"/>
                <w:bottom w:val="none" w:sz="0" w:space="0" w:color="auto"/>
                <w:right w:val="none" w:sz="0" w:space="0" w:color="auto"/>
              </w:divBdr>
              <w:divsChild>
                <w:div w:id="1673799703">
                  <w:marLeft w:val="0"/>
                  <w:marRight w:val="0"/>
                  <w:marTop w:val="0"/>
                  <w:marBottom w:val="0"/>
                  <w:divBdr>
                    <w:top w:val="none" w:sz="0" w:space="0" w:color="auto"/>
                    <w:left w:val="none" w:sz="0" w:space="0" w:color="auto"/>
                    <w:bottom w:val="none" w:sz="0" w:space="0" w:color="auto"/>
                    <w:right w:val="none" w:sz="0" w:space="0" w:color="auto"/>
                  </w:divBdr>
                </w:div>
                <w:div w:id="1805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37232">
      <w:bodyDiv w:val="1"/>
      <w:marLeft w:val="0"/>
      <w:marRight w:val="0"/>
      <w:marTop w:val="0"/>
      <w:marBottom w:val="0"/>
      <w:divBdr>
        <w:top w:val="none" w:sz="0" w:space="0" w:color="auto"/>
        <w:left w:val="none" w:sz="0" w:space="0" w:color="auto"/>
        <w:bottom w:val="none" w:sz="0" w:space="0" w:color="auto"/>
        <w:right w:val="none" w:sz="0" w:space="0" w:color="auto"/>
      </w:divBdr>
      <w:divsChild>
        <w:div w:id="1266425878">
          <w:marLeft w:val="0"/>
          <w:marRight w:val="0"/>
          <w:marTop w:val="0"/>
          <w:marBottom w:val="75"/>
          <w:divBdr>
            <w:top w:val="none" w:sz="0" w:space="0" w:color="auto"/>
            <w:left w:val="none" w:sz="0" w:space="0" w:color="auto"/>
            <w:bottom w:val="none" w:sz="0" w:space="0" w:color="auto"/>
            <w:right w:val="none" w:sz="0" w:space="0" w:color="auto"/>
          </w:divBdr>
          <w:divsChild>
            <w:div w:id="42171773">
              <w:marLeft w:val="0"/>
              <w:marRight w:val="0"/>
              <w:marTop w:val="0"/>
              <w:marBottom w:val="0"/>
              <w:divBdr>
                <w:top w:val="none" w:sz="0" w:space="0" w:color="auto"/>
                <w:left w:val="none" w:sz="0" w:space="0" w:color="auto"/>
                <w:bottom w:val="none" w:sz="0" w:space="0" w:color="auto"/>
                <w:right w:val="none" w:sz="0" w:space="0" w:color="auto"/>
              </w:divBdr>
              <w:divsChild>
                <w:div w:id="64763413">
                  <w:marLeft w:val="0"/>
                  <w:marRight w:val="0"/>
                  <w:marTop w:val="0"/>
                  <w:marBottom w:val="0"/>
                  <w:divBdr>
                    <w:top w:val="none" w:sz="0" w:space="0" w:color="auto"/>
                    <w:left w:val="none" w:sz="0" w:space="0" w:color="auto"/>
                    <w:bottom w:val="none" w:sz="0" w:space="0" w:color="auto"/>
                    <w:right w:val="none" w:sz="0" w:space="0" w:color="auto"/>
                  </w:divBdr>
                </w:div>
                <w:div w:id="14035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239">
          <w:marLeft w:val="0"/>
          <w:marRight w:val="0"/>
          <w:marTop w:val="0"/>
          <w:marBottom w:val="0"/>
          <w:divBdr>
            <w:top w:val="none" w:sz="0" w:space="0" w:color="auto"/>
            <w:left w:val="none" w:sz="0" w:space="0" w:color="auto"/>
            <w:bottom w:val="none" w:sz="0" w:space="0" w:color="auto"/>
            <w:right w:val="none" w:sz="0" w:space="0" w:color="auto"/>
          </w:divBdr>
        </w:div>
        <w:div w:id="1419012034">
          <w:marLeft w:val="0"/>
          <w:marRight w:val="0"/>
          <w:marTop w:val="0"/>
          <w:marBottom w:val="0"/>
          <w:divBdr>
            <w:top w:val="none" w:sz="0" w:space="0" w:color="auto"/>
            <w:left w:val="none" w:sz="0" w:space="0" w:color="auto"/>
            <w:bottom w:val="none" w:sz="0" w:space="0" w:color="auto"/>
            <w:right w:val="none" w:sz="0" w:space="0" w:color="auto"/>
          </w:divBdr>
        </w:div>
      </w:divsChild>
    </w:div>
    <w:div w:id="1274745035">
      <w:bodyDiv w:val="1"/>
      <w:marLeft w:val="0"/>
      <w:marRight w:val="0"/>
      <w:marTop w:val="0"/>
      <w:marBottom w:val="0"/>
      <w:divBdr>
        <w:top w:val="none" w:sz="0" w:space="0" w:color="auto"/>
        <w:left w:val="none" w:sz="0" w:space="0" w:color="auto"/>
        <w:bottom w:val="none" w:sz="0" w:space="0" w:color="auto"/>
        <w:right w:val="none" w:sz="0" w:space="0" w:color="auto"/>
      </w:divBdr>
    </w:div>
    <w:div w:id="13352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7</cp:revision>
  <dcterms:created xsi:type="dcterms:W3CDTF">2018-06-04T12:13:00Z</dcterms:created>
  <dcterms:modified xsi:type="dcterms:W3CDTF">2019-10-19T08:02:00Z</dcterms:modified>
</cp:coreProperties>
</file>