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F0" w:rsidRDefault="00B91EF0" w:rsidP="00B91EF0">
      <w:pPr>
        <w:ind w:firstLine="709"/>
        <w:jc w:val="center"/>
        <w:rPr>
          <w:sz w:val="28"/>
          <w:szCs w:val="28"/>
        </w:rPr>
      </w:pPr>
    </w:p>
    <w:p w:rsidR="00B91EF0" w:rsidRPr="00B038F2" w:rsidRDefault="00B91EF0" w:rsidP="00B91EF0">
      <w:pPr>
        <w:ind w:firstLine="709"/>
        <w:jc w:val="right"/>
        <w:rPr>
          <w:sz w:val="28"/>
          <w:szCs w:val="28"/>
        </w:rPr>
      </w:pPr>
      <w:r w:rsidRPr="00B038F2">
        <w:rPr>
          <w:sz w:val="28"/>
          <w:szCs w:val="28"/>
        </w:rPr>
        <w:t xml:space="preserve">Приложение </w:t>
      </w:r>
      <w:r w:rsidRPr="00B91EF0">
        <w:rPr>
          <w:sz w:val="28"/>
          <w:szCs w:val="28"/>
        </w:rPr>
        <w:t>2</w:t>
      </w:r>
    </w:p>
    <w:p w:rsidR="00B91EF0" w:rsidRDefault="00B91EF0" w:rsidP="00901482">
      <w:pPr>
        <w:spacing w:line="360" w:lineRule="auto"/>
        <w:ind w:firstLine="0"/>
        <w:rPr>
          <w:sz w:val="28"/>
          <w:szCs w:val="28"/>
        </w:rPr>
      </w:pPr>
    </w:p>
    <w:p w:rsidR="00B91EF0" w:rsidRDefault="00B91EF0" w:rsidP="00901482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 (образец оформления)</w:t>
      </w:r>
    </w:p>
    <w:p w:rsidR="00B91EF0" w:rsidRDefault="00B91EF0" w:rsidP="00901482">
      <w:pPr>
        <w:spacing w:line="360" w:lineRule="auto"/>
        <w:ind w:firstLine="709"/>
        <w:jc w:val="center"/>
        <w:rPr>
          <w:sz w:val="28"/>
          <w:szCs w:val="28"/>
        </w:rPr>
      </w:pP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outlineLvl w:val="0"/>
        <w:rPr>
          <w:sz w:val="28"/>
          <w:szCs w:val="28"/>
        </w:rPr>
      </w:pPr>
      <w:r w:rsidRPr="003D1AB3">
        <w:rPr>
          <w:sz w:val="28"/>
          <w:szCs w:val="28"/>
        </w:rPr>
        <w:t>ВВЕДЕНИЕ</w:t>
      </w:r>
    </w:p>
    <w:p w:rsidR="00B91EF0" w:rsidRDefault="00B91EF0" w:rsidP="00901482">
      <w:pPr>
        <w:spacing w:line="360" w:lineRule="auto"/>
        <w:contextualSpacing/>
        <w:outlineLvl w:val="0"/>
        <w:rPr>
          <w:sz w:val="28"/>
          <w:szCs w:val="28"/>
        </w:rPr>
      </w:pPr>
      <w:r w:rsidRPr="003D1AB3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 xml:space="preserve">Уголовно-процессуальная ответственность и ее место 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 системе юридической ответственности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«юридическая ответственность»</w:t>
      </w:r>
    </w:p>
    <w:p w:rsidR="00B91EF0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 «уголовно-процессуальная ответственность»</w:t>
      </w:r>
      <w:bookmarkStart w:id="0" w:name="_GoBack"/>
      <w:bookmarkEnd w:id="0"/>
      <w:r w:rsidRPr="003D1AB3">
        <w:rPr>
          <w:sz w:val="28"/>
          <w:szCs w:val="28"/>
        </w:rPr>
        <w:t xml:space="preserve"> </w:t>
      </w:r>
    </w:p>
    <w:p w:rsidR="00B91EF0" w:rsidRDefault="00B91EF0" w:rsidP="00901482">
      <w:pPr>
        <w:spacing w:after="200" w:line="360" w:lineRule="auto"/>
        <w:ind w:left="1276" w:hanging="556"/>
        <w:contextualSpacing/>
        <w:rPr>
          <w:sz w:val="28"/>
          <w:szCs w:val="28"/>
        </w:rPr>
      </w:pPr>
      <w:r w:rsidRPr="003F260B">
        <w:rPr>
          <w:sz w:val="28"/>
          <w:szCs w:val="28"/>
        </w:rPr>
        <w:t xml:space="preserve">1.3. Уголовно-процессуальная ответственность в системе </w:t>
      </w:r>
      <w:r>
        <w:rPr>
          <w:sz w:val="28"/>
          <w:szCs w:val="28"/>
        </w:rPr>
        <w:t xml:space="preserve">юридической </w:t>
      </w:r>
      <w:r w:rsidR="00901482" w:rsidRPr="00901482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</w:p>
    <w:p w:rsidR="00B91EF0" w:rsidRPr="003D1AB3" w:rsidRDefault="00B91EF0" w:rsidP="00901482">
      <w:pPr>
        <w:spacing w:after="200" w:line="360" w:lineRule="auto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 xml:space="preserve">ГЛАВА 2. </w:t>
      </w:r>
      <w:r>
        <w:rPr>
          <w:sz w:val="28"/>
          <w:szCs w:val="28"/>
        </w:rPr>
        <w:t>Основания уголовно-процессуальной ответственности</w:t>
      </w:r>
    </w:p>
    <w:p w:rsidR="00B91EF0" w:rsidRDefault="00B91EF0" w:rsidP="00901482">
      <w:pPr>
        <w:spacing w:line="360" w:lineRule="auto"/>
        <w:contextualSpacing/>
        <w:outlineLvl w:val="0"/>
        <w:rPr>
          <w:sz w:val="28"/>
          <w:szCs w:val="28"/>
        </w:rPr>
      </w:pPr>
      <w:r w:rsidRPr="003D1AB3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 юридической ответственности:</w:t>
      </w:r>
    </w:p>
    <w:p w:rsidR="00B91EF0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     понятие и признаки</w:t>
      </w:r>
      <w:r w:rsidRPr="003D1AB3">
        <w:rPr>
          <w:sz w:val="28"/>
          <w:szCs w:val="28"/>
        </w:rPr>
        <w:t xml:space="preserve"> </w:t>
      </w:r>
    </w:p>
    <w:p w:rsidR="00B91EF0" w:rsidRDefault="00B91EF0" w:rsidP="00901482">
      <w:pPr>
        <w:spacing w:line="360" w:lineRule="auto"/>
        <w:contextualSpacing/>
        <w:outlineLvl w:val="0"/>
        <w:rPr>
          <w:sz w:val="28"/>
          <w:szCs w:val="28"/>
        </w:rPr>
      </w:pPr>
      <w:r w:rsidRPr="003D1AB3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D1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Уголовно-процессуальное правонарушение как основание для 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уголовно-процессуальной ответственности</w:t>
      </w:r>
      <w:r w:rsidRPr="003D1AB3">
        <w:rPr>
          <w:sz w:val="28"/>
          <w:szCs w:val="28"/>
        </w:rPr>
        <w:t xml:space="preserve"> 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>ЗАКЛЮЧЕНИЕ</w:t>
      </w:r>
    </w:p>
    <w:p w:rsidR="00B91EF0" w:rsidRPr="003D1AB3" w:rsidRDefault="00B91EF0" w:rsidP="009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3D1AB3">
        <w:rPr>
          <w:sz w:val="28"/>
          <w:szCs w:val="28"/>
        </w:rPr>
        <w:t>БИБЛИОГРАФИЧЕСКИЙ СПИСОК</w:t>
      </w:r>
    </w:p>
    <w:p w:rsidR="00B91EF0" w:rsidRPr="003D1AB3" w:rsidRDefault="00B91EF0" w:rsidP="0090148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675AC6" w:rsidRDefault="00675AC6" w:rsidP="00901482">
      <w:pPr>
        <w:spacing w:line="360" w:lineRule="auto"/>
      </w:pPr>
    </w:p>
    <w:sectPr w:rsidR="00675AC6" w:rsidSect="00675A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5B" w:rsidRDefault="00045E5B" w:rsidP="00033357">
      <w:r>
        <w:separator/>
      </w:r>
    </w:p>
  </w:endnote>
  <w:endnote w:type="continuationSeparator" w:id="0">
    <w:p w:rsidR="00045E5B" w:rsidRDefault="00045E5B" w:rsidP="0003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5B" w:rsidRDefault="00045E5B" w:rsidP="00033357">
      <w:r>
        <w:separator/>
      </w:r>
    </w:p>
  </w:footnote>
  <w:footnote w:type="continuationSeparator" w:id="0">
    <w:p w:rsidR="00045E5B" w:rsidRDefault="00045E5B" w:rsidP="00033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57" w:rsidRDefault="00033357" w:rsidP="00033357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033357" w:rsidRDefault="00033357" w:rsidP="0003335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33357" w:rsidRDefault="00033357" w:rsidP="0003335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33357" w:rsidRDefault="00033357" w:rsidP="0003335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33357" w:rsidRDefault="00033357">
    <w:pPr>
      <w:pStyle w:val="a4"/>
    </w:pPr>
  </w:p>
  <w:p w:rsidR="00033357" w:rsidRDefault="000333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F0"/>
    <w:rsid w:val="00033357"/>
    <w:rsid w:val="00045E5B"/>
    <w:rsid w:val="00343755"/>
    <w:rsid w:val="0041104D"/>
    <w:rsid w:val="00451338"/>
    <w:rsid w:val="00675AC6"/>
    <w:rsid w:val="00722CB9"/>
    <w:rsid w:val="00745361"/>
    <w:rsid w:val="008B0CA3"/>
    <w:rsid w:val="00901482"/>
    <w:rsid w:val="00B9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F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33357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033357"/>
    <w:pPr>
      <w:spacing w:before="100" w:beforeAutospacing="1" w:after="100" w:afterAutospacing="1"/>
      <w:ind w:firstLine="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F0"/>
    <w:pPr>
      <w:spacing w:before="100" w:beforeAutospacing="1" w:after="100" w:afterAutospacing="1"/>
      <w:ind w:firstLine="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033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3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3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3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33357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4</cp:revision>
  <dcterms:created xsi:type="dcterms:W3CDTF">2016-06-17T12:12:00Z</dcterms:created>
  <dcterms:modified xsi:type="dcterms:W3CDTF">2019-04-15T15:05:00Z</dcterms:modified>
</cp:coreProperties>
</file>