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sidRPr="00237785">
        <w:rPr>
          <w:rFonts w:ascii="Times New Roman" w:eastAsia="Times New Roman" w:hAnsi="Times New Roman" w:cs="Times New Roman"/>
          <w:sz w:val="28"/>
          <w:szCs w:val="28"/>
          <w:lang w:eastAsia="ru-RU"/>
        </w:rPr>
        <w:t>Обоснование закупки – это официальный документ, являющийся неотъемлемым приложением к плану и плану-графику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Осуществляется обоснование закупки Заказчиком на этапе планирования и представляет собой установление соответствия планируемой закупки действительным целям осуществления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внесении изменений в план или план-график закупок соответствующие изменения должны вноситься и в соответствующие формы обоснования закупок.</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Какие существенные условия закупки подлежат обоснованию?</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и формировании плана предполагаемых закупок обоснованию подлежит непосредственно объект закупки исходя из необходимости реализации конкретной цели данной закупки. В таблице самого плана содержится колонка под названием «Цель осуществления закупки», в которой и должно указываться мероприятие муниципальной или государственной программы, в рамках которое учреждение делает закупку, а также предполагаемый результат проведения данного мероприятия.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формировании плана графику обосновывать необходимо начальную стоимость контракта и метод определения поставщика/исполнителя/подрядчика.</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Сроки подготовки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Сроки подготовки обоснования закупок устанавливаются следующим образом:</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Правительством Российской Федерации — для федеральных Заказчиков;</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высшим исполнительным органом государственной власти субъекта — для Заказчиков субъекта Российской Федерации;</w:t>
      </w:r>
    </w:p>
    <w:p w:rsidR="00237785" w:rsidRPr="00237785" w:rsidRDefault="00237785" w:rsidP="00237785">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местной администрацией — для муниципальных Заказчиков .</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 написать обоснование закупки по 44-ФЗ: примеры и образцы</w:t>
      </w:r>
    </w:p>
    <w:p w:rsidR="00237785" w:rsidRPr="00237785" w:rsidRDefault="00237785" w:rsidP="00237785">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Соответствие объекта закупки — что писать?</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Графы форм обоснования планов и планов-графиков закупок заполняются заказчиком в свободной форме, но в соответствии с требованиями Закона №44-ФЗ.</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этом в качестве обязательного приложения к плану закупок будет выступать отдельный документ-обоснование в отношении каждого объекта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Обоснование закупок представляет собой таблицу, в которую по каждой отдельной закупке вносят:</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идентификационный номер/код;</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объекта закупки;</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программы (государственное/субъекта РФ/муниципальной);</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мероприятия программы;</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обоснование соответствия объекта закупки мероприятию, полномочиям, функциям и международному договору РФ;</w:t>
      </w:r>
    </w:p>
    <w:p w:rsidR="00237785" w:rsidRPr="00237785" w:rsidRDefault="00237785" w:rsidP="00237785">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полное наименование, дату принятия и номер утвержденных нормативно-правовых актов.</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плана-графика необходимо внести данные по каждому объекту закупки в отдельное приложение к данному документу:</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идентификационный номер/код;</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наименование и описание конкретного объекта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дополнительные требования (и их обоснование) к участникам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метод определения подрядчика/исполнителя/поставщика и обоснование выбора;</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дату начала закупки;</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сведения о размере предоставляемого обеспечения заявки участника и обеспечения исполнения контракта;</w:t>
      </w:r>
    </w:p>
    <w:p w:rsidR="00237785" w:rsidRPr="00237785" w:rsidRDefault="00237785" w:rsidP="00237785">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информацию о банковском сопровождении контракта.</w:t>
      </w:r>
    </w:p>
    <w:p w:rsidR="00237785" w:rsidRPr="00237785" w:rsidRDefault="00237785" w:rsidP="00237785">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Дата утверждения обоснования закупок — какую дату ставить?</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Дату утверждения обоснования закупок необходимо ставить ту же, что и дату утверждения плана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Утверждается план закупок в течение десяти рабочих дней с момента доведения до муниципального/государственного заказчика объема прав в денежном выражении на принятие/исполнение обязательств в соответствии с бюджетным законодательством РФ.</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формировании плана закупок обосновывать необходимо каждый объект закупки, включенный в план. В обосновании Заказчику следует указать цель осуществления закупки: наименование мероприятия, функции, полномочия и реквизиты акта о нормировании или указание на его отсутствие.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Закону №44-ФЗ цели осуществления закупок могут заключаться в:</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реализации мероприятий муниципальных и государственных программ;</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исполнения международных обязательств и реализации межгосударственных программ;</w:t>
      </w:r>
    </w:p>
    <w:p w:rsidR="00237785" w:rsidRPr="00237785" w:rsidRDefault="00237785" w:rsidP="00237785">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обеспечении выполнения иных функций и полномочий органов власти/местного самоуправления.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Согласно действующему законодательству при создании плана-графика обоснованию подлежит начальная/максимальная стоимость контракта, способ определения поставщика и дополнительные требования к участникам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 случае осуществления закупки у единственного поставщика заказчику необходимо в соответствующем отчете объяснить причину, по которой конкурентные способы закупки не использовались, например:</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срочность закупки (необходимо подтверждение нецелесообразности торгов из-за ограниченного количества времени);</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отсутствие конкуренции (если поставщик является монополистом в данном регионе, а привлечение поставщиков из других регионов нецелесообразно или невозможно);</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нерентабельность доставки из другого региона (при отсутствии других поставщиков в регионе);</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отсутствие заинтересованности участников рынка (необходимо документальное подтверждение);</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распродажа (цены данного поставщика существенно ниже рыночных в течение ограниченного промежутка времени);</w:t>
      </w:r>
    </w:p>
    <w:p w:rsidR="00237785" w:rsidRPr="00237785" w:rsidRDefault="00237785" w:rsidP="00237785">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дополнительная закупка (при необходимости обеспечения полной совместимости ранее купленных товаров с товарами из новой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Отчет необходимо составить и утвердить до заключения контракта. Форма отчета не регламентирована, однако обоснование закупки у единственного поставщика должно включать следующие сведения:</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цель и необходимость закупки;</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описание товара и преимуществ поставщика;</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объяснение причин невозможности или нецелесообразности использования конкурентных способов закупки;</w:t>
      </w:r>
    </w:p>
    <w:p w:rsidR="00237785" w:rsidRPr="00237785" w:rsidRDefault="00237785" w:rsidP="00237785">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вывод о необходимости закупки у данного поставщика.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необходимости следует указать ссылки на нормы, установленные на законодательном уровне.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составлении обоснования закупок у единственного поставщика необходимо помнить о том, что закон разрешает приобретать у единственного поставщика товары на сумму не более ста тысяч рублей, однако совокупный годовой объем таких покупок (кроме закупок для нужд сельского поселения) не должен превышать 5 процентов от всех закупок и 50 миллионов рублей.</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этом для закупок в сфере науки, культуры, спорта и образования действует ограничение в 50% и 20 миллионов рублей соответственно.</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 начала прошлого года в России введены определенные ограничения на закупку иностранного ПО (Постановление Правительства №1236 от 16.11.2015). Иными словами, муниципальные и государственные заказчики должны ограничить закупки программного обеспечения утвержденным перечнем. Приобретение иностранного софта допускается только в случае веского обоснования необходимости его закупки.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Перед принятием окончательного решения о приобретении иностранного ПО Заказчик должен провести работу с реестром российского программного обеспечения.</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Таким образом, Заказчик обязан сначала:</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изучить реестр и определить к какому классу относится нужное ему ПО;</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lastRenderedPageBreak/>
        <w:t>найти на официальном сайте госреестра сведения об имеющемся софте данного класса;</w:t>
      </w:r>
    </w:p>
    <w:p w:rsidR="00237785" w:rsidRPr="00237785" w:rsidRDefault="00237785" w:rsidP="00237785">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 наличии подходящего ПО сверить продукт с требуемыми характеристиками.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Если имеющийся продукт по каким-то причинам не подходит, Заказчику предстоит составить обоснование необходимости приобретения иностранного софта, в котором необходимо указать:</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причины невозможности соблюдения запрета;</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класс необходимого программного обеспечения;</w:t>
      </w:r>
    </w:p>
    <w:p w:rsidR="00237785" w:rsidRPr="00237785" w:rsidRDefault="00237785" w:rsidP="00237785">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требования к характеристикам закупаемого ПО, которым не соответствует российский продукт.</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действующему законодательству, в государственных закупках установлены запреты и ограничения на приобретения иностранных товаров. Иными словами, если товар зарубежного производства не входит в ограничительный или запретный перечень, то заказчик имеет право на его приобретение.</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Необходимо отметить, что в отношении компьютерной и организационной техники участникам не запрещено в своих заявках предлагать к закупкам товары зарубежного производства, однако имеется ряд условий, при которых они могут быть допущены к процедуре. К примеру, продукции из стран Евросоюза предусмотрена пятнадцатипроцентная преференция в отношении стоимости контракта.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 xml:space="preserve">В прошлом году было введено новое ограничение на приобретение отдельных видов радиоэлектронной техники иностранного происхождения, согласно которому заказчик обязан отклонить заявки по радиоэлектронике зарубежного производства, если на конкурс поступило хотя бы две заявки с </w:t>
      </w:r>
      <w:r w:rsidRPr="00237785">
        <w:rPr>
          <w:rFonts w:ascii="Times New Roman" w:eastAsia="Times New Roman" w:hAnsi="Times New Roman" w:cs="Times New Roman"/>
          <w:sz w:val="28"/>
          <w:szCs w:val="28"/>
          <w:lang w:eastAsia="ru-RU"/>
        </w:rPr>
        <w:lastRenderedPageBreak/>
        <w:t>предложением российских товаров разных производителей. Однако данного рода ограничения не распространяются на товары производства стран ЕАЭС (Евразийского экономического союза).</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Важный момент заключается в том, что в один и тот же контракт заказчик не имеет права включать продукцию, входящую и не входящую в перечень, прилагаемый к постановлению. Также в ходе исполнения контракта заменить товары российского производства и производства Евразийского экономического союза на импортные аналоги нельзя.</w:t>
      </w:r>
    </w:p>
    <w:p w:rsidR="00237785" w:rsidRPr="00237785" w:rsidRDefault="00237785" w:rsidP="00237785">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Как производится оценка обоснованности осуществления закупок: критерии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Согласно Закону №44-ФЗ оценка обоснованности закупок производится в ходе мониторинга, контроля и аудита в сфере закупок.</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По результатам контроля и аудита закупка может быть признана необоснованной.</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В такой ситуации органы внутреннего муниципального/государственного финансового контроля выдают соответствующие предписания о ликвидации выявленных нарушений законодательства и привлекают виновных лиц к соответствующей административной ответственности.</w:t>
      </w:r>
    </w:p>
    <w:p w:rsidR="00237785" w:rsidRPr="00237785" w:rsidRDefault="00237785" w:rsidP="002377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7785">
        <w:rPr>
          <w:rFonts w:ascii="Times New Roman" w:eastAsia="Times New Roman" w:hAnsi="Times New Roman" w:cs="Times New Roman"/>
          <w:sz w:val="28"/>
          <w:szCs w:val="28"/>
          <w:lang w:eastAsia="ru-RU"/>
        </w:rPr>
        <w:t>Таким образом, обоснование закупок не обычная формальность, а полноценный документ, которой дает возможность приобрести товары, работы или услуги в необходимом качестве и количестве. Именно поэтому к составлению обоснования необходимо подойти со всей внимательностью и ответственностью.</w:t>
      </w:r>
    </w:p>
    <w:p w:rsidR="00AE15E0" w:rsidRDefault="00BD7763"/>
    <w:sectPr w:rsidR="00AE15E0" w:rsidSect="00170D5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63" w:rsidRDefault="00BD7763" w:rsidP="00630BC5">
      <w:pPr>
        <w:spacing w:after="0" w:line="240" w:lineRule="auto"/>
      </w:pPr>
      <w:r>
        <w:separator/>
      </w:r>
    </w:p>
  </w:endnote>
  <w:endnote w:type="continuationSeparator" w:id="0">
    <w:p w:rsidR="00BD7763" w:rsidRDefault="00BD7763" w:rsidP="0063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63" w:rsidRDefault="00BD7763" w:rsidP="00630BC5">
      <w:pPr>
        <w:spacing w:after="0" w:line="240" w:lineRule="auto"/>
      </w:pPr>
      <w:r>
        <w:separator/>
      </w:r>
    </w:p>
  </w:footnote>
  <w:footnote w:type="continuationSeparator" w:id="0">
    <w:p w:rsidR="00BD7763" w:rsidRDefault="00BD7763" w:rsidP="0063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C5" w:rsidRPr="007747A0" w:rsidRDefault="00630BC5" w:rsidP="00630BC5">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747A0">
      <w:rPr>
        <w:b/>
        <w:color w:val="FF0000"/>
        <w:sz w:val="32"/>
        <w:szCs w:val="32"/>
      </w:rPr>
      <w:t xml:space="preserve">Работа выполнена авторами сайта </w:t>
    </w:r>
    <w:hyperlink r:id="rId1" w:history="1">
      <w:r w:rsidRPr="007747A0">
        <w:rPr>
          <w:rStyle w:val="a9"/>
          <w:b/>
          <w:color w:val="FF0000"/>
          <w:sz w:val="32"/>
          <w:szCs w:val="32"/>
        </w:rPr>
        <w:t>ДЦО.РФ</w:t>
      </w:r>
    </w:hyperlink>
  </w:p>
  <w:p w:rsidR="00630BC5" w:rsidRPr="007747A0" w:rsidRDefault="00630BC5" w:rsidP="00630BC5">
    <w:pPr>
      <w:pStyle w:val="4"/>
      <w:shd w:val="clear" w:color="auto" w:fill="FFFFFF"/>
      <w:spacing w:before="187" w:beforeAutospacing="0" w:after="187" w:afterAutospacing="0"/>
      <w:jc w:val="center"/>
      <w:rPr>
        <w:rFonts w:ascii="Helvetica" w:hAnsi="Helvetica" w:cs="Helvetica"/>
        <w:bCs w:val="0"/>
        <w:color w:val="FF0000"/>
        <w:sz w:val="32"/>
        <w:szCs w:val="32"/>
      </w:rPr>
    </w:pPr>
    <w:r w:rsidRPr="007747A0">
      <w:rPr>
        <w:rFonts w:ascii="Helvetica" w:hAnsi="Helvetica" w:cs="Helvetica"/>
        <w:bCs w:val="0"/>
        <w:color w:val="FF0000"/>
        <w:sz w:val="32"/>
        <w:szCs w:val="32"/>
      </w:rPr>
      <w:t xml:space="preserve">Помощь с дистанционным обучением: </w:t>
    </w:r>
  </w:p>
  <w:p w:rsidR="00630BC5" w:rsidRPr="007747A0" w:rsidRDefault="00630BC5" w:rsidP="00630BC5">
    <w:pPr>
      <w:pStyle w:val="4"/>
      <w:shd w:val="clear" w:color="auto" w:fill="FFFFFF"/>
      <w:spacing w:before="187" w:beforeAutospacing="0" w:after="187" w:afterAutospacing="0"/>
      <w:jc w:val="center"/>
      <w:rPr>
        <w:rFonts w:ascii="Helvetica" w:hAnsi="Helvetica" w:cs="Helvetica"/>
        <w:bCs w:val="0"/>
        <w:color w:val="FF0000"/>
        <w:sz w:val="32"/>
        <w:szCs w:val="32"/>
      </w:rPr>
    </w:pPr>
    <w:r w:rsidRPr="007747A0">
      <w:rPr>
        <w:rFonts w:ascii="Helvetica" w:hAnsi="Helvetica" w:cs="Helvetica"/>
        <w:bCs w:val="0"/>
        <w:color w:val="FF0000"/>
        <w:sz w:val="32"/>
        <w:szCs w:val="32"/>
      </w:rPr>
      <w:t>тесты, экзамены, сессия.</w:t>
    </w:r>
  </w:p>
  <w:p w:rsidR="00630BC5" w:rsidRPr="007747A0" w:rsidRDefault="00630BC5" w:rsidP="00630BC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747A0">
      <w:rPr>
        <w:rFonts w:ascii="Helvetica" w:hAnsi="Helvetica" w:cs="Helvetica"/>
        <w:bCs w:val="0"/>
        <w:color w:val="FF0000"/>
        <w:sz w:val="32"/>
        <w:szCs w:val="32"/>
      </w:rPr>
      <w:t>Почта для заявок: </w:t>
    </w:r>
    <w:hyperlink r:id="rId2" w:history="1">
      <w:r w:rsidRPr="007747A0">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30BC5" w:rsidRDefault="00630BC5">
    <w:pPr>
      <w:pStyle w:val="a3"/>
    </w:pPr>
  </w:p>
  <w:p w:rsidR="00630BC5" w:rsidRDefault="00630B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149"/>
    <w:multiLevelType w:val="multilevel"/>
    <w:tmpl w:val="52E8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10ED7"/>
    <w:multiLevelType w:val="multilevel"/>
    <w:tmpl w:val="E13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A08DE"/>
    <w:multiLevelType w:val="multilevel"/>
    <w:tmpl w:val="D0D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C5063"/>
    <w:multiLevelType w:val="multilevel"/>
    <w:tmpl w:val="4BA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B2193"/>
    <w:multiLevelType w:val="multilevel"/>
    <w:tmpl w:val="604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B7DC0"/>
    <w:multiLevelType w:val="multilevel"/>
    <w:tmpl w:val="1F0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12845"/>
    <w:multiLevelType w:val="multilevel"/>
    <w:tmpl w:val="4D14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63051"/>
    <w:multiLevelType w:val="multilevel"/>
    <w:tmpl w:val="A52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785"/>
    <w:rsid w:val="00170D55"/>
    <w:rsid w:val="00237785"/>
    <w:rsid w:val="00630BC5"/>
    <w:rsid w:val="00656A4B"/>
    <w:rsid w:val="007747A0"/>
    <w:rsid w:val="009C641C"/>
    <w:rsid w:val="00BA7819"/>
    <w:rsid w:val="00BD7763"/>
    <w:rsid w:val="00CD19B8"/>
    <w:rsid w:val="00E1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55"/>
  </w:style>
  <w:style w:type="paragraph" w:styleId="3">
    <w:name w:val="heading 3"/>
    <w:basedOn w:val="a"/>
    <w:link w:val="30"/>
    <w:uiPriority w:val="9"/>
    <w:semiHidden/>
    <w:unhideWhenUsed/>
    <w:qFormat/>
    <w:rsid w:val="00630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30B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BC5"/>
  </w:style>
  <w:style w:type="paragraph" w:styleId="a5">
    <w:name w:val="footer"/>
    <w:basedOn w:val="a"/>
    <w:link w:val="a6"/>
    <w:uiPriority w:val="99"/>
    <w:unhideWhenUsed/>
    <w:rsid w:val="00630B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BC5"/>
  </w:style>
  <w:style w:type="paragraph" w:styleId="a7">
    <w:name w:val="Balloon Text"/>
    <w:basedOn w:val="a"/>
    <w:link w:val="a8"/>
    <w:uiPriority w:val="99"/>
    <w:semiHidden/>
    <w:unhideWhenUsed/>
    <w:rsid w:val="00630B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BC5"/>
    <w:rPr>
      <w:rFonts w:ascii="Tahoma" w:hAnsi="Tahoma" w:cs="Tahoma"/>
      <w:sz w:val="16"/>
      <w:szCs w:val="16"/>
    </w:rPr>
  </w:style>
  <w:style w:type="character" w:customStyle="1" w:styleId="30">
    <w:name w:val="Заголовок 3 Знак"/>
    <w:basedOn w:val="a0"/>
    <w:link w:val="3"/>
    <w:uiPriority w:val="9"/>
    <w:semiHidden/>
    <w:rsid w:val="00630B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30BC5"/>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630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5506">
      <w:bodyDiv w:val="1"/>
      <w:marLeft w:val="0"/>
      <w:marRight w:val="0"/>
      <w:marTop w:val="0"/>
      <w:marBottom w:val="0"/>
      <w:divBdr>
        <w:top w:val="none" w:sz="0" w:space="0" w:color="auto"/>
        <w:left w:val="none" w:sz="0" w:space="0" w:color="auto"/>
        <w:bottom w:val="none" w:sz="0" w:space="0" w:color="auto"/>
        <w:right w:val="none" w:sz="0" w:space="0" w:color="auto"/>
      </w:divBdr>
      <w:divsChild>
        <w:div w:id="755901916">
          <w:marLeft w:val="675"/>
          <w:marRight w:val="675"/>
          <w:marTop w:val="300"/>
          <w:marBottom w:val="300"/>
          <w:divBdr>
            <w:top w:val="single" w:sz="12" w:space="17" w:color="E1E168"/>
            <w:left w:val="single" w:sz="12" w:space="21" w:color="E1E168"/>
            <w:bottom w:val="single" w:sz="12" w:space="17" w:color="E1E168"/>
            <w:right w:val="single" w:sz="12" w:space="21" w:color="E1E168"/>
          </w:divBdr>
        </w:div>
        <w:div w:id="978415693">
          <w:marLeft w:val="675"/>
          <w:marRight w:val="675"/>
          <w:marTop w:val="300"/>
          <w:marBottom w:val="300"/>
          <w:divBdr>
            <w:top w:val="single" w:sz="12" w:space="17" w:color="F5AB1B"/>
            <w:left w:val="single" w:sz="12" w:space="21" w:color="F5AB1B"/>
            <w:bottom w:val="single" w:sz="12" w:space="17" w:color="F5AB1B"/>
            <w:right w:val="single" w:sz="12" w:space="21" w:color="F5AB1B"/>
          </w:divBdr>
        </w:div>
      </w:divsChild>
    </w:div>
    <w:div w:id="17096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5</cp:revision>
  <dcterms:created xsi:type="dcterms:W3CDTF">2018-08-01T08:07:00Z</dcterms:created>
  <dcterms:modified xsi:type="dcterms:W3CDTF">2019-10-15T13:04:00Z</dcterms:modified>
</cp:coreProperties>
</file>