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16" w:rsidRPr="004F1616" w:rsidRDefault="004F1616" w:rsidP="004F1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616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4F1616" w:rsidRPr="004F1616" w:rsidRDefault="004F1616" w:rsidP="00137904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1616">
        <w:rPr>
          <w:rFonts w:ascii="Times New Roman" w:hAnsi="Times New Roman" w:cs="Times New Roman"/>
          <w:b/>
          <w:i/>
          <w:sz w:val="28"/>
          <w:szCs w:val="28"/>
        </w:rPr>
        <w:t>Цель работы: изучить особенности расчета налога на добавленную стоимость предприятия.</w:t>
      </w:r>
    </w:p>
    <w:p w:rsidR="004F1616" w:rsidRPr="004F1616" w:rsidRDefault="004F1616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16">
        <w:rPr>
          <w:rFonts w:ascii="Times New Roman" w:hAnsi="Times New Roman" w:cs="Times New Roman"/>
          <w:sz w:val="28"/>
          <w:szCs w:val="28"/>
        </w:rPr>
        <w:t>Налог на добавленную стоимость является одним из основных федеральных налогов, который рассчитывается и взимается с предприятий в соответствии с главой 21 «Налог на добавленную стоимость» НК РФ. Этот налог включается в стоимость продукции предприятий.</w:t>
      </w:r>
    </w:p>
    <w:p w:rsidR="004F1616" w:rsidRPr="004F1616" w:rsidRDefault="004F1616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16">
        <w:rPr>
          <w:rFonts w:ascii="Times New Roman" w:hAnsi="Times New Roman" w:cs="Times New Roman"/>
          <w:sz w:val="28"/>
          <w:szCs w:val="28"/>
        </w:rPr>
        <w:t>Объектом налогообложения при этом являются обороты по реализации продукции или выполненных работ и оказанных услуг на территории Российской Федерации. Для определения облагаемого оборота используется показатель стоимости реализуемых товаров, работ, услуг предприятия.</w:t>
      </w:r>
    </w:p>
    <w:p w:rsidR="004F1616" w:rsidRPr="004F1616" w:rsidRDefault="004F1616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16">
        <w:rPr>
          <w:rFonts w:ascii="Times New Roman" w:hAnsi="Times New Roman" w:cs="Times New Roman"/>
          <w:sz w:val="28"/>
          <w:szCs w:val="28"/>
        </w:rPr>
        <w:t>Следует различать показатели стоимости реализованной продукции (СРП) и выручки от реализации продукции (ВРП). Стоимость реализованной продукции может включать в себя сумму НДС, тогда это будет называться выручкой от реализации продукции:</w:t>
      </w:r>
    </w:p>
    <w:p w:rsidR="004F1616" w:rsidRPr="004F1616" w:rsidRDefault="004F1616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16">
        <w:rPr>
          <w:rFonts w:ascii="Times New Roman" w:hAnsi="Times New Roman" w:cs="Times New Roman"/>
          <w:sz w:val="28"/>
          <w:szCs w:val="28"/>
        </w:rPr>
        <w:t>ВРП = СРП + НДС</w:t>
      </w:r>
    </w:p>
    <w:p w:rsidR="004F1616" w:rsidRPr="004F1616" w:rsidRDefault="004F1616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16">
        <w:rPr>
          <w:rFonts w:ascii="Times New Roman" w:hAnsi="Times New Roman" w:cs="Times New Roman"/>
          <w:sz w:val="28"/>
          <w:szCs w:val="28"/>
        </w:rPr>
        <w:t>В этой связи, установленные ставки НДС 10% (по отдельным продовольственным товарам и товарам для детей, перечень которых утверждается правительством РФ) и 18% (по всем остальным товарам, работам и услугам) применяются по-разному:</w:t>
      </w:r>
    </w:p>
    <w:p w:rsidR="004F1616" w:rsidRPr="004F1616" w:rsidRDefault="004F1616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16">
        <w:rPr>
          <w:rFonts w:ascii="Times New Roman" w:hAnsi="Times New Roman" w:cs="Times New Roman"/>
          <w:sz w:val="28"/>
          <w:szCs w:val="28"/>
        </w:rPr>
        <w:t>• СРП (без НДС) → основные ставки 10%, 18%;</w:t>
      </w:r>
    </w:p>
    <w:p w:rsidR="004F1616" w:rsidRPr="004F1616" w:rsidRDefault="004F1616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16">
        <w:rPr>
          <w:rFonts w:ascii="Times New Roman" w:hAnsi="Times New Roman" w:cs="Times New Roman"/>
          <w:sz w:val="28"/>
          <w:szCs w:val="28"/>
        </w:rPr>
        <w:t xml:space="preserve">• ВРП (с НДС) → расчетный коэффициент </w:t>
      </w:r>
      <w:r w:rsidRPr="004F161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F1616">
        <w:rPr>
          <w:rFonts w:ascii="Times New Roman" w:hAnsi="Times New Roman" w:cs="Times New Roman"/>
          <w:sz w:val="28"/>
          <w:szCs w:val="28"/>
        </w:rPr>
        <w:t xml:space="preserve"> = 18 : 118.</w:t>
      </w:r>
    </w:p>
    <w:p w:rsidR="004F1616" w:rsidRPr="004F1616" w:rsidRDefault="004F1616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16">
        <w:rPr>
          <w:rFonts w:ascii="Times New Roman" w:hAnsi="Times New Roman" w:cs="Times New Roman"/>
          <w:sz w:val="28"/>
          <w:szCs w:val="28"/>
        </w:rPr>
        <w:lastRenderedPageBreak/>
        <w:t>Сумма налога на добавленную стоимость, которую необходимо внести в бюджет (НДС</w:t>
      </w:r>
      <w:r w:rsidRPr="004F1616">
        <w:rPr>
          <w:rFonts w:ascii="Times New Roman" w:hAnsi="Times New Roman" w:cs="Times New Roman"/>
          <w:sz w:val="28"/>
          <w:szCs w:val="28"/>
          <w:vertAlign w:val="superscript"/>
        </w:rPr>
        <w:t>Б</w:t>
      </w:r>
      <w:r w:rsidRPr="004F1616">
        <w:rPr>
          <w:rFonts w:ascii="Times New Roman" w:hAnsi="Times New Roman" w:cs="Times New Roman"/>
          <w:sz w:val="28"/>
          <w:szCs w:val="28"/>
        </w:rPr>
        <w:t>), определяется:</w:t>
      </w:r>
    </w:p>
    <w:p w:rsidR="004F1616" w:rsidRPr="004F1616" w:rsidRDefault="004F1616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16">
        <w:rPr>
          <w:rFonts w:ascii="Times New Roman" w:hAnsi="Times New Roman" w:cs="Times New Roman"/>
          <w:sz w:val="28"/>
          <w:szCs w:val="28"/>
        </w:rPr>
        <w:t>НДС</w:t>
      </w:r>
      <w:r w:rsidRPr="004F1616">
        <w:rPr>
          <w:rFonts w:ascii="Times New Roman" w:hAnsi="Times New Roman" w:cs="Times New Roman"/>
          <w:sz w:val="28"/>
          <w:szCs w:val="28"/>
          <w:vertAlign w:val="superscript"/>
        </w:rPr>
        <w:t>Б</w:t>
      </w:r>
      <w:r w:rsidRPr="004F1616">
        <w:rPr>
          <w:rFonts w:ascii="Times New Roman" w:hAnsi="Times New Roman" w:cs="Times New Roman"/>
          <w:sz w:val="28"/>
          <w:szCs w:val="28"/>
        </w:rPr>
        <w:t xml:space="preserve"> = НДС - НДС</w:t>
      </w:r>
      <w:r w:rsidRPr="004F1616">
        <w:rPr>
          <w:rFonts w:ascii="Times New Roman" w:hAnsi="Times New Roman" w:cs="Times New Roman"/>
          <w:sz w:val="28"/>
          <w:szCs w:val="28"/>
          <w:vertAlign w:val="superscript"/>
        </w:rPr>
        <w:t>УПЛ</w:t>
      </w:r>
    </w:p>
    <w:p w:rsidR="004F1616" w:rsidRPr="004F1616" w:rsidRDefault="004F1616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16">
        <w:rPr>
          <w:rFonts w:ascii="Times New Roman" w:hAnsi="Times New Roman" w:cs="Times New Roman"/>
          <w:sz w:val="28"/>
          <w:szCs w:val="28"/>
        </w:rPr>
        <w:t>где НДС</w:t>
      </w:r>
      <w:r w:rsidRPr="004F1616">
        <w:rPr>
          <w:rFonts w:ascii="Times New Roman" w:hAnsi="Times New Roman" w:cs="Times New Roman"/>
          <w:sz w:val="28"/>
          <w:szCs w:val="28"/>
          <w:vertAlign w:val="superscript"/>
        </w:rPr>
        <w:t>Б</w:t>
      </w:r>
      <w:r w:rsidRPr="004F1616">
        <w:rPr>
          <w:rFonts w:ascii="Times New Roman" w:hAnsi="Times New Roman" w:cs="Times New Roman"/>
          <w:sz w:val="28"/>
          <w:szCs w:val="28"/>
        </w:rPr>
        <w:t xml:space="preserve"> - сумма налога, полученная от потребителей за реализованную продукцию, работы, услуги; НДС</w:t>
      </w:r>
      <w:r w:rsidRPr="004F1616">
        <w:rPr>
          <w:rFonts w:ascii="Times New Roman" w:hAnsi="Times New Roman" w:cs="Times New Roman"/>
          <w:sz w:val="28"/>
          <w:szCs w:val="28"/>
          <w:vertAlign w:val="superscript"/>
        </w:rPr>
        <w:t>УПЛ</w:t>
      </w:r>
      <w:r w:rsidRPr="004F1616">
        <w:rPr>
          <w:rFonts w:ascii="Times New Roman" w:hAnsi="Times New Roman" w:cs="Times New Roman"/>
          <w:sz w:val="28"/>
          <w:szCs w:val="28"/>
        </w:rPr>
        <w:t xml:space="preserve"> - сумма налога, фактически уплаченного поставщикам за материалы, сырье, и подтвержденная счетами-фактурами.</w:t>
      </w:r>
    </w:p>
    <w:p w:rsidR="004F1616" w:rsidRPr="004F1616" w:rsidRDefault="004F1616" w:rsidP="0013790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1616">
        <w:rPr>
          <w:rFonts w:ascii="Times New Roman" w:hAnsi="Times New Roman" w:cs="Times New Roman"/>
          <w:b/>
          <w:bCs/>
          <w:sz w:val="28"/>
          <w:szCs w:val="28"/>
        </w:rPr>
        <w:t>Задание к практической работе</w:t>
      </w:r>
    </w:p>
    <w:p w:rsidR="004F1616" w:rsidRPr="004F1616" w:rsidRDefault="004F1616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16">
        <w:rPr>
          <w:rFonts w:ascii="Times New Roman" w:hAnsi="Times New Roman" w:cs="Times New Roman"/>
          <w:sz w:val="28"/>
          <w:szCs w:val="28"/>
        </w:rPr>
        <w:t>В соответствии с вариантом заданий выполнить расчет, определить сумму налога на добавленную стоимость, подлежащую уплате в бюджет.</w:t>
      </w:r>
    </w:p>
    <w:p w:rsidR="004F1616" w:rsidRDefault="004F1616" w:rsidP="001379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1616">
        <w:rPr>
          <w:rFonts w:ascii="Times New Roman" w:hAnsi="Times New Roman" w:cs="Times New Roman"/>
          <w:sz w:val="28"/>
          <w:szCs w:val="28"/>
        </w:rPr>
        <w:t>Пример расчета суммы налога на добавленную стоимость приведен в табл.1</w:t>
      </w:r>
    </w:p>
    <w:p w:rsidR="004F1616" w:rsidRPr="004F1616" w:rsidRDefault="004F1616" w:rsidP="004F16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616" w:rsidRPr="004F1616" w:rsidRDefault="004F1616" w:rsidP="004F16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539"/>
        <w:gridCol w:w="6335"/>
        <w:gridCol w:w="1731"/>
      </w:tblGrid>
      <w:tr w:rsidR="004F1616" w:rsidRPr="004F1616" w:rsidTr="004F1616">
        <w:trPr>
          <w:trHeight w:val="165"/>
          <w:tblCellSpacing w:w="0" w:type="dxa"/>
        </w:trPr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1616" w:rsidRPr="004F1616" w:rsidRDefault="004F1616" w:rsidP="004F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т.р.</w:t>
            </w:r>
          </w:p>
        </w:tc>
      </w:tr>
      <w:tr w:rsidR="004F1616" w:rsidRPr="004F1616" w:rsidTr="004F1616">
        <w:trPr>
          <w:trHeight w:val="45"/>
          <w:tblCellSpacing w:w="0" w:type="dxa"/>
        </w:trPr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обретенных материальных ресурсов (с НДС)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4F1616" w:rsidRPr="004F1616" w:rsidTr="004F1616">
        <w:trPr>
          <w:trHeight w:val="90"/>
          <w:tblCellSpacing w:w="0" w:type="dxa"/>
        </w:trPr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 НДС по приобретенным материалам ресурсам (срт.1*18/118)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</w:t>
            </w:r>
          </w:p>
        </w:tc>
      </w:tr>
      <w:tr w:rsidR="004F1616" w:rsidRPr="004F1616" w:rsidTr="004F1616">
        <w:trPr>
          <w:trHeight w:val="135"/>
          <w:tblCellSpacing w:w="0" w:type="dxa"/>
        </w:trPr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реализованной продукции (без НДС) или борот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4F1616" w:rsidRPr="004F1616" w:rsidTr="004F1616">
        <w:trPr>
          <w:tblCellSpacing w:w="0" w:type="dxa"/>
        </w:trPr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 НДС по ставке 18% (стр.3*18%)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</w:tr>
      <w:tr w:rsidR="004F1616" w:rsidRPr="004F1616" w:rsidTr="004F1616">
        <w:trPr>
          <w:trHeight w:val="60"/>
          <w:tblCellSpacing w:w="0" w:type="dxa"/>
        </w:trPr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продукции (стр.3+стр.4)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</w:t>
            </w:r>
          </w:p>
        </w:tc>
      </w:tr>
      <w:tr w:rsidR="004F1616" w:rsidRPr="004F1616" w:rsidTr="004F1616">
        <w:trPr>
          <w:trHeight w:val="105"/>
          <w:tblCellSpacing w:w="0" w:type="dxa"/>
        </w:trPr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 НДС, подлежащая уплате в бюджет (стр.4-стр.2)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</w:tr>
      <w:tr w:rsidR="004F1616" w:rsidRPr="004F1616" w:rsidTr="004F1616">
        <w:trPr>
          <w:trHeight w:val="150"/>
          <w:tblCellSpacing w:w="0" w:type="dxa"/>
        </w:trPr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Добавочная стоимость (стр.3-(стр.1-стр.2))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1267,8</w:t>
            </w:r>
          </w:p>
        </w:tc>
      </w:tr>
      <w:tr w:rsidR="004F1616" w:rsidRPr="004F1616" w:rsidTr="004F1616">
        <w:trPr>
          <w:tblCellSpacing w:w="0" w:type="dxa"/>
        </w:trPr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подлежащего уплате в бюджет НДС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 (стр.6/стр.7)*100%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16">
              <w:rPr>
                <w:rFonts w:ascii="Times New Roman" w:eastAsia="Calibri" w:hAnsi="Times New Roman" w:cs="Times New Roman"/>
                <w:sz w:val="28"/>
                <w:szCs w:val="28"/>
              </w:rPr>
              <w:t>17,9%</w:t>
            </w:r>
          </w:p>
        </w:tc>
      </w:tr>
    </w:tbl>
    <w:p w:rsidR="004F1616" w:rsidRDefault="004F1616" w:rsidP="004F1616">
      <w:pPr>
        <w:rPr>
          <w:rFonts w:ascii="Times New Roman" w:hAnsi="Times New Roman" w:cs="Times New Roman"/>
          <w:sz w:val="28"/>
          <w:szCs w:val="28"/>
        </w:rPr>
      </w:pPr>
    </w:p>
    <w:p w:rsidR="00137904" w:rsidRDefault="00137904" w:rsidP="004F1616">
      <w:pPr>
        <w:rPr>
          <w:rFonts w:ascii="Times New Roman" w:hAnsi="Times New Roman" w:cs="Times New Roman"/>
          <w:sz w:val="28"/>
          <w:szCs w:val="28"/>
        </w:rPr>
      </w:pPr>
    </w:p>
    <w:p w:rsidR="00137904" w:rsidRDefault="00137904" w:rsidP="004F1616">
      <w:pPr>
        <w:rPr>
          <w:rFonts w:ascii="Times New Roman" w:hAnsi="Times New Roman" w:cs="Times New Roman"/>
          <w:sz w:val="28"/>
          <w:szCs w:val="28"/>
        </w:rPr>
      </w:pPr>
    </w:p>
    <w:p w:rsidR="00137904" w:rsidRDefault="00137904" w:rsidP="004F1616">
      <w:pPr>
        <w:rPr>
          <w:rFonts w:ascii="Times New Roman" w:hAnsi="Times New Roman" w:cs="Times New Roman"/>
          <w:sz w:val="28"/>
          <w:szCs w:val="28"/>
        </w:rPr>
      </w:pPr>
    </w:p>
    <w:p w:rsidR="00137904" w:rsidRDefault="00137904" w:rsidP="004F1616">
      <w:pPr>
        <w:rPr>
          <w:rFonts w:ascii="Times New Roman" w:hAnsi="Times New Roman" w:cs="Times New Roman"/>
          <w:sz w:val="28"/>
          <w:szCs w:val="28"/>
        </w:rPr>
      </w:pPr>
    </w:p>
    <w:p w:rsidR="00137904" w:rsidRDefault="00137904" w:rsidP="004F1616">
      <w:pPr>
        <w:rPr>
          <w:rFonts w:ascii="Times New Roman" w:hAnsi="Times New Roman" w:cs="Times New Roman"/>
          <w:sz w:val="28"/>
          <w:szCs w:val="28"/>
        </w:rPr>
      </w:pPr>
    </w:p>
    <w:p w:rsidR="00137904" w:rsidRDefault="00137904" w:rsidP="004F1616">
      <w:pPr>
        <w:rPr>
          <w:rFonts w:ascii="Times New Roman" w:hAnsi="Times New Roman" w:cs="Times New Roman"/>
          <w:sz w:val="28"/>
          <w:szCs w:val="28"/>
        </w:rPr>
      </w:pPr>
    </w:p>
    <w:p w:rsidR="00137904" w:rsidRPr="00137904" w:rsidRDefault="00137904" w:rsidP="00137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904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137904" w:rsidRPr="00137904" w:rsidRDefault="00137904" w:rsidP="00137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b/>
          <w:bCs/>
          <w:sz w:val="28"/>
          <w:szCs w:val="28"/>
        </w:rPr>
        <w:t>Расчет налога на имущество предприятия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904">
        <w:rPr>
          <w:rFonts w:ascii="Times New Roman" w:hAnsi="Times New Roman" w:cs="Times New Roman"/>
          <w:b/>
          <w:i/>
          <w:sz w:val="28"/>
          <w:szCs w:val="28"/>
        </w:rPr>
        <w:t>Цель работы: Ознакомиться с порядком расчета среднегодовой (средней) стоимости имущества организации, сумм авансовых платежей и суммы налога на имущество, подлежащей к уплате в бюджет по итогам налогового периода.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t>Теоретические основы. Порядок расчета и уплаты налога на имущество регулируется главой 30 НК РФ «Налог на имущество организаций» и законами субъектов РФ (областей, краев, республик в составе РФ)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t>Плательщиками налога являются российские организации и иностранные организации, которые осуществляют свою деятельность в РФ через постоянные представительства и (или) имеющие в собственности недвижимое имущество на территории РФ, континентальном шельфе РФ и в исключительной экономической зоне РФ.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lastRenderedPageBreak/>
        <w:t>Налог на имущество не платят организации, применяющие специальные налоговые режимы: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t>- упрощенную систему налогообложения;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t>- плательщики единого налога на вмененный доход для определенных видов деятельности;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t>- плательщики единого сельскохозяйственного налога.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t>Объектом налогообложения для организаций признается движимое и недвижимое имущество, которое учитывается на балансе в качестве объектов основных средств.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t>некоторые объекты имущества налогом на имущество не облагаются: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t>- объекты природопользования (земельные участки, водные объекты, другие природные ресурсы);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t>- имущество, принадлежащее на праве хозяйственного ведения или оперативного управления федеральным органом исполнительной власти, в которых законодательно предусмотрена военная и приравненная к ней служба.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t>Некоторым организациям предоставлены льготы. От налогообложения налогом освобождается любое имущество вне зависимости от характера его использования следующих категорий налогоплательщиков: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t>- специализированных протезно-ортопедических предприятий;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t>- коллегий адвокатов, адвокатских бюро и юридических консультаций;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lastRenderedPageBreak/>
        <w:t>- государственных научных центров.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t>Максимальная ставка по налогу на имущество организаций установлена в размера 2,2%. Региональным законодательством эта ставка может быть принята на более низком уровне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b/>
          <w:bCs/>
          <w:sz w:val="28"/>
          <w:szCs w:val="28"/>
        </w:rPr>
        <w:t>Задание к практической работе: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t>Рассчитать: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t>- среднегодовые (средние) стоимости имущества за 1 квартал, полугодие, 9 месяцев, год.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t>- авансовые платежи по налогу на имущество за 1 квартал, полугодие, 9 месяцев.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t>- сумму налога на имущество за год.</w:t>
      </w:r>
    </w:p>
    <w:p w:rsid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551" w:rsidRDefault="00B95551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551" w:rsidRDefault="00B95551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551" w:rsidRDefault="00B95551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551" w:rsidRDefault="00B95551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95551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5551" w:rsidRDefault="00B95551" w:rsidP="00464F05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№2</w:t>
      </w:r>
    </w:p>
    <w:tbl>
      <w:tblPr>
        <w:tblStyle w:val="a5"/>
        <w:tblW w:w="0" w:type="auto"/>
        <w:tblLayout w:type="fixed"/>
        <w:tblLook w:val="04A0"/>
      </w:tblPr>
      <w:tblGrid>
        <w:gridCol w:w="1526"/>
        <w:gridCol w:w="9497"/>
        <w:gridCol w:w="851"/>
        <w:gridCol w:w="2912"/>
      </w:tblGrid>
      <w:tr w:rsidR="000663FE" w:rsidTr="00F9624C">
        <w:tc>
          <w:tcPr>
            <w:tcW w:w="1526" w:type="dxa"/>
          </w:tcPr>
          <w:p w:rsidR="00B95551" w:rsidRDefault="00B95551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Налоговый (отчетный) период</w:t>
            </w:r>
          </w:p>
        </w:tc>
        <w:tc>
          <w:tcPr>
            <w:tcW w:w="9497" w:type="dxa"/>
          </w:tcPr>
          <w:p w:rsidR="00B95551" w:rsidRDefault="00B95551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средней стоимости имущества, </w:t>
            </w:r>
            <w:r w:rsidRPr="00B95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  <w:bookmarkStart w:id="21" w:name="_GoBack"/>
            <w:bookmarkEnd w:id="21"/>
          </w:p>
        </w:tc>
        <w:tc>
          <w:tcPr>
            <w:tcW w:w="851" w:type="dxa"/>
          </w:tcPr>
          <w:p w:rsidR="00B95551" w:rsidRDefault="00B95551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налога в %</w:t>
            </w:r>
          </w:p>
        </w:tc>
        <w:tc>
          <w:tcPr>
            <w:tcW w:w="2912" w:type="dxa"/>
          </w:tcPr>
          <w:p w:rsidR="00B95551" w:rsidRDefault="00B95551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авансовых платежей и годовой суммы, </w:t>
            </w:r>
            <w:r w:rsidRPr="00B95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0663FE" w:rsidTr="00F9624C">
        <w:tc>
          <w:tcPr>
            <w:tcW w:w="1526" w:type="dxa"/>
          </w:tcPr>
          <w:p w:rsidR="00B95551" w:rsidRDefault="000663FE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9497" w:type="dxa"/>
          </w:tcPr>
          <w:p w:rsidR="00B95551" w:rsidRPr="000663FE" w:rsidRDefault="000663FE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(46000+49200+45400+51400)/4 = 48000</w:t>
            </w:r>
          </w:p>
        </w:tc>
        <w:tc>
          <w:tcPr>
            <w:tcW w:w="851" w:type="dxa"/>
          </w:tcPr>
          <w:p w:rsidR="00B95551" w:rsidRDefault="000663FE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912" w:type="dxa"/>
          </w:tcPr>
          <w:p w:rsidR="00B95551" w:rsidRPr="000663FE" w:rsidRDefault="000663FE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="00464F0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48000*2,2%/4 = 264</w:t>
            </w:r>
          </w:p>
        </w:tc>
      </w:tr>
      <w:tr w:rsidR="000663FE" w:rsidTr="00F9624C">
        <w:tc>
          <w:tcPr>
            <w:tcW w:w="1526" w:type="dxa"/>
          </w:tcPr>
          <w:p w:rsidR="00B95551" w:rsidRDefault="000663FE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9497" w:type="dxa"/>
          </w:tcPr>
          <w:p w:rsidR="00B95551" w:rsidRPr="000663FE" w:rsidRDefault="000663FE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(46000+49200+45400+51400+53500+53000+51000)/7 = 49928,5</w:t>
            </w:r>
          </w:p>
        </w:tc>
        <w:tc>
          <w:tcPr>
            <w:tcW w:w="851" w:type="dxa"/>
          </w:tcPr>
          <w:p w:rsidR="00B95551" w:rsidRDefault="000663FE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912" w:type="dxa"/>
          </w:tcPr>
          <w:p w:rsidR="00B95551" w:rsidRPr="000663FE" w:rsidRDefault="000663FE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="00464F0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49928,5*2,2%/4 = 247,6</w:t>
            </w:r>
          </w:p>
        </w:tc>
      </w:tr>
      <w:tr w:rsidR="000663FE" w:rsidTr="00F9624C">
        <w:tc>
          <w:tcPr>
            <w:tcW w:w="1526" w:type="dxa"/>
          </w:tcPr>
          <w:p w:rsidR="00B95551" w:rsidRDefault="000663FE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9497" w:type="dxa"/>
          </w:tcPr>
          <w:p w:rsidR="00B95551" w:rsidRPr="000663FE" w:rsidRDefault="000663FE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(46000+</w:t>
            </w:r>
            <w:r w:rsidRPr="000663FE">
              <w:rPr>
                <w:rFonts w:ascii="Times New Roman" w:hAnsi="Times New Roman" w:cs="Times New Roman"/>
                <w:sz w:val="28"/>
                <w:szCs w:val="28"/>
              </w:rPr>
              <w:t>49200+45400+51400+53500+53000+51000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+63500+71700+77000)/10 = </w:t>
            </w:r>
            <w:r w:rsidR="00464F05">
              <w:rPr>
                <w:rFonts w:ascii="Times New Roman" w:hAnsi="Times New Roman" w:cs="Times New Roman"/>
                <w:sz w:val="28"/>
                <w:szCs w:val="28"/>
              </w:rPr>
              <w:t>56170</w:t>
            </w:r>
          </w:p>
        </w:tc>
        <w:tc>
          <w:tcPr>
            <w:tcW w:w="851" w:type="dxa"/>
          </w:tcPr>
          <w:p w:rsidR="00B95551" w:rsidRDefault="000663FE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912" w:type="dxa"/>
          </w:tcPr>
          <w:p w:rsidR="00B95551" w:rsidRDefault="000663FE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F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="00464F0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vertAlign w:val="subscript"/>
              </w:rPr>
              <w:t>3</w:t>
            </w:r>
            <w:r w:rsidRPr="000663FE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="00464F05">
              <w:rPr>
                <w:rFonts w:ascii="Times New Roman" w:hAnsi="Times New Roman" w:cs="Times New Roman"/>
                <w:sz w:val="28"/>
                <w:szCs w:val="28"/>
              </w:rPr>
              <w:t xml:space="preserve"> 5617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0*2,2%/4 = 308,94</w:t>
            </w:r>
          </w:p>
        </w:tc>
      </w:tr>
      <w:tr w:rsidR="000663FE" w:rsidTr="00F9624C">
        <w:tc>
          <w:tcPr>
            <w:tcW w:w="1526" w:type="dxa"/>
          </w:tcPr>
          <w:p w:rsidR="00B95551" w:rsidRDefault="000663FE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497" w:type="dxa"/>
          </w:tcPr>
          <w:p w:rsidR="00B95551" w:rsidRPr="000663FE" w:rsidRDefault="000663FE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F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0663FE">
              <w:rPr>
                <w:rFonts w:ascii="Times New Roman" w:hAnsi="Times New Roman" w:cs="Times New Roman"/>
                <w:sz w:val="28"/>
                <w:szCs w:val="28"/>
              </w:rPr>
              <w:t>(46000+49200+45400+51400+53500+53000+51000+63500+71700+77000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+64500+77500+90000)/ 13 = </w:t>
            </w:r>
            <w:r w:rsidR="00464F05">
              <w:rPr>
                <w:rFonts w:ascii="Times New Roman" w:hAnsi="Times New Roman" w:cs="Times New Roman"/>
                <w:sz w:val="28"/>
                <w:szCs w:val="28"/>
              </w:rPr>
              <w:t>61053,9</w:t>
            </w:r>
          </w:p>
        </w:tc>
        <w:tc>
          <w:tcPr>
            <w:tcW w:w="851" w:type="dxa"/>
          </w:tcPr>
          <w:p w:rsidR="00B95551" w:rsidRDefault="000663FE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912" w:type="dxa"/>
          </w:tcPr>
          <w:p w:rsidR="00B95551" w:rsidRPr="00464F05" w:rsidRDefault="00464F05" w:rsidP="00464F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vertAlign w:val="subscript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61053,9*2,2% 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vertAlign w:val="subscript"/>
              </w:rPr>
              <w:t>3</w:t>
            </w:r>
            <w:r w:rsidR="00F66112">
              <w:rPr>
                <w:rFonts w:ascii="Times New Roman" w:hAnsi="Times New Roman" w:cs="Times New Roman"/>
                <w:sz w:val="28"/>
                <w:szCs w:val="28"/>
              </w:rPr>
              <w:t xml:space="preserve"> = 1343,17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264 – 274,6 – 308,94 = 495,6</w:t>
            </w:r>
          </w:p>
        </w:tc>
      </w:tr>
    </w:tbl>
    <w:p w:rsidR="00B95551" w:rsidRDefault="00B95551" w:rsidP="00464F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551" w:rsidRPr="004F1616" w:rsidRDefault="00B95551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551" w:rsidRDefault="00B95551">
      <w:pPr>
        <w:rPr>
          <w:rFonts w:ascii="Times New Roman" w:hAnsi="Times New Roman" w:cs="Times New Roman"/>
          <w:sz w:val="28"/>
          <w:szCs w:val="28"/>
        </w:rPr>
        <w:sectPr w:rsidR="00B95551" w:rsidSect="00B9555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320C" w:rsidRPr="004F1616" w:rsidRDefault="0093363B" w:rsidP="00337334">
      <w:pPr>
        <w:rPr>
          <w:rFonts w:ascii="Times New Roman" w:hAnsi="Times New Roman" w:cs="Times New Roman"/>
          <w:sz w:val="28"/>
          <w:szCs w:val="28"/>
        </w:rPr>
      </w:pPr>
    </w:p>
    <w:sectPr w:rsidR="0095320C" w:rsidRPr="004F1616" w:rsidSect="00F6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3B" w:rsidRDefault="0093363B" w:rsidP="00001F9F">
      <w:pPr>
        <w:spacing w:after="0" w:line="240" w:lineRule="auto"/>
      </w:pPr>
      <w:r>
        <w:separator/>
      </w:r>
    </w:p>
  </w:endnote>
  <w:endnote w:type="continuationSeparator" w:id="0">
    <w:p w:rsidR="0093363B" w:rsidRDefault="0093363B" w:rsidP="0000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3B" w:rsidRDefault="0093363B" w:rsidP="00001F9F">
      <w:pPr>
        <w:spacing w:after="0" w:line="240" w:lineRule="auto"/>
      </w:pPr>
      <w:r>
        <w:separator/>
      </w:r>
    </w:p>
  </w:footnote>
  <w:footnote w:type="continuationSeparator" w:id="0">
    <w:p w:rsidR="0093363B" w:rsidRDefault="0093363B" w:rsidP="0000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9F" w:rsidRDefault="00001F9F" w:rsidP="00001F9F">
    <w:pPr>
      <w:pStyle w:val="a6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001F9F" w:rsidRDefault="00001F9F" w:rsidP="00001F9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01F9F" w:rsidRDefault="00001F9F" w:rsidP="00001F9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01F9F" w:rsidRDefault="00001F9F" w:rsidP="00001F9F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001F9F" w:rsidRDefault="00001F9F">
    <w:pPr>
      <w:pStyle w:val="a6"/>
    </w:pPr>
  </w:p>
  <w:p w:rsidR="00001F9F" w:rsidRDefault="00001F9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638"/>
    <w:rsid w:val="00001F9F"/>
    <w:rsid w:val="000663FE"/>
    <w:rsid w:val="00137904"/>
    <w:rsid w:val="0027260B"/>
    <w:rsid w:val="00337334"/>
    <w:rsid w:val="003B2FF1"/>
    <w:rsid w:val="003C2638"/>
    <w:rsid w:val="00464F05"/>
    <w:rsid w:val="004C0470"/>
    <w:rsid w:val="004F1616"/>
    <w:rsid w:val="007828C3"/>
    <w:rsid w:val="008375B2"/>
    <w:rsid w:val="0093363B"/>
    <w:rsid w:val="00B95551"/>
    <w:rsid w:val="00F64075"/>
    <w:rsid w:val="00F66112"/>
    <w:rsid w:val="00F9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75"/>
  </w:style>
  <w:style w:type="paragraph" w:styleId="3">
    <w:name w:val="heading 3"/>
    <w:basedOn w:val="a"/>
    <w:link w:val="30"/>
    <w:uiPriority w:val="9"/>
    <w:semiHidden/>
    <w:unhideWhenUsed/>
    <w:qFormat/>
    <w:rsid w:val="00001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01F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5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5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0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1F9F"/>
  </w:style>
  <w:style w:type="paragraph" w:styleId="a8">
    <w:name w:val="footer"/>
    <w:basedOn w:val="a"/>
    <w:link w:val="a9"/>
    <w:uiPriority w:val="99"/>
    <w:semiHidden/>
    <w:unhideWhenUsed/>
    <w:rsid w:val="0000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1F9F"/>
  </w:style>
  <w:style w:type="character" w:customStyle="1" w:styleId="30">
    <w:name w:val="Заголовок 3 Знак"/>
    <w:basedOn w:val="a0"/>
    <w:link w:val="3"/>
    <w:uiPriority w:val="9"/>
    <w:semiHidden/>
    <w:rsid w:val="00001F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1F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01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5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саша</cp:lastModifiedBy>
  <cp:revision>13</cp:revision>
  <dcterms:created xsi:type="dcterms:W3CDTF">2017-02-05T06:11:00Z</dcterms:created>
  <dcterms:modified xsi:type="dcterms:W3CDTF">2019-04-16T06:55:00Z</dcterms:modified>
</cp:coreProperties>
</file>