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41" w:rsidRDefault="007D718F" w:rsidP="007D718F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7D718F">
        <w:rPr>
          <w:rFonts w:ascii="Times New Roman" w:hAnsi="Times New Roman" w:cs="Times New Roman"/>
          <w:b/>
          <w:i/>
          <w:sz w:val="28"/>
          <w:szCs w:val="28"/>
        </w:rPr>
        <w:t>Выполнил</w:t>
      </w:r>
      <w:r w:rsidR="00E91BB6">
        <w:rPr>
          <w:rFonts w:ascii="Times New Roman" w:hAnsi="Times New Roman" w:cs="Times New Roman"/>
          <w:sz w:val="28"/>
          <w:szCs w:val="28"/>
        </w:rPr>
        <w:t>: студент</w:t>
      </w:r>
      <w:r>
        <w:rPr>
          <w:rFonts w:ascii="Times New Roman" w:hAnsi="Times New Roman" w:cs="Times New Roman"/>
          <w:sz w:val="28"/>
          <w:szCs w:val="28"/>
        </w:rPr>
        <w:t xml:space="preserve"> ____ курса, гр. ______</w:t>
      </w:r>
      <w:r w:rsidR="003C744C">
        <w:rPr>
          <w:rFonts w:ascii="Times New Roman" w:hAnsi="Times New Roman" w:cs="Times New Roman"/>
          <w:sz w:val="28"/>
          <w:szCs w:val="28"/>
        </w:rPr>
        <w:t>___</w:t>
      </w:r>
    </w:p>
    <w:p w:rsidR="007D718F" w:rsidRDefault="007D718F" w:rsidP="007D718F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D718F" w:rsidRDefault="007D718F" w:rsidP="007D7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1BB6" w:rsidRDefault="00E91BB6" w:rsidP="007D7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718F" w:rsidRDefault="007D718F" w:rsidP="007D7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ТЕЗАУРУС</w:t>
      </w:r>
    </w:p>
    <w:p w:rsidR="007D718F" w:rsidRDefault="007D718F" w:rsidP="007D71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</w:t>
      </w:r>
    </w:p>
    <w:p w:rsidR="007D718F" w:rsidRPr="007D718F" w:rsidRDefault="007D718F" w:rsidP="007D71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8F">
        <w:rPr>
          <w:rFonts w:ascii="Times New Roman" w:hAnsi="Times New Roman" w:cs="Times New Roman"/>
          <w:b/>
          <w:sz w:val="28"/>
          <w:szCs w:val="28"/>
        </w:rPr>
        <w:t>«</w:t>
      </w:r>
      <w:r w:rsidR="003C744C">
        <w:rPr>
          <w:rFonts w:ascii="Times New Roman" w:hAnsi="Times New Roman" w:cs="Times New Roman"/>
          <w:b/>
          <w:sz w:val="28"/>
          <w:szCs w:val="28"/>
        </w:rPr>
        <w:t>Философия психоанализа</w:t>
      </w:r>
      <w:r w:rsidRPr="007D718F">
        <w:rPr>
          <w:rFonts w:ascii="Times New Roman" w:hAnsi="Times New Roman" w:cs="Times New Roman"/>
          <w:b/>
          <w:sz w:val="28"/>
          <w:szCs w:val="28"/>
        </w:rPr>
        <w:t>»</w:t>
      </w:r>
    </w:p>
    <w:p w:rsidR="00840405" w:rsidRDefault="00840405" w:rsidP="007D7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0405" w:rsidRDefault="00840405" w:rsidP="004B7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D52">
        <w:rPr>
          <w:rFonts w:ascii="Times New Roman" w:hAnsi="Times New Roman" w:cs="Times New Roman"/>
          <w:b/>
          <w:i/>
          <w:sz w:val="28"/>
          <w:szCs w:val="28"/>
        </w:rPr>
        <w:t>Секта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7D52">
        <w:rPr>
          <w:rFonts w:ascii="Times New Roman" w:hAnsi="Times New Roman" w:cs="Times New Roman"/>
          <w:sz w:val="28"/>
          <w:szCs w:val="28"/>
        </w:rPr>
        <w:t xml:space="preserve">в аналитическом эссе «Дух сект» Роже Кайуа </w:t>
      </w:r>
      <w:r w:rsidR="0056005C">
        <w:rPr>
          <w:rFonts w:ascii="Times New Roman" w:hAnsi="Times New Roman" w:cs="Times New Roman"/>
          <w:sz w:val="28"/>
          <w:szCs w:val="28"/>
        </w:rPr>
        <w:t>предлага</w:t>
      </w:r>
      <w:r w:rsidR="004B7D52">
        <w:rPr>
          <w:rFonts w:ascii="Times New Roman" w:hAnsi="Times New Roman" w:cs="Times New Roman"/>
          <w:sz w:val="28"/>
          <w:szCs w:val="28"/>
        </w:rPr>
        <w:t>ет довольно неожиданную и нетривиальную трактовку феномена сект, который видится ему крайне важным и, вместе с тем, опасным фактом жизни общества. В трактовке сект и</w:t>
      </w:r>
      <w:r w:rsidR="004B7D52" w:rsidRPr="004B7D52">
        <w:rPr>
          <w:rFonts w:ascii="Times New Roman" w:hAnsi="Times New Roman" w:cs="Times New Roman"/>
          <w:sz w:val="28"/>
          <w:szCs w:val="28"/>
        </w:rPr>
        <w:t>/</w:t>
      </w:r>
      <w:r w:rsidR="004B7D52">
        <w:rPr>
          <w:rFonts w:ascii="Times New Roman" w:hAnsi="Times New Roman" w:cs="Times New Roman"/>
          <w:sz w:val="28"/>
          <w:szCs w:val="28"/>
        </w:rPr>
        <w:t>или сектантства для Р. Кайуа</w:t>
      </w:r>
      <w:r w:rsidR="0056005C">
        <w:rPr>
          <w:rFonts w:ascii="Times New Roman" w:hAnsi="Times New Roman" w:cs="Times New Roman"/>
          <w:sz w:val="28"/>
          <w:szCs w:val="28"/>
        </w:rPr>
        <w:t xml:space="preserve"> </w:t>
      </w:r>
      <w:r w:rsidR="004B7D52">
        <w:rPr>
          <w:rFonts w:ascii="Times New Roman" w:hAnsi="Times New Roman" w:cs="Times New Roman"/>
          <w:sz w:val="28"/>
          <w:szCs w:val="28"/>
        </w:rPr>
        <w:t xml:space="preserve">оказывается второстепенным и необязательным та составляющая религиозного нонконформизма, через призму которой секты преимущественно рассматриваются в отечественном обществоведении. </w:t>
      </w:r>
      <w:r w:rsidR="003B2D6B">
        <w:rPr>
          <w:rFonts w:ascii="Times New Roman" w:hAnsi="Times New Roman" w:cs="Times New Roman"/>
          <w:sz w:val="28"/>
          <w:szCs w:val="28"/>
        </w:rPr>
        <w:t>То, что автор называет словом «секта» может</w:t>
      </w:r>
      <w:r w:rsidR="0056005C">
        <w:rPr>
          <w:rFonts w:ascii="Times New Roman" w:hAnsi="Times New Roman" w:cs="Times New Roman"/>
          <w:sz w:val="28"/>
          <w:szCs w:val="28"/>
        </w:rPr>
        <w:t xml:space="preserve"> как</w:t>
      </w:r>
      <w:r w:rsidR="003B2D6B">
        <w:rPr>
          <w:rFonts w:ascii="Times New Roman" w:hAnsi="Times New Roman" w:cs="Times New Roman"/>
          <w:sz w:val="28"/>
          <w:szCs w:val="28"/>
        </w:rPr>
        <w:t xml:space="preserve"> базироваться на собственно</w:t>
      </w:r>
      <w:r w:rsidR="0056005C">
        <w:rPr>
          <w:rFonts w:ascii="Times New Roman" w:hAnsi="Times New Roman" w:cs="Times New Roman"/>
          <w:sz w:val="28"/>
          <w:szCs w:val="28"/>
        </w:rPr>
        <w:t>м</w:t>
      </w:r>
      <w:r w:rsidR="003B2D6B">
        <w:rPr>
          <w:rFonts w:ascii="Times New Roman" w:hAnsi="Times New Roman" w:cs="Times New Roman"/>
          <w:sz w:val="28"/>
          <w:szCs w:val="28"/>
        </w:rPr>
        <w:t xml:space="preserve"> оригинальном и оппозиционном прочтении религиозных постулатов и догм</w:t>
      </w:r>
      <w:r w:rsidR="0056005C">
        <w:rPr>
          <w:rFonts w:ascii="Times New Roman" w:hAnsi="Times New Roman" w:cs="Times New Roman"/>
          <w:sz w:val="28"/>
          <w:szCs w:val="28"/>
        </w:rPr>
        <w:t xml:space="preserve"> (то есть неканоническом прочтении доминирующей в том или ином обществе религии)</w:t>
      </w:r>
      <w:r w:rsidR="003B2D6B">
        <w:rPr>
          <w:rFonts w:ascii="Times New Roman" w:hAnsi="Times New Roman" w:cs="Times New Roman"/>
          <w:sz w:val="28"/>
          <w:szCs w:val="28"/>
        </w:rPr>
        <w:t>, а может</w:t>
      </w:r>
      <w:r w:rsidR="0056005C">
        <w:rPr>
          <w:rFonts w:ascii="Times New Roman" w:hAnsi="Times New Roman" w:cs="Times New Roman"/>
          <w:sz w:val="28"/>
          <w:szCs w:val="28"/>
        </w:rPr>
        <w:t xml:space="preserve"> и не базироваться, имея совершенно другие основания. С</w:t>
      </w:r>
      <w:r w:rsidR="003B2D6B">
        <w:rPr>
          <w:rFonts w:ascii="Times New Roman" w:hAnsi="Times New Roman" w:cs="Times New Roman"/>
          <w:sz w:val="28"/>
          <w:szCs w:val="28"/>
        </w:rPr>
        <w:t>екта</w:t>
      </w:r>
      <w:r w:rsidR="0056005C">
        <w:rPr>
          <w:rFonts w:ascii="Times New Roman" w:hAnsi="Times New Roman" w:cs="Times New Roman"/>
          <w:sz w:val="28"/>
          <w:szCs w:val="28"/>
        </w:rPr>
        <w:t>,</w:t>
      </w:r>
      <w:r w:rsidR="003B2D6B">
        <w:rPr>
          <w:rFonts w:ascii="Times New Roman" w:hAnsi="Times New Roman" w:cs="Times New Roman"/>
          <w:sz w:val="28"/>
          <w:szCs w:val="28"/>
        </w:rPr>
        <w:t xml:space="preserve"> по Кайуа</w:t>
      </w:r>
      <w:r w:rsidR="0056005C">
        <w:rPr>
          <w:rFonts w:ascii="Times New Roman" w:hAnsi="Times New Roman" w:cs="Times New Roman"/>
          <w:sz w:val="28"/>
          <w:szCs w:val="28"/>
        </w:rPr>
        <w:t>,</w:t>
      </w:r>
      <w:r w:rsidR="003B2D6B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56005C">
        <w:rPr>
          <w:rFonts w:ascii="Times New Roman" w:hAnsi="Times New Roman" w:cs="Times New Roman"/>
          <w:sz w:val="28"/>
          <w:szCs w:val="28"/>
        </w:rPr>
        <w:t xml:space="preserve">даже атеистической; </w:t>
      </w:r>
      <w:r w:rsidR="003B2D6B">
        <w:rPr>
          <w:rFonts w:ascii="Times New Roman" w:hAnsi="Times New Roman" w:cs="Times New Roman"/>
          <w:sz w:val="28"/>
          <w:szCs w:val="28"/>
        </w:rPr>
        <w:t xml:space="preserve">показательно, что таких рафинированных материалистов, как партию большевиков революционного периода автор рассматривает как важнейший пример, «кейс» для своего исследования. </w:t>
      </w:r>
      <w:r w:rsidR="003B2D6B">
        <w:rPr>
          <w:rFonts w:ascii="Times New Roman" w:hAnsi="Times New Roman" w:cs="Times New Roman"/>
          <w:sz w:val="28"/>
          <w:szCs w:val="28"/>
        </w:rPr>
        <w:lastRenderedPageBreak/>
        <w:t>Сущностно важными и конструктивными особенностями секты автор считает оппозиционность социальному порядку как данности,</w:t>
      </w:r>
      <w:r w:rsidR="0056005C">
        <w:rPr>
          <w:rFonts w:ascii="Times New Roman" w:hAnsi="Times New Roman" w:cs="Times New Roman"/>
          <w:sz w:val="28"/>
          <w:szCs w:val="28"/>
        </w:rPr>
        <w:t xml:space="preserve"> собственный</w:t>
      </w:r>
      <w:r w:rsidR="003B2D6B">
        <w:rPr>
          <w:rFonts w:ascii="Times New Roman" w:hAnsi="Times New Roman" w:cs="Times New Roman"/>
          <w:sz w:val="28"/>
          <w:szCs w:val="28"/>
        </w:rPr>
        <w:t xml:space="preserve"> проект по реорганизации общества, высокую пассионарность и, как её следствие, аскетизм и готовность к самопожертвованию ради великой цели</w:t>
      </w:r>
      <w:r w:rsidR="0056005C">
        <w:rPr>
          <w:rFonts w:ascii="Times New Roman" w:hAnsi="Times New Roman" w:cs="Times New Roman"/>
          <w:sz w:val="28"/>
          <w:szCs w:val="28"/>
        </w:rPr>
        <w:t>. Также важной чертой секты является</w:t>
      </w:r>
      <w:r w:rsidR="003B2D6B">
        <w:rPr>
          <w:rFonts w:ascii="Times New Roman" w:hAnsi="Times New Roman" w:cs="Times New Roman"/>
          <w:sz w:val="28"/>
          <w:szCs w:val="28"/>
        </w:rPr>
        <w:t xml:space="preserve"> высочайш</w:t>
      </w:r>
      <w:r w:rsidR="0056005C">
        <w:rPr>
          <w:rFonts w:ascii="Times New Roman" w:hAnsi="Times New Roman" w:cs="Times New Roman"/>
          <w:sz w:val="28"/>
          <w:szCs w:val="28"/>
        </w:rPr>
        <w:t>ая групповая</w:t>
      </w:r>
      <w:r w:rsidR="00723488">
        <w:rPr>
          <w:rFonts w:ascii="Times New Roman" w:hAnsi="Times New Roman" w:cs="Times New Roman"/>
          <w:sz w:val="28"/>
          <w:szCs w:val="28"/>
        </w:rPr>
        <w:t xml:space="preserve"> солидарность,</w:t>
      </w:r>
      <w:r w:rsidR="003B2D6B">
        <w:rPr>
          <w:rFonts w:ascii="Times New Roman" w:hAnsi="Times New Roman" w:cs="Times New Roman"/>
          <w:sz w:val="28"/>
          <w:szCs w:val="28"/>
        </w:rPr>
        <w:t xml:space="preserve"> сплочённость, яркое «Мы-чувство» (действующее и конструирующееся, разумеется, </w:t>
      </w:r>
      <w:r w:rsidR="0056005C">
        <w:rPr>
          <w:rFonts w:ascii="Times New Roman" w:hAnsi="Times New Roman" w:cs="Times New Roman"/>
          <w:sz w:val="28"/>
          <w:szCs w:val="28"/>
        </w:rPr>
        <w:t>через оппозицию</w:t>
      </w:r>
      <w:r w:rsidR="003B2D6B">
        <w:rPr>
          <w:rFonts w:ascii="Times New Roman" w:hAnsi="Times New Roman" w:cs="Times New Roman"/>
          <w:sz w:val="28"/>
          <w:szCs w:val="28"/>
        </w:rPr>
        <w:t xml:space="preserve"> «</w:t>
      </w:r>
      <w:r w:rsidR="0056005C">
        <w:rPr>
          <w:rFonts w:ascii="Times New Roman" w:hAnsi="Times New Roman" w:cs="Times New Roman"/>
          <w:sz w:val="28"/>
          <w:szCs w:val="28"/>
        </w:rPr>
        <w:t xml:space="preserve">Мы (секта) </w:t>
      </w:r>
      <w:r w:rsidR="0056005C" w:rsidRPr="0056005C">
        <w:rPr>
          <w:rFonts w:ascii="Times New Roman" w:hAnsi="Times New Roman" w:cs="Times New Roman"/>
          <w:sz w:val="28"/>
          <w:szCs w:val="28"/>
        </w:rPr>
        <w:t>/</w:t>
      </w:r>
      <w:r w:rsidR="0056005C">
        <w:rPr>
          <w:rFonts w:ascii="Times New Roman" w:hAnsi="Times New Roman" w:cs="Times New Roman"/>
          <w:sz w:val="28"/>
          <w:szCs w:val="28"/>
        </w:rPr>
        <w:t xml:space="preserve"> </w:t>
      </w:r>
      <w:r w:rsidR="003B2D6B">
        <w:rPr>
          <w:rFonts w:ascii="Times New Roman" w:hAnsi="Times New Roman" w:cs="Times New Roman"/>
          <w:sz w:val="28"/>
          <w:szCs w:val="28"/>
        </w:rPr>
        <w:t>Они</w:t>
      </w:r>
      <w:r w:rsidR="0056005C">
        <w:rPr>
          <w:rFonts w:ascii="Times New Roman" w:hAnsi="Times New Roman" w:cs="Times New Roman"/>
          <w:sz w:val="28"/>
          <w:szCs w:val="28"/>
        </w:rPr>
        <w:t xml:space="preserve"> (остальное общество, большинство)</w:t>
      </w:r>
      <w:r w:rsidR="003B2D6B">
        <w:rPr>
          <w:rFonts w:ascii="Times New Roman" w:hAnsi="Times New Roman" w:cs="Times New Roman"/>
          <w:sz w:val="28"/>
          <w:szCs w:val="28"/>
        </w:rPr>
        <w:t>»).</w:t>
      </w:r>
      <w:r w:rsidR="00723488">
        <w:rPr>
          <w:rFonts w:ascii="Times New Roman" w:hAnsi="Times New Roman" w:cs="Times New Roman"/>
          <w:sz w:val="28"/>
          <w:szCs w:val="28"/>
        </w:rPr>
        <w:t xml:space="preserve"> В ситуации револю</w:t>
      </w:r>
      <w:r w:rsidR="00DE3E3E">
        <w:rPr>
          <w:rFonts w:ascii="Times New Roman" w:hAnsi="Times New Roman" w:cs="Times New Roman"/>
          <w:sz w:val="28"/>
          <w:szCs w:val="28"/>
        </w:rPr>
        <w:t>ционных потрясений секты оказываются крайне адаптативными и способны выполнять роль «локомотивов истории», однако в периоды стабильности, следующие за этими потрясениями, оказываются снова вытесненными на периферию общественной жизни, а их члены нередко подвергаются репрессиям со стороны «большинства», не желающего строить свою жизнь по канонам сектантской строгости, аскетизма и безусловной моральной чистоты.</w:t>
      </w:r>
      <w:r w:rsidR="0056005C">
        <w:rPr>
          <w:rFonts w:ascii="Times New Roman" w:hAnsi="Times New Roman" w:cs="Times New Roman"/>
          <w:sz w:val="28"/>
          <w:szCs w:val="28"/>
        </w:rPr>
        <w:t xml:space="preserve"> Перед сектантом в этой ситуации встаёт дилемма: приспособление или новая оппозиция (в случае «кейса» большевиков: стать чиновником или оставаться революционером или, драматичнее «Сталин</w:t>
      </w:r>
      <w:r w:rsidR="0056005C" w:rsidRPr="0056005C">
        <w:rPr>
          <w:rFonts w:ascii="Times New Roman" w:hAnsi="Times New Roman" w:cs="Times New Roman"/>
          <w:sz w:val="28"/>
          <w:szCs w:val="28"/>
        </w:rPr>
        <w:t xml:space="preserve"> </w:t>
      </w:r>
      <w:r w:rsidR="0056005C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56005C" w:rsidRPr="0056005C">
        <w:rPr>
          <w:rFonts w:ascii="Times New Roman" w:hAnsi="Times New Roman" w:cs="Times New Roman"/>
          <w:sz w:val="28"/>
          <w:szCs w:val="28"/>
        </w:rPr>
        <w:t xml:space="preserve"> </w:t>
      </w:r>
      <w:r w:rsidR="0056005C">
        <w:rPr>
          <w:rFonts w:ascii="Times New Roman" w:hAnsi="Times New Roman" w:cs="Times New Roman"/>
          <w:sz w:val="28"/>
          <w:szCs w:val="28"/>
        </w:rPr>
        <w:t>Троцкий»)</w:t>
      </w:r>
    </w:p>
    <w:p w:rsidR="00840405" w:rsidRDefault="00840405" w:rsidP="00F22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00">
        <w:rPr>
          <w:rFonts w:ascii="Times New Roman" w:hAnsi="Times New Roman" w:cs="Times New Roman"/>
          <w:b/>
          <w:i/>
          <w:sz w:val="28"/>
          <w:szCs w:val="28"/>
        </w:rPr>
        <w:t>Сумеречники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2200">
        <w:rPr>
          <w:rFonts w:ascii="Times New Roman" w:hAnsi="Times New Roman" w:cs="Times New Roman"/>
          <w:sz w:val="28"/>
          <w:szCs w:val="28"/>
        </w:rPr>
        <w:t xml:space="preserve">в одноимённом эссе Роже Кайуа таким образом характеризует политически левых интеллектуалов своего поколения и своего круга (в первую очередь </w:t>
      </w:r>
      <w:r w:rsidR="00E91BB6">
        <w:rPr>
          <w:rFonts w:ascii="Times New Roman" w:hAnsi="Times New Roman" w:cs="Times New Roman"/>
          <w:sz w:val="28"/>
          <w:szCs w:val="28"/>
        </w:rPr>
        <w:t xml:space="preserve">это относится </w:t>
      </w:r>
      <w:r w:rsidR="00F22200">
        <w:rPr>
          <w:rFonts w:ascii="Times New Roman" w:hAnsi="Times New Roman" w:cs="Times New Roman"/>
          <w:sz w:val="28"/>
          <w:szCs w:val="28"/>
        </w:rPr>
        <w:t>к интеллектуальным течениям так или иначе связанным с сюрреализмом). Это метафорическое по своей сути понятие актуализирует в первую очередь маргинальность и отсутствие идейной, идеологической и, шире, мировоззренческой целостности и однозначной позиции</w:t>
      </w:r>
      <w:r w:rsidR="00E91BB6">
        <w:rPr>
          <w:rFonts w:ascii="Times New Roman" w:hAnsi="Times New Roman" w:cs="Times New Roman"/>
          <w:sz w:val="28"/>
          <w:szCs w:val="28"/>
        </w:rPr>
        <w:t xml:space="preserve"> у рассматриваемого автором движения и сообщества</w:t>
      </w:r>
      <w:r w:rsidR="00F22200">
        <w:rPr>
          <w:rFonts w:ascii="Times New Roman" w:hAnsi="Times New Roman" w:cs="Times New Roman"/>
          <w:sz w:val="28"/>
          <w:szCs w:val="28"/>
        </w:rPr>
        <w:t>, что подвергается со стороны Кайуа однозначной</w:t>
      </w:r>
      <w:r w:rsidR="00E91BB6">
        <w:rPr>
          <w:rFonts w:ascii="Times New Roman" w:hAnsi="Times New Roman" w:cs="Times New Roman"/>
          <w:sz w:val="28"/>
          <w:szCs w:val="28"/>
        </w:rPr>
        <w:t xml:space="preserve"> и безжалостной </w:t>
      </w:r>
      <w:r w:rsidR="00F22200">
        <w:rPr>
          <w:rFonts w:ascii="Times New Roman" w:hAnsi="Times New Roman" w:cs="Times New Roman"/>
          <w:sz w:val="28"/>
          <w:szCs w:val="28"/>
        </w:rPr>
        <w:t xml:space="preserve"> ретроспективной (само)критике. </w:t>
      </w:r>
      <w:r w:rsidR="005D3CA6">
        <w:rPr>
          <w:rFonts w:ascii="Times New Roman" w:hAnsi="Times New Roman" w:cs="Times New Roman"/>
          <w:sz w:val="28"/>
          <w:szCs w:val="28"/>
        </w:rPr>
        <w:t xml:space="preserve">Образ «сумеречника», не принадлежащего ни </w:t>
      </w:r>
      <w:r w:rsidR="00E91BB6">
        <w:rPr>
          <w:rFonts w:ascii="Times New Roman" w:hAnsi="Times New Roman" w:cs="Times New Roman"/>
          <w:sz w:val="28"/>
          <w:szCs w:val="28"/>
        </w:rPr>
        <w:t xml:space="preserve">к миру </w:t>
      </w:r>
      <w:r w:rsidR="005D3CA6">
        <w:rPr>
          <w:rFonts w:ascii="Times New Roman" w:hAnsi="Times New Roman" w:cs="Times New Roman"/>
          <w:sz w:val="28"/>
          <w:szCs w:val="28"/>
        </w:rPr>
        <w:t>«</w:t>
      </w:r>
      <w:r w:rsidR="00E91BB6">
        <w:rPr>
          <w:rFonts w:ascii="Times New Roman" w:hAnsi="Times New Roman" w:cs="Times New Roman"/>
          <w:sz w:val="28"/>
          <w:szCs w:val="28"/>
        </w:rPr>
        <w:t>дня</w:t>
      </w:r>
      <w:r w:rsidR="005D3CA6">
        <w:rPr>
          <w:rFonts w:ascii="Times New Roman" w:hAnsi="Times New Roman" w:cs="Times New Roman"/>
          <w:sz w:val="28"/>
          <w:szCs w:val="28"/>
        </w:rPr>
        <w:t xml:space="preserve">», ни </w:t>
      </w:r>
      <w:r w:rsidR="00E91BB6">
        <w:rPr>
          <w:rFonts w:ascii="Times New Roman" w:hAnsi="Times New Roman" w:cs="Times New Roman"/>
          <w:sz w:val="28"/>
          <w:szCs w:val="28"/>
        </w:rPr>
        <w:t xml:space="preserve">к </w:t>
      </w:r>
      <w:r w:rsidR="005D3CA6">
        <w:rPr>
          <w:rFonts w:ascii="Times New Roman" w:hAnsi="Times New Roman" w:cs="Times New Roman"/>
          <w:sz w:val="28"/>
          <w:szCs w:val="28"/>
        </w:rPr>
        <w:t>«ночи», радикального</w:t>
      </w:r>
      <w:r w:rsidR="00E91BB6">
        <w:rPr>
          <w:rFonts w:ascii="Times New Roman" w:hAnsi="Times New Roman" w:cs="Times New Roman"/>
          <w:sz w:val="28"/>
          <w:szCs w:val="28"/>
        </w:rPr>
        <w:t xml:space="preserve"> и безусловно критичного</w:t>
      </w:r>
      <w:r w:rsidR="005D3CA6">
        <w:rPr>
          <w:rFonts w:ascii="Times New Roman" w:hAnsi="Times New Roman" w:cs="Times New Roman"/>
          <w:sz w:val="28"/>
          <w:szCs w:val="28"/>
        </w:rPr>
        <w:t xml:space="preserve"> к реалиям «настоящего», однако боящегося завтрашнего дня из-за неявной но </w:t>
      </w:r>
      <w:r w:rsidR="005D3CA6">
        <w:rPr>
          <w:rFonts w:ascii="Times New Roman" w:hAnsi="Times New Roman" w:cs="Times New Roman"/>
          <w:sz w:val="28"/>
          <w:szCs w:val="28"/>
        </w:rPr>
        <w:lastRenderedPageBreak/>
        <w:t>очень выраженной приверженности ценностям прошлого является очень яркой фигурой своеобразного «покаяния» мыслителя.</w:t>
      </w:r>
    </w:p>
    <w:p w:rsidR="00840405" w:rsidRDefault="00840405" w:rsidP="00A2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DC">
        <w:rPr>
          <w:rFonts w:ascii="Times New Roman" w:hAnsi="Times New Roman" w:cs="Times New Roman"/>
          <w:b/>
          <w:i/>
          <w:sz w:val="28"/>
          <w:szCs w:val="28"/>
        </w:rPr>
        <w:t>Техника тела</w:t>
      </w:r>
      <w:r>
        <w:rPr>
          <w:rFonts w:ascii="Times New Roman" w:hAnsi="Times New Roman" w:cs="Times New Roman"/>
          <w:sz w:val="28"/>
          <w:szCs w:val="28"/>
        </w:rPr>
        <w:t xml:space="preserve"> – у Марселя Мосса – культурно заданные, сформированные («культивированные»)</w:t>
      </w:r>
      <w:r w:rsidR="00E91BB6">
        <w:rPr>
          <w:rFonts w:ascii="Times New Roman" w:hAnsi="Times New Roman" w:cs="Times New Roman"/>
          <w:sz w:val="28"/>
          <w:szCs w:val="28"/>
        </w:rPr>
        <w:t xml:space="preserve"> способы обращ</w:t>
      </w:r>
      <w:r>
        <w:rPr>
          <w:rFonts w:ascii="Times New Roman" w:hAnsi="Times New Roman" w:cs="Times New Roman"/>
          <w:sz w:val="28"/>
          <w:szCs w:val="28"/>
        </w:rPr>
        <w:t>ения со своей телесностью, привычные и само собой разумеющиеся телесные практики, самоочевидность которых, однако, действует исклю</w:t>
      </w:r>
      <w:r w:rsidR="00E91BB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ительно в рамках какой бы то ни было единичной культуры. На деле эти практики являются культурными инвариантами, вызывая удивление и озадаченность у носителей других культур. В своём одноимённом исследовании М. Мосс, опираясь на широкую фактологию, демонстрирует, что самые что ни на есть повседневные практики, например, способ отдыха, положение тела и головы при сне, положение тела роженицы и т.д.  т.п. имеют в разных культурах свои особенности и </w:t>
      </w:r>
      <w:r w:rsidR="00A24ADC">
        <w:rPr>
          <w:rFonts w:ascii="Times New Roman" w:hAnsi="Times New Roman" w:cs="Times New Roman"/>
          <w:sz w:val="28"/>
          <w:szCs w:val="28"/>
        </w:rPr>
        <w:t xml:space="preserve">носители разных культур приобретают </w:t>
      </w:r>
      <w:r w:rsidR="00E91BB6">
        <w:rPr>
          <w:rFonts w:ascii="Times New Roman" w:hAnsi="Times New Roman" w:cs="Times New Roman"/>
          <w:sz w:val="28"/>
          <w:szCs w:val="28"/>
        </w:rPr>
        <w:t xml:space="preserve">в ходе социализации </w:t>
      </w:r>
      <w:r w:rsidR="00A24ADC">
        <w:rPr>
          <w:rFonts w:ascii="Times New Roman" w:hAnsi="Times New Roman" w:cs="Times New Roman"/>
          <w:sz w:val="28"/>
          <w:szCs w:val="28"/>
        </w:rPr>
        <w:t>особые навыки</w:t>
      </w:r>
      <w:r w:rsidR="00E91BB6">
        <w:rPr>
          <w:rFonts w:ascii="Times New Roman" w:hAnsi="Times New Roman" w:cs="Times New Roman"/>
          <w:sz w:val="28"/>
          <w:szCs w:val="28"/>
        </w:rPr>
        <w:t>, недоступные или, как минимум, крайне дискомфортные для «чужаков»</w:t>
      </w:r>
      <w:r w:rsidR="00A24ADC">
        <w:rPr>
          <w:rFonts w:ascii="Times New Roman" w:hAnsi="Times New Roman" w:cs="Times New Roman"/>
          <w:sz w:val="28"/>
          <w:szCs w:val="28"/>
        </w:rPr>
        <w:t xml:space="preserve">. Ставя таким образом вопрос, М. Мосс открывает для социогуманитарного знания принципиально новую область исследования, социология и антропология таким образом «вторгается» в проблематику, которая изначально была безусловной «парафией» физиологии, медицины и прочих скорее естественных наук. Таким образом, М. Мосс впервые обратил внимание на социальную сконструированность человеческой телесности и её проявлений, что, разумеется, вызвало широкий интерес у гуманитарно-научной общественности и, без преувеличения, предвосхитило в во многом легло в основания, например, гендерного подхода в обществознания, для которого преодоление биологизаторства и эссенциализма в понимании человеческой природы является принципиально важной задчаей. </w:t>
      </w:r>
    </w:p>
    <w:p w:rsidR="00D01030" w:rsidRPr="00D01030" w:rsidRDefault="006B4E3B" w:rsidP="006B4E3B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030">
        <w:rPr>
          <w:rFonts w:ascii="Times New Roman" w:hAnsi="Times New Roman" w:cs="Times New Roman"/>
          <w:b/>
          <w:i/>
          <w:sz w:val="28"/>
          <w:szCs w:val="28"/>
          <w:lang w:val="en-US"/>
        </w:rPr>
        <w:t>Paidia</w:t>
      </w:r>
      <w:r w:rsidRPr="00D01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030">
        <w:rPr>
          <w:rFonts w:ascii="Times New Roman" w:hAnsi="Times New Roman" w:cs="Times New Roman"/>
          <w:b/>
          <w:i/>
          <w:sz w:val="28"/>
          <w:szCs w:val="28"/>
          <w:lang w:val="en-US"/>
        </w:rPr>
        <w:t>vs</w:t>
      </w:r>
      <w:r w:rsidRPr="00D01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030">
        <w:rPr>
          <w:rFonts w:ascii="Times New Roman" w:hAnsi="Times New Roman" w:cs="Times New Roman"/>
          <w:b/>
          <w:i/>
          <w:sz w:val="28"/>
          <w:szCs w:val="28"/>
          <w:lang w:val="en-US"/>
        </w:rPr>
        <w:t>ludus</w:t>
      </w:r>
      <w:r w:rsidRPr="00D01030">
        <w:rPr>
          <w:rFonts w:ascii="Times New Roman" w:hAnsi="Times New Roman" w:cs="Times New Roman"/>
          <w:b/>
          <w:i/>
          <w:sz w:val="28"/>
          <w:szCs w:val="28"/>
        </w:rPr>
        <w:t xml:space="preserve"> (Р. Кайуа)</w:t>
      </w:r>
      <w:r w:rsidRPr="00D01030">
        <w:rPr>
          <w:rFonts w:ascii="Times New Roman" w:hAnsi="Times New Roman" w:cs="Times New Roman"/>
          <w:sz w:val="28"/>
          <w:szCs w:val="28"/>
        </w:rPr>
        <w:t xml:space="preserve"> – базируясь на теории игр Йохана Хёйзинга и во-многом её творчески развивая, Роже Кайуа предлагает собственную классификацию игр,  выделяя четыре </w:t>
      </w:r>
      <w:r w:rsidR="006C7A8E">
        <w:rPr>
          <w:rFonts w:ascii="Times New Roman" w:hAnsi="Times New Roman" w:cs="Times New Roman"/>
          <w:sz w:val="28"/>
          <w:szCs w:val="28"/>
        </w:rPr>
        <w:t xml:space="preserve">их универсальных и </w:t>
      </w:r>
      <w:r w:rsidRPr="00D01030">
        <w:rPr>
          <w:rFonts w:ascii="Times New Roman" w:hAnsi="Times New Roman" w:cs="Times New Roman"/>
          <w:sz w:val="28"/>
          <w:szCs w:val="28"/>
        </w:rPr>
        <w:t xml:space="preserve">базовых типа: </w:t>
      </w:r>
    </w:p>
    <w:p w:rsidR="00D01030" w:rsidRPr="00D01030" w:rsidRDefault="00D01030" w:rsidP="00D01030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B4E3B" w:rsidRPr="00D01030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6B4E3B" w:rsidRPr="00D01030">
        <w:rPr>
          <w:rFonts w:ascii="Times New Roman" w:hAnsi="Times New Roman" w:cs="Times New Roman"/>
          <w:i/>
          <w:sz w:val="28"/>
          <w:szCs w:val="28"/>
        </w:rPr>
        <w:t>ô</w:t>
      </w:r>
      <w:r w:rsidR="006B4E3B" w:rsidRPr="00D0103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01030">
        <w:rPr>
          <w:rFonts w:ascii="Times New Roman" w:hAnsi="Times New Roman" w:cs="Times New Roman"/>
          <w:sz w:val="28"/>
          <w:szCs w:val="28"/>
        </w:rPr>
        <w:t xml:space="preserve">  - соревновательная игра;</w:t>
      </w:r>
    </w:p>
    <w:p w:rsidR="00D01030" w:rsidRPr="00D01030" w:rsidRDefault="00D01030" w:rsidP="00D01030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A</w:t>
      </w:r>
      <w:r w:rsidR="006B4E3B" w:rsidRPr="00D01030">
        <w:rPr>
          <w:rFonts w:ascii="Times New Roman" w:hAnsi="Times New Roman" w:cs="Times New Roman"/>
          <w:i/>
          <w:sz w:val="28"/>
          <w:szCs w:val="28"/>
          <w:lang w:val="en-US"/>
        </w:rPr>
        <w:t>lea</w:t>
      </w:r>
      <w:r w:rsidRPr="00D01030">
        <w:rPr>
          <w:rFonts w:ascii="Times New Roman" w:hAnsi="Times New Roman" w:cs="Times New Roman"/>
          <w:sz w:val="28"/>
          <w:szCs w:val="28"/>
        </w:rPr>
        <w:t xml:space="preserve"> - </w:t>
      </w:r>
      <w:r w:rsidR="006B4E3B" w:rsidRPr="00D01030">
        <w:rPr>
          <w:rFonts w:ascii="Times New Roman" w:hAnsi="Times New Roman" w:cs="Times New Roman"/>
          <w:sz w:val="28"/>
          <w:szCs w:val="28"/>
        </w:rPr>
        <w:t>игра, основа</w:t>
      </w:r>
      <w:r w:rsidRPr="00D01030">
        <w:rPr>
          <w:rFonts w:ascii="Times New Roman" w:hAnsi="Times New Roman" w:cs="Times New Roman"/>
          <w:sz w:val="28"/>
          <w:szCs w:val="28"/>
        </w:rPr>
        <w:t>нная на вероятностности, удаче</w:t>
      </w:r>
      <w:r w:rsidR="006C7A8E">
        <w:rPr>
          <w:rFonts w:ascii="Times New Roman" w:hAnsi="Times New Roman" w:cs="Times New Roman"/>
          <w:sz w:val="28"/>
          <w:szCs w:val="28"/>
        </w:rPr>
        <w:t>, везении</w:t>
      </w:r>
      <w:r w:rsidRPr="00D01030">
        <w:rPr>
          <w:rFonts w:ascii="Times New Roman" w:hAnsi="Times New Roman" w:cs="Times New Roman"/>
          <w:sz w:val="28"/>
          <w:szCs w:val="28"/>
        </w:rPr>
        <w:t>;</w:t>
      </w:r>
    </w:p>
    <w:p w:rsidR="00D01030" w:rsidRPr="00D01030" w:rsidRDefault="00D01030" w:rsidP="00D01030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6B4E3B" w:rsidRPr="00D01030">
        <w:rPr>
          <w:rFonts w:ascii="Times New Roman" w:hAnsi="Times New Roman" w:cs="Times New Roman"/>
          <w:i/>
          <w:sz w:val="28"/>
          <w:szCs w:val="28"/>
          <w:lang w:val="en-US"/>
        </w:rPr>
        <w:t>imicry</w:t>
      </w:r>
      <w:r w:rsidRPr="00D01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030">
        <w:rPr>
          <w:rFonts w:ascii="Times New Roman" w:hAnsi="Times New Roman" w:cs="Times New Roman"/>
          <w:sz w:val="28"/>
          <w:szCs w:val="28"/>
        </w:rPr>
        <w:t>- подражательная игра</w:t>
      </w:r>
      <w:r w:rsidR="006C7A8E">
        <w:rPr>
          <w:rFonts w:ascii="Times New Roman" w:hAnsi="Times New Roman" w:cs="Times New Roman"/>
          <w:sz w:val="28"/>
          <w:szCs w:val="28"/>
        </w:rPr>
        <w:t>, базирующаяся на артистизме, перевоплощении, вхождении в образ (для автора крайне важны мистериозные и инициационные её корни, большое внимание Кайуа уделяет тут маскам как культурному феномену)</w:t>
      </w:r>
      <w:r w:rsidRPr="00D01030">
        <w:rPr>
          <w:rFonts w:ascii="Times New Roman" w:hAnsi="Times New Roman" w:cs="Times New Roman"/>
          <w:sz w:val="28"/>
          <w:szCs w:val="28"/>
        </w:rPr>
        <w:t>;</w:t>
      </w:r>
    </w:p>
    <w:p w:rsidR="00D01030" w:rsidRPr="00D01030" w:rsidRDefault="00D01030" w:rsidP="00D01030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B4E3B" w:rsidRPr="00D01030">
        <w:rPr>
          <w:rFonts w:ascii="Times New Roman" w:hAnsi="Times New Roman" w:cs="Times New Roman"/>
          <w:i/>
          <w:sz w:val="28"/>
          <w:szCs w:val="28"/>
          <w:lang w:val="en-US"/>
        </w:rPr>
        <w:t>linx</w:t>
      </w:r>
      <w:r w:rsidRPr="00D01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030">
        <w:rPr>
          <w:rFonts w:ascii="Times New Roman" w:hAnsi="Times New Roman" w:cs="Times New Roman"/>
          <w:sz w:val="28"/>
          <w:szCs w:val="28"/>
        </w:rPr>
        <w:t xml:space="preserve">- </w:t>
      </w:r>
      <w:r w:rsidR="006B4E3B" w:rsidRPr="00D01030">
        <w:rPr>
          <w:rFonts w:ascii="Times New Roman" w:hAnsi="Times New Roman" w:cs="Times New Roman"/>
          <w:sz w:val="28"/>
          <w:szCs w:val="28"/>
        </w:rPr>
        <w:t>«головокружительная» игра, практика, при которой нарушается стабильность повс</w:t>
      </w:r>
      <w:r w:rsidRPr="00D01030">
        <w:rPr>
          <w:rFonts w:ascii="Times New Roman" w:hAnsi="Times New Roman" w:cs="Times New Roman"/>
          <w:sz w:val="28"/>
          <w:szCs w:val="28"/>
        </w:rPr>
        <w:t>едневного восприятия и мышления</w:t>
      </w:r>
      <w:r w:rsidR="006B4E3B" w:rsidRPr="00D01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E3B" w:rsidRPr="00D01030" w:rsidRDefault="006B4E3B" w:rsidP="00D0103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030">
        <w:rPr>
          <w:rFonts w:ascii="Times New Roman" w:hAnsi="Times New Roman" w:cs="Times New Roman"/>
          <w:sz w:val="28"/>
          <w:szCs w:val="28"/>
        </w:rPr>
        <w:t>Данные четыре типа являются «идеальными типами» в веберианском смысле</w:t>
      </w:r>
      <w:r w:rsidR="006C7A8E">
        <w:rPr>
          <w:rFonts w:ascii="Times New Roman" w:hAnsi="Times New Roman" w:cs="Times New Roman"/>
          <w:sz w:val="28"/>
          <w:szCs w:val="28"/>
        </w:rPr>
        <w:t>. В</w:t>
      </w:r>
      <w:r w:rsidRPr="00D01030">
        <w:rPr>
          <w:rFonts w:ascii="Times New Roman" w:hAnsi="Times New Roman" w:cs="Times New Roman"/>
          <w:sz w:val="28"/>
          <w:szCs w:val="28"/>
        </w:rPr>
        <w:t xml:space="preserve"> практической жизни мы, в большинстве случаев, имеем дело с играми, в ко</w:t>
      </w:r>
      <w:r w:rsidR="00D01030">
        <w:rPr>
          <w:rFonts w:ascii="Times New Roman" w:hAnsi="Times New Roman" w:cs="Times New Roman"/>
          <w:sz w:val="28"/>
          <w:szCs w:val="28"/>
        </w:rPr>
        <w:t>торых скомбинированы черты двух</w:t>
      </w:r>
      <w:r w:rsidRPr="00D0103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01030">
        <w:rPr>
          <w:rFonts w:ascii="Times New Roman" w:hAnsi="Times New Roman" w:cs="Times New Roman"/>
          <w:sz w:val="28"/>
          <w:szCs w:val="28"/>
        </w:rPr>
        <w:t>, но не более, поскольку</w:t>
      </w:r>
      <w:r w:rsidRPr="00D01030">
        <w:rPr>
          <w:rFonts w:ascii="Times New Roman" w:hAnsi="Times New Roman" w:cs="Times New Roman"/>
          <w:sz w:val="28"/>
          <w:szCs w:val="28"/>
        </w:rPr>
        <w:t xml:space="preserve"> с</w:t>
      </w:r>
      <w:r w:rsidR="006C7A8E">
        <w:rPr>
          <w:rFonts w:ascii="Times New Roman" w:hAnsi="Times New Roman" w:cs="Times New Roman"/>
          <w:sz w:val="28"/>
          <w:szCs w:val="28"/>
        </w:rPr>
        <w:t>уществуют невозможные сочетания, «полярные» типы игр. Т</w:t>
      </w:r>
      <w:r w:rsidRPr="00D01030">
        <w:rPr>
          <w:rFonts w:ascii="Times New Roman" w:hAnsi="Times New Roman" w:cs="Times New Roman"/>
          <w:sz w:val="28"/>
          <w:szCs w:val="28"/>
        </w:rPr>
        <w:t xml:space="preserve">ак 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D01030">
        <w:rPr>
          <w:rFonts w:ascii="Times New Roman" w:hAnsi="Times New Roman" w:cs="Times New Roman"/>
          <w:sz w:val="28"/>
          <w:szCs w:val="28"/>
        </w:rPr>
        <w:t>ô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1030">
        <w:rPr>
          <w:rFonts w:ascii="Times New Roman" w:hAnsi="Times New Roman" w:cs="Times New Roman"/>
          <w:sz w:val="28"/>
          <w:szCs w:val="28"/>
        </w:rPr>
        <w:t xml:space="preserve"> несовместим с 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ilinx</w:t>
      </w:r>
      <w:r w:rsidRPr="00D01030">
        <w:rPr>
          <w:rFonts w:ascii="Times New Roman" w:hAnsi="Times New Roman" w:cs="Times New Roman"/>
          <w:sz w:val="28"/>
          <w:szCs w:val="28"/>
        </w:rPr>
        <w:t xml:space="preserve">, а 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mimicry</w:t>
      </w:r>
      <w:r w:rsidRPr="00D01030">
        <w:rPr>
          <w:rFonts w:ascii="Times New Roman" w:hAnsi="Times New Roman" w:cs="Times New Roman"/>
          <w:sz w:val="28"/>
          <w:szCs w:val="28"/>
        </w:rPr>
        <w:t xml:space="preserve"> с 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alea</w:t>
      </w:r>
      <w:r w:rsidRPr="00D01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405" w:rsidRPr="00D01030" w:rsidRDefault="006B4E3B" w:rsidP="006B4E3B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030">
        <w:rPr>
          <w:rFonts w:ascii="Times New Roman" w:hAnsi="Times New Roman" w:cs="Times New Roman"/>
          <w:sz w:val="28"/>
          <w:szCs w:val="28"/>
        </w:rPr>
        <w:t xml:space="preserve">Р. Кайуа говорит </w:t>
      </w:r>
      <w:r w:rsidR="006C7A8E">
        <w:rPr>
          <w:rFonts w:ascii="Times New Roman" w:hAnsi="Times New Roman" w:cs="Times New Roman"/>
          <w:sz w:val="28"/>
          <w:szCs w:val="28"/>
        </w:rPr>
        <w:t xml:space="preserve">и </w:t>
      </w:r>
      <w:r w:rsidRPr="00D01030">
        <w:rPr>
          <w:rFonts w:ascii="Times New Roman" w:hAnsi="Times New Roman" w:cs="Times New Roman"/>
          <w:sz w:val="28"/>
          <w:szCs w:val="28"/>
        </w:rPr>
        <w:t xml:space="preserve">о двух «стихиях» игры: анархически буйной </w:t>
      </w:r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t>paidia</w:t>
      </w:r>
      <w:r w:rsidRPr="00D01030">
        <w:rPr>
          <w:rFonts w:ascii="Times New Roman" w:hAnsi="Times New Roman" w:cs="Times New Roman"/>
          <w:sz w:val="28"/>
          <w:szCs w:val="28"/>
        </w:rPr>
        <w:t xml:space="preserve"> и нормативно упорядоченном </w:t>
      </w:r>
      <w:r w:rsidRPr="00D01030">
        <w:rPr>
          <w:rFonts w:ascii="Times New Roman" w:hAnsi="Times New Roman" w:cs="Times New Roman"/>
          <w:i/>
          <w:sz w:val="28"/>
          <w:szCs w:val="28"/>
          <w:lang w:val="en-US"/>
        </w:rPr>
        <w:t>ludus</w:t>
      </w:r>
      <w:r w:rsidRPr="00D01030">
        <w:rPr>
          <w:rFonts w:ascii="Times New Roman" w:hAnsi="Times New Roman" w:cs="Times New Roman"/>
          <w:sz w:val="28"/>
          <w:szCs w:val="28"/>
        </w:rPr>
        <w:t xml:space="preserve">, составляющих еще одно принципиально важное измерения для осмысления типов игр. Осмысляя сквозь призму игры общемировой процесс развития культуры, Кайуа констатирует рост значимости  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ludus</w:t>
      </w:r>
      <w:r w:rsidRPr="00D01030">
        <w:rPr>
          <w:rFonts w:ascii="Times New Roman" w:hAnsi="Times New Roman" w:cs="Times New Roman"/>
          <w:sz w:val="28"/>
          <w:szCs w:val="28"/>
        </w:rPr>
        <w:t xml:space="preserve">-а в ущерб 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paidia</w:t>
      </w:r>
      <w:r w:rsidRPr="00D01030">
        <w:rPr>
          <w:rFonts w:ascii="Times New Roman" w:hAnsi="Times New Roman" w:cs="Times New Roman"/>
          <w:sz w:val="28"/>
          <w:szCs w:val="28"/>
        </w:rPr>
        <w:t xml:space="preserve"> и, что особенно важно, процесс цивилизации рассматривается автором в контексте снижения культурной значимости (и даже потери легитимности) головокружительно-подражательных игр (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mimicry</w:t>
      </w:r>
      <w:r w:rsidRPr="00D01030">
        <w:rPr>
          <w:rFonts w:ascii="Times New Roman" w:hAnsi="Times New Roman" w:cs="Times New Roman"/>
          <w:sz w:val="28"/>
          <w:szCs w:val="28"/>
        </w:rPr>
        <w:t>-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ilinx</w:t>
      </w:r>
      <w:r w:rsidRPr="00D01030">
        <w:rPr>
          <w:rFonts w:ascii="Times New Roman" w:hAnsi="Times New Roman" w:cs="Times New Roman"/>
          <w:sz w:val="28"/>
          <w:szCs w:val="28"/>
        </w:rPr>
        <w:t>, составлявших основу архаической мистерии) и роста значимости дополняющих друг друга состязательных и вероятностных игр (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D01030">
        <w:rPr>
          <w:rFonts w:ascii="Times New Roman" w:hAnsi="Times New Roman" w:cs="Times New Roman"/>
          <w:sz w:val="28"/>
          <w:szCs w:val="28"/>
        </w:rPr>
        <w:t>ô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1030">
        <w:rPr>
          <w:rFonts w:ascii="Times New Roman" w:hAnsi="Times New Roman" w:cs="Times New Roman"/>
          <w:sz w:val="28"/>
          <w:szCs w:val="28"/>
        </w:rPr>
        <w:t>-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alea</w:t>
      </w:r>
      <w:r w:rsidRPr="00D01030">
        <w:rPr>
          <w:rFonts w:ascii="Times New Roman" w:hAnsi="Times New Roman" w:cs="Times New Roman"/>
          <w:sz w:val="28"/>
          <w:szCs w:val="28"/>
        </w:rPr>
        <w:t xml:space="preserve">). Вместе с тем, в работе автора присутствуют отдельные соображения о своеобразном «возвращении» 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mimicry</w:t>
      </w:r>
      <w:r w:rsidRPr="00D01030">
        <w:rPr>
          <w:rFonts w:ascii="Times New Roman" w:hAnsi="Times New Roman" w:cs="Times New Roman"/>
          <w:sz w:val="28"/>
          <w:szCs w:val="28"/>
        </w:rPr>
        <w:t>-</w:t>
      </w:r>
      <w:r w:rsidRPr="00D01030">
        <w:rPr>
          <w:rFonts w:ascii="Times New Roman" w:hAnsi="Times New Roman" w:cs="Times New Roman"/>
          <w:sz w:val="28"/>
          <w:szCs w:val="28"/>
          <w:lang w:val="en-US"/>
        </w:rPr>
        <w:t>ilinx</w:t>
      </w:r>
      <w:r w:rsidRPr="00D01030">
        <w:rPr>
          <w:rFonts w:ascii="Times New Roman" w:hAnsi="Times New Roman" w:cs="Times New Roman"/>
          <w:sz w:val="28"/>
          <w:szCs w:val="28"/>
        </w:rPr>
        <w:t xml:space="preserve"> в современной ему культуре</w:t>
      </w:r>
      <w:r w:rsidR="00D01030">
        <w:rPr>
          <w:rFonts w:ascii="Times New Roman" w:hAnsi="Times New Roman" w:cs="Times New Roman"/>
          <w:sz w:val="28"/>
          <w:szCs w:val="28"/>
        </w:rPr>
        <w:t xml:space="preserve">, что лишает до определённой степени выводы автора однозначности, зато, без всяких сомнений, способно дать важные ключи к </w:t>
      </w:r>
      <w:r w:rsidR="00AD7297">
        <w:rPr>
          <w:rFonts w:ascii="Times New Roman" w:hAnsi="Times New Roman" w:cs="Times New Roman"/>
          <w:sz w:val="28"/>
          <w:szCs w:val="28"/>
        </w:rPr>
        <w:t>пониманию некоторых проблематичных</w:t>
      </w:r>
      <w:r w:rsidR="00D01030">
        <w:rPr>
          <w:rFonts w:ascii="Times New Roman" w:hAnsi="Times New Roman" w:cs="Times New Roman"/>
          <w:sz w:val="28"/>
          <w:szCs w:val="28"/>
        </w:rPr>
        <w:t xml:space="preserve"> с точки </w:t>
      </w:r>
      <w:r w:rsidR="00AD7297">
        <w:rPr>
          <w:rFonts w:ascii="Times New Roman" w:hAnsi="Times New Roman" w:cs="Times New Roman"/>
          <w:sz w:val="28"/>
          <w:szCs w:val="28"/>
        </w:rPr>
        <w:t>зрения рациональности актуальных форм</w:t>
      </w:r>
      <w:r w:rsidR="00D01030">
        <w:rPr>
          <w:rFonts w:ascii="Times New Roman" w:hAnsi="Times New Roman" w:cs="Times New Roman"/>
          <w:sz w:val="28"/>
          <w:szCs w:val="28"/>
        </w:rPr>
        <w:t xml:space="preserve"> социальности</w:t>
      </w:r>
      <w:r w:rsidR="00AD7297">
        <w:rPr>
          <w:rFonts w:ascii="Times New Roman" w:hAnsi="Times New Roman" w:cs="Times New Roman"/>
          <w:sz w:val="28"/>
          <w:szCs w:val="28"/>
        </w:rPr>
        <w:t xml:space="preserve"> и социального взаимодействия</w:t>
      </w:r>
      <w:r w:rsidR="00D01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18F" w:rsidRPr="007D718F" w:rsidRDefault="00F559B7" w:rsidP="003F78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9B7">
        <w:rPr>
          <w:rFonts w:ascii="Times New Roman" w:hAnsi="Times New Roman" w:cs="Times New Roman"/>
          <w:b/>
          <w:i/>
          <w:sz w:val="28"/>
          <w:szCs w:val="28"/>
        </w:rPr>
        <w:t xml:space="preserve">Этнологический </w:t>
      </w:r>
      <w:r>
        <w:rPr>
          <w:rFonts w:ascii="Times New Roman" w:hAnsi="Times New Roman" w:cs="Times New Roman"/>
          <w:b/>
          <w:i/>
          <w:sz w:val="28"/>
          <w:szCs w:val="28"/>
        </w:rPr>
        <w:t>гуманизм</w:t>
      </w:r>
      <w:r>
        <w:rPr>
          <w:rFonts w:ascii="Times New Roman" w:hAnsi="Times New Roman" w:cs="Times New Roman"/>
          <w:sz w:val="28"/>
          <w:szCs w:val="28"/>
        </w:rPr>
        <w:t xml:space="preserve"> – понятие, важное для Клода Леви-Стросса для понимания мировоззренческих предпосылок и основания существования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антропологии</w:t>
      </w:r>
      <w:r w:rsidR="003F783D">
        <w:rPr>
          <w:rFonts w:ascii="Times New Roman" w:hAnsi="Times New Roman" w:cs="Times New Roman"/>
          <w:sz w:val="28"/>
          <w:szCs w:val="28"/>
        </w:rPr>
        <w:t xml:space="preserve"> и этнологии как наук</w:t>
      </w:r>
      <w:r>
        <w:rPr>
          <w:rFonts w:ascii="Times New Roman" w:hAnsi="Times New Roman" w:cs="Times New Roman"/>
          <w:sz w:val="28"/>
          <w:szCs w:val="28"/>
        </w:rPr>
        <w:t xml:space="preserve">. В самом начале </w:t>
      </w:r>
      <w:r w:rsidR="003F783D">
        <w:rPr>
          <w:rFonts w:ascii="Times New Roman" w:hAnsi="Times New Roman" w:cs="Times New Roman"/>
          <w:sz w:val="28"/>
          <w:szCs w:val="28"/>
        </w:rPr>
        <w:t xml:space="preserve">своей знаменитой </w:t>
      </w:r>
      <w:r>
        <w:rPr>
          <w:rFonts w:ascii="Times New Roman" w:hAnsi="Times New Roman" w:cs="Times New Roman"/>
          <w:sz w:val="28"/>
          <w:szCs w:val="28"/>
        </w:rPr>
        <w:t>монографии «Первобытное мышление»</w:t>
      </w:r>
      <w:r w:rsidR="003F783D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3D">
        <w:rPr>
          <w:rFonts w:ascii="Times New Roman" w:hAnsi="Times New Roman" w:cs="Times New Roman"/>
          <w:sz w:val="28"/>
          <w:szCs w:val="28"/>
        </w:rPr>
        <w:t>подвергает решительной критике взгляд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антропология и этнология – новые науки, а интерес к культурно иному – </w:t>
      </w:r>
      <w:r w:rsidR="003F783D">
        <w:rPr>
          <w:rFonts w:ascii="Times New Roman" w:hAnsi="Times New Roman" w:cs="Times New Roman"/>
          <w:sz w:val="28"/>
          <w:szCs w:val="28"/>
        </w:rPr>
        <w:t>порождение нового времени. Леви-Стросс</w:t>
      </w:r>
      <w:r>
        <w:rPr>
          <w:rFonts w:ascii="Times New Roman" w:hAnsi="Times New Roman" w:cs="Times New Roman"/>
          <w:sz w:val="28"/>
          <w:szCs w:val="28"/>
        </w:rPr>
        <w:t xml:space="preserve">, напротив, утверждает, что этнологический стиль мышления является традиционным видом гуманистической мысли. Корни этого стиля мышления Леви-Стросс видит в позднесредневековом и возрожденческом увлечении латынью, освоение которой было практическим действием в духе инкультурации (как это называет Леви-Стросс, </w:t>
      </w:r>
      <w:r w:rsidRPr="003F783D">
        <w:rPr>
          <w:rFonts w:ascii="Times New Roman" w:hAnsi="Times New Roman" w:cs="Times New Roman"/>
          <w:sz w:val="28"/>
          <w:szCs w:val="28"/>
        </w:rPr>
        <w:t>«техника переселения»</w:t>
      </w:r>
      <w:r>
        <w:rPr>
          <w:rFonts w:ascii="Times New Roman" w:hAnsi="Times New Roman" w:cs="Times New Roman"/>
          <w:sz w:val="28"/>
          <w:szCs w:val="28"/>
        </w:rPr>
        <w:t>), освоении азов культуры прошлого и её понимание.</w:t>
      </w:r>
      <w:r w:rsidR="003F7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того, автор исторически связывает формирование идей Гуманизма с эпохой Великих географических открытий, расширяющей горизонты человеческого знания не только о мире природном, но и о мире человеческом – многообразии культур, народов, обычаев. Собственно этнология и представляет собой, по мнению автора, тот третий этап развития гуманизма, когда идеи классической и, впоследствии, неклассической философии оказались обогащены интересом к культурно-иному.</w:t>
      </w:r>
      <w:r w:rsidR="003F7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Этнологический тип гуманизма важен для Леви-Стросса ещё и потому, что он преодолевает классовую ограниченность аристократического по своей природе гуманизма эпохи Возрождения и буржуазного </w:t>
      </w:r>
      <w:r w:rsidRPr="005778A8">
        <w:rPr>
          <w:rFonts w:ascii="Times New Roman" w:hAnsi="Times New Roman" w:cs="Times New Roman"/>
          <w:sz w:val="28"/>
          <w:szCs w:val="28"/>
        </w:rPr>
        <w:t>гуманизма XIX в.</w:t>
      </w:r>
      <w:r>
        <w:rPr>
          <w:rFonts w:ascii="Times New Roman" w:hAnsi="Times New Roman" w:cs="Times New Roman"/>
          <w:sz w:val="28"/>
          <w:szCs w:val="28"/>
        </w:rPr>
        <w:t xml:space="preserve"> Этнология для него – «универсальный гуманизм», единый, всеобщий, и, вероятнее всего, хоть автор этого и не говорит однозначно – единственный подлинный и последовательн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ый из возможных гуманизмов.</w:t>
      </w:r>
    </w:p>
    <w:sectPr w:rsidR="007D718F" w:rsidRPr="007D718F" w:rsidSect="007D718F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08" w:rsidRDefault="00CC6F08" w:rsidP="007D718F">
      <w:pPr>
        <w:spacing w:after="0" w:line="240" w:lineRule="auto"/>
      </w:pPr>
      <w:r>
        <w:separator/>
      </w:r>
    </w:p>
  </w:endnote>
  <w:endnote w:type="continuationSeparator" w:id="0">
    <w:p w:rsidR="00CC6F08" w:rsidRDefault="00CC6F08" w:rsidP="007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688205"/>
      <w:docPartObj>
        <w:docPartGallery w:val="Page Numbers (Bottom of Page)"/>
        <w:docPartUnique/>
      </w:docPartObj>
    </w:sdtPr>
    <w:sdtContent>
      <w:p w:rsidR="007D718F" w:rsidRDefault="00D81E96">
        <w:pPr>
          <w:pStyle w:val="a5"/>
          <w:jc w:val="right"/>
        </w:pPr>
        <w:r>
          <w:fldChar w:fldCharType="begin"/>
        </w:r>
        <w:r w:rsidR="007D718F">
          <w:instrText>PAGE   \* MERGEFORMAT</w:instrText>
        </w:r>
        <w:r>
          <w:fldChar w:fldCharType="separate"/>
        </w:r>
        <w:r w:rsidR="00D83DF4">
          <w:rPr>
            <w:noProof/>
          </w:rPr>
          <w:t>5</w:t>
        </w:r>
        <w:r>
          <w:fldChar w:fldCharType="end"/>
        </w:r>
      </w:p>
    </w:sdtContent>
  </w:sdt>
  <w:p w:rsidR="007D718F" w:rsidRDefault="007D71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08" w:rsidRDefault="00CC6F08" w:rsidP="007D718F">
      <w:pPr>
        <w:spacing w:after="0" w:line="240" w:lineRule="auto"/>
      </w:pPr>
      <w:r>
        <w:separator/>
      </w:r>
    </w:p>
  </w:footnote>
  <w:footnote w:type="continuationSeparator" w:id="0">
    <w:p w:rsidR="00CC6F08" w:rsidRDefault="00CC6F08" w:rsidP="007D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F4" w:rsidRDefault="00D83DF4" w:rsidP="00D83DF4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D83DF4" w:rsidRDefault="00D83DF4" w:rsidP="00D83DF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83DF4" w:rsidRDefault="00D83DF4" w:rsidP="00D83DF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83DF4" w:rsidRDefault="00D83DF4" w:rsidP="00D83DF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83DF4" w:rsidRDefault="00D83DF4">
    <w:pPr>
      <w:pStyle w:val="a3"/>
    </w:pPr>
  </w:p>
  <w:p w:rsidR="00D83DF4" w:rsidRDefault="00D83D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0A4A"/>
    <w:multiLevelType w:val="hybridMultilevel"/>
    <w:tmpl w:val="C900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8F"/>
    <w:rsid w:val="00284EE4"/>
    <w:rsid w:val="003B2D6B"/>
    <w:rsid w:val="003C744C"/>
    <w:rsid w:val="003F783D"/>
    <w:rsid w:val="004B7D52"/>
    <w:rsid w:val="00517B41"/>
    <w:rsid w:val="0056005C"/>
    <w:rsid w:val="0056698F"/>
    <w:rsid w:val="005A1AF6"/>
    <w:rsid w:val="005D3CA6"/>
    <w:rsid w:val="006B4E3B"/>
    <w:rsid w:val="006C7A8E"/>
    <w:rsid w:val="00723488"/>
    <w:rsid w:val="007D718F"/>
    <w:rsid w:val="00840405"/>
    <w:rsid w:val="00A24ADC"/>
    <w:rsid w:val="00AB0A0F"/>
    <w:rsid w:val="00AD4634"/>
    <w:rsid w:val="00AD7297"/>
    <w:rsid w:val="00B70B57"/>
    <w:rsid w:val="00BE2B10"/>
    <w:rsid w:val="00CC6F08"/>
    <w:rsid w:val="00D01030"/>
    <w:rsid w:val="00D81E96"/>
    <w:rsid w:val="00D83DF4"/>
    <w:rsid w:val="00DE3E3E"/>
    <w:rsid w:val="00E91BB6"/>
    <w:rsid w:val="00F22200"/>
    <w:rsid w:val="00F559B7"/>
    <w:rsid w:val="00F6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6"/>
  </w:style>
  <w:style w:type="paragraph" w:styleId="3">
    <w:name w:val="heading 3"/>
    <w:basedOn w:val="a"/>
    <w:link w:val="30"/>
    <w:uiPriority w:val="9"/>
    <w:semiHidden/>
    <w:unhideWhenUsed/>
    <w:qFormat/>
    <w:rsid w:val="00D83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83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18F"/>
  </w:style>
  <w:style w:type="paragraph" w:styleId="a5">
    <w:name w:val="footer"/>
    <w:basedOn w:val="a"/>
    <w:link w:val="a6"/>
    <w:uiPriority w:val="99"/>
    <w:unhideWhenUsed/>
    <w:rsid w:val="007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18F"/>
  </w:style>
  <w:style w:type="paragraph" w:styleId="a7">
    <w:name w:val="footnote text"/>
    <w:basedOn w:val="a"/>
    <w:link w:val="a8"/>
    <w:uiPriority w:val="99"/>
    <w:unhideWhenUsed/>
    <w:rsid w:val="00AD46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D46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463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8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D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3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3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83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18F"/>
  </w:style>
  <w:style w:type="paragraph" w:styleId="a5">
    <w:name w:val="footer"/>
    <w:basedOn w:val="a"/>
    <w:link w:val="a6"/>
    <w:uiPriority w:val="99"/>
    <w:unhideWhenUsed/>
    <w:rsid w:val="007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18F"/>
  </w:style>
  <w:style w:type="paragraph" w:styleId="a7">
    <w:name w:val="footnote text"/>
    <w:basedOn w:val="a"/>
    <w:link w:val="a8"/>
    <w:uiPriority w:val="99"/>
    <w:unhideWhenUsed/>
    <w:rsid w:val="00AD46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D46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46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0DFA"/>
    <w:rsid w:val="00375824"/>
    <w:rsid w:val="00E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59C54636AE42F6A07CF902C84A1B4A">
    <w:name w:val="3459C54636AE42F6A07CF902C84A1B4A"/>
    <w:rsid w:val="00EE0D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Yalta</dc:creator>
  <cp:lastModifiedBy>саша</cp:lastModifiedBy>
  <cp:revision>19</cp:revision>
  <dcterms:created xsi:type="dcterms:W3CDTF">2018-02-02T10:18:00Z</dcterms:created>
  <dcterms:modified xsi:type="dcterms:W3CDTF">2019-04-16T07:19:00Z</dcterms:modified>
</cp:coreProperties>
</file>