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7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3F">
        <w:rPr>
          <w:rFonts w:ascii="Times New Roman" w:hAnsi="Times New Roman" w:cs="Times New Roman"/>
          <w:b/>
          <w:sz w:val="24"/>
          <w:szCs w:val="24"/>
        </w:rPr>
        <w:t>«Организация расчетов с бюджетом и внебюджетными фондами»</w:t>
      </w:r>
    </w:p>
    <w:p w:rsidR="00DF6733" w:rsidRP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Содержание разделов учебной дисциплины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1. Организация расчетов с бюджетом по федеральным налогам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и принципы организации расчетов с бюджетом. Принципы исчисления  и порядок организации расчетов с бюджетом по налогу на добавленную стоимость: расчет налоговой базы, расчет суммы налога, расчет налоговых вычетов, начисление сумм налога  по счетам 19/ ндс и  68/ ндс. Принципы исчисления  и порядок организации расчетов с бюджетом по налогу на прибыль: расчет налоговой базы, расчет суммы налога, начисление сумм налога по сч. 68 Принципы исчисления  и порядок организации расчетов с бюджетом по налогу на доходы физических лиц: расчет налоговой базы, порядок применения льгот, порядок применения социальных и имущественных вычетов, расчет суммы налога, начисление сумм налога на счете 68.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2. Организация расчетов с бюджетом по региональным и местным налогам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 по региональным и местным налогам. Принципы исчисления  и порядок организации расчетов с бюджетом по налогу на имущество организаций: расчет налоговой базы, расчет суммы налога, начисление сумм налога по сч. 68. Принципы исчисления  и порядок организации расчетов с бюджетом по транспортному  налогу:  расчет налоговой базы, порядок применения льгот, расчет суммы налога, начисление сумм налога по сч. 68. Принципы исчисления  и порядок организации расчетов с бюджетом по земельному  налогу: расчет налоговой базы, порядок применения льгот, расчет суммы налога, начисление сумм налога по сч. 68.  Расчет налогов и отражение их начисления и перечисления по сч. 68. Оформление платежных документов для перечисления налогов и сборов в бюджет, осуществление контроля их прохождение по расчетно-кассовым банковским операциям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3. Организация расчетов с внебюджетными фондами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Общие положения и понятие расчетов с  внебюджетными фондами. Нормативно-правовая база  по расчетам во внебюджетные фонды Российской Федерации.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4. Организация расчетов по Фонду социального страхования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 xml:space="preserve">Порядок расчетов, начисления и перечисления страховых взносов в Фонд социального страхования Российской Федерации. Порядок расчетов, начисления и перечисления взносов на страхование от несчастных случаев на производстве и профессиональных заболеваний Расчет страховых взносов в ФСС,  отражение их начисления и перечисления по сч. 69/1. 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5. Организация расчетов по  Пенсионн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ому </w:t>
      </w:r>
      <w:r w:rsidRPr="00DF6733">
        <w:rPr>
          <w:rFonts w:ascii="Times New Roman" w:eastAsia="Calibri" w:hAnsi="Times New Roman" w:cs="Times New Roman"/>
          <w:b/>
          <w:sz w:val="24"/>
          <w:szCs w:val="24"/>
        </w:rPr>
        <w:t>фонду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Пенсионный фонд Российской Федерации. Порядок использования  средств Пенсионного фонда по направлениям, определенным законодательств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6. Организация расчетов  по Фонду обязательного медицинского страхования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Фонд обязательного медицинского страхования</w:t>
      </w: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итература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1.Бухгалтерский учет</w:t>
      </w:r>
      <w:r w:rsidRPr="00A606D2">
        <w:rPr>
          <w:rFonts w:ascii="Times New Roman" w:eastAsia="Calibri" w:hAnsi="Times New Roman" w:cs="Times New Roman"/>
          <w:sz w:val="24"/>
          <w:szCs w:val="24"/>
        </w:rPr>
        <w:t>: Учебник / С.Безруких, В.Б. Ивашкевич, Н.П. Кондраков и др. // Электронная библиотечная система «Университетская библиотека онлайн»[Электронный ресурс].-Режим доступа: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wwwURL:http:// </w:t>
      </w:r>
      <w:r>
        <w:rPr>
          <w:rFonts w:ascii="Times New Roman" w:eastAsia="Calibri" w:hAnsi="Times New Roman" w:cs="Times New Roman"/>
          <w:sz w:val="24"/>
          <w:szCs w:val="24"/>
        </w:rPr>
        <w:t>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2. Бабаева Д., Терехова В.А.,. Шеина Т.Н.и др..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 перераб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606D2">
        <w:rPr>
          <w:rFonts w:ascii="Times New Roman" w:eastAsia="Calibri" w:hAnsi="Times New Roman" w:cs="Times New Roman"/>
          <w:sz w:val="24"/>
          <w:szCs w:val="24"/>
        </w:rPr>
        <w:t>// Электронная библиотечная система «Университетская библиотека онлайн»[Электронный ресурс].-Режим доступа:wwwURL:http://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3.Кондраков, Н.П. Бухгалтерский учет : Учебное пособие / Н.П. Кондраков. // Электронная библиотечная система «Университетская библиотека онлайн»[Электронный ресурс].-Режим доступа:www</w:t>
      </w:r>
      <w:r>
        <w:rPr>
          <w:rFonts w:ascii="Times New Roman" w:eastAsia="Calibri" w:hAnsi="Times New Roman" w:cs="Times New Roman"/>
          <w:sz w:val="24"/>
          <w:szCs w:val="24"/>
        </w:rPr>
        <w:t>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1.</w:t>
      </w:r>
      <w:r w:rsidRPr="00A606D2">
        <w:rPr>
          <w:rFonts w:ascii="Times New Roman" w:eastAsia="Calibri" w:hAnsi="Times New Roman" w:cs="Times New Roman"/>
          <w:sz w:val="24"/>
          <w:szCs w:val="24"/>
        </w:rPr>
        <w:tab/>
        <w:t>Консультант Плюс 1997-2012 [Электронный ресурс]: справочно-поисковая система.- Режим доступа: http://www.consultant.ru/?utm_source=sps</w:t>
      </w:r>
    </w:p>
    <w:p w:rsid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383F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D743C" w:rsidRPr="00BB383F" w:rsidRDefault="005D743C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142FD4" w:rsidRDefault="00142FD4" w:rsidP="0014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Задание 1.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изучить особенности расчета налога на добавленную стоимость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является одним из основных федеральных налогов, который рассчитывается и взимается с предприятий в соответствии с главой 21 «Налог на добавленную стоимость» НК РФ. Этот налог включается в стоимость продукции предприятий.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при этом являются обороты по реализации продукции или выполненных работ и оказанных услуг на территории Российской Федерации. Для определения облагаемого оборота используется показатель стоимости реализуемых товаров, работ, услуг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различать показатели стоимости реализованной продукции (СРП) и выручки от реализации продукции (ВРП). Стоимость реализованной продукции может включать в себя сумму НДС, тогда это будет называться выручкой от реализации продукции: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ВРП = СРП + НДС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установленные ставки НДС 10% (по отдельным продовольственным товарам и товарам для детей, перечень которых утверждается правительством РФ) и 18% (по всем остальным товарам, работам и услугам) применяются по-разному: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СРП (без НДС) → основные ставки 10%, 18%;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ВРП (с НДС) → расчетный коэффициент </w:t>
      </w:r>
      <w:r w:rsidRPr="00142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18 : 118.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добавленную стоимость, которую необходимо внести в бюджет (НДС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НДС -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полученная от потребителей за реализованную продукцию, работы, услуги;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фактически уплаченного поставщикам за материалы, сырье, и подтвержденная счетами-фактурами.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вариантом заданий выполнить расчет, определить сумму налога на добавленную стоимость, подлежащую уплате в бюджет.</w:t>
      </w:r>
    </w:p>
    <w:p w:rsid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суммы налога на добавленную стоимость приведен в табл.1</w:t>
      </w:r>
      <w:bookmarkStart w:id="0" w:name="_GoBack"/>
      <w:bookmarkEnd w:id="0"/>
    </w:p>
    <w:p w:rsidR="005E0EBD" w:rsidRDefault="005E0EBD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EBD" w:rsidRPr="00142FD4" w:rsidRDefault="005E0EBD" w:rsidP="005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D4" w:rsidRP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539"/>
        <w:gridCol w:w="6335"/>
        <w:gridCol w:w="1731"/>
      </w:tblGrid>
      <w:tr w:rsidR="00142FD4" w:rsidRPr="00142FD4" w:rsidTr="00142FD4">
        <w:trPr>
          <w:trHeight w:val="16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т.р.</w:t>
            </w:r>
          </w:p>
        </w:tc>
      </w:tr>
      <w:tr w:rsidR="00142FD4" w:rsidRPr="00142FD4" w:rsidTr="00142FD4">
        <w:trPr>
          <w:trHeight w:val="4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обретенных материальных ресурсов (с НДС)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42FD4" w:rsidRPr="00142FD4" w:rsidTr="00142FD4">
        <w:trPr>
          <w:trHeight w:val="9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приобретенным материалам ресурсам (срт.1*18/118)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142FD4" w:rsidRPr="00142FD4" w:rsidTr="00142FD4">
        <w:trPr>
          <w:trHeight w:val="13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реализованной продукции (без НДС) или борот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ставке 18% (стр.3*18%)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142FD4" w:rsidRPr="00142FD4" w:rsidTr="00142FD4">
        <w:trPr>
          <w:trHeight w:val="6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(стр.3+стр.4)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142FD4" w:rsidRPr="00142FD4" w:rsidTr="00142FD4">
        <w:trPr>
          <w:trHeight w:val="10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НДС, подлежащая уплате в бюджет (стр.4-стр.2)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142FD4" w:rsidRPr="00142FD4" w:rsidTr="00142FD4">
        <w:trPr>
          <w:trHeight w:val="15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стоимость (стр.3-(стр.1-стр.2))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подлежащего уплате в бюджет НДС иДС (стр.6/стр.7)*100%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83F" w:rsidRPr="00142FD4" w:rsidRDefault="00BB383F" w:rsidP="00142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142FD4" w:rsidRDefault="00142FD4" w:rsidP="00142F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2</w:t>
      </w:r>
      <w:r w:rsidRPr="00142F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42FD4" w:rsidRPr="00142FD4" w:rsidRDefault="00142FD4" w:rsidP="00142FD4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налога на имущество предприятия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Ознакомиться с порядком расчета среднегодовой (средней) стоимости имущества организации, сумм авансовых платежей и суммы налога на имущество, подлежащей к уплате в бюджет по итогам налогового периода.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основы. Порядок расчета и уплаты налога на имущество регулируется главой 30 НК РФ «Налог на имущество организаций» и законами субъектов РФ (областей, краев, республик в составе РФ)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Плательщиками налога являются российские организации и иностранные организации, которые осуществляют свою деятельность в РФ через постоянные представительства и (или) имеющие в собственности недвижимое имущество на территории РФ, континентальном шельфе РФ и в исключительной экономической зоне РФ.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не платят организации, применяющие специальные налоговые режимы: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упрощенную систему налогообложения;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плательщики единого налога на вмененный доход для определенных видов деятельности;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плательщики единого сельскохозяйственного налога.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для организаций признается движимое и недвижимое имущество, которое учитывается на балансе в качестве объектов основных средств.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объекты имущества налогом на имущество не облагаются: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природопользования (земельные участки, водные объекты, другие природные ресурсы);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принадлежащее на праве хозяйственного ведения или оперативного управления федеральным органом исполнительной власти, в которых законодательно предусмотрена военная и приравненная к ней служба.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организациям предоставлены льготы. От налогообложения налогом освобождается любое имущество вне зависимости от характера его использования следующих категорий налогоплательщиков: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специализированных протезно-ортопедических предприятий;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коллегий адвокатов, адвокатских бюро и юридических консультаций;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научных центров.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ставка по налогу на имущество организаций установлена в размера 2,2%. Региональным законодательством эта ставка может быть принята на более низком уровне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(средние) стоимости имущества за 1 квартал, полугодие, 9 месяцев, год.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налогу на имущество за 1 квартал, полугодие, 9 месяцев.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имущество за год.</w:t>
      </w: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3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B383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B383F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t xml:space="preserve">лючи для обработки материалов тестирования по </w:t>
      </w:r>
      <w:r w:rsidRPr="00BB3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междисциплинарному курсу 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t>МДК 03.01.</w:t>
      </w:r>
    </w:p>
    <w:p w:rsidR="00BB383F" w:rsidRPr="00BB383F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83F">
        <w:rPr>
          <w:rFonts w:ascii="Times New Roman" w:eastAsia="Calibri" w:hAnsi="Times New Roman" w:cs="Times New Roman"/>
          <w:b/>
          <w:sz w:val="24"/>
          <w:szCs w:val="24"/>
        </w:rPr>
        <w:t xml:space="preserve"> «Организация расчетов с бюджетом и внебюджетными фондами»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B3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специальность 080114 Бухгалтер</w:t>
      </w:r>
    </w:p>
    <w:p w:rsidR="00BB383F" w:rsidRPr="00BB383F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383F" w:rsidRPr="00BB383F" w:rsidRDefault="00BB383F" w:rsidP="00BB38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2340"/>
        <w:gridCol w:w="2102"/>
        <w:gridCol w:w="2126"/>
        <w:gridCol w:w="2126"/>
      </w:tblGrid>
      <w:tr w:rsidR="00BB383F" w:rsidRPr="00BB383F" w:rsidTr="00BB383F">
        <w:trPr>
          <w:trHeight w:val="157"/>
        </w:trPr>
        <w:tc>
          <w:tcPr>
            <w:tcW w:w="1229" w:type="dxa"/>
            <w:vMerge w:val="restart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694" w:type="dxa"/>
            <w:gridSpan w:val="4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BB383F" w:rsidRPr="00BB383F" w:rsidTr="00BB383F">
        <w:trPr>
          <w:trHeight w:val="157"/>
        </w:trPr>
        <w:tc>
          <w:tcPr>
            <w:tcW w:w="1229" w:type="dxa"/>
            <w:vMerge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1,7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2,4,5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1,3,6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1-Б,2-Г,3-А,4-В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1-Б,2-А,3-Г,4-В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rPr>
          <w:trHeight w:val="321"/>
        </w:trPr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rPr>
          <w:trHeight w:val="372"/>
        </w:trPr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1-Б,2-В,3-А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1-В,2-Б,3-А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2,4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383F" w:rsidRPr="00BB383F" w:rsidTr="00BB383F">
        <w:tc>
          <w:tcPr>
            <w:tcW w:w="1229" w:type="dxa"/>
          </w:tcPr>
          <w:p w:rsidR="00BB383F" w:rsidRPr="00BB383F" w:rsidRDefault="00BB383F" w:rsidP="00BB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B383F" w:rsidRPr="00BB383F" w:rsidRDefault="00BB383F" w:rsidP="00BB38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B383F" w:rsidRPr="00BB383F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383F" w:rsidRPr="00BB383F" w:rsidRDefault="00BB383F" w:rsidP="00BB383F">
      <w:pPr>
        <w:tabs>
          <w:tab w:val="left" w:pos="34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83F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383F" w:rsidRPr="00BB383F" w:rsidSect="008821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1F" w:rsidRDefault="0055711F" w:rsidP="00F330E1">
      <w:pPr>
        <w:spacing w:after="0" w:line="240" w:lineRule="auto"/>
      </w:pPr>
      <w:r>
        <w:separator/>
      </w:r>
    </w:p>
  </w:endnote>
  <w:endnote w:type="continuationSeparator" w:id="0">
    <w:p w:rsidR="0055711F" w:rsidRDefault="0055711F" w:rsidP="00F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1F" w:rsidRDefault="0055711F" w:rsidP="00F330E1">
      <w:pPr>
        <w:spacing w:after="0" w:line="240" w:lineRule="auto"/>
      </w:pPr>
      <w:r>
        <w:separator/>
      </w:r>
    </w:p>
  </w:footnote>
  <w:footnote w:type="continuationSeparator" w:id="0">
    <w:p w:rsidR="0055711F" w:rsidRDefault="0055711F" w:rsidP="00F3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E1" w:rsidRDefault="00F330E1" w:rsidP="00F330E1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F330E1" w:rsidRDefault="00F330E1" w:rsidP="00F330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330E1" w:rsidRDefault="00F330E1" w:rsidP="00F330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330E1" w:rsidRDefault="00F330E1" w:rsidP="00F330E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330E1" w:rsidRDefault="00F330E1">
    <w:pPr>
      <w:pStyle w:val="a8"/>
    </w:pPr>
  </w:p>
  <w:p w:rsidR="00F330E1" w:rsidRDefault="00F330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50"/>
    <w:multiLevelType w:val="hybridMultilevel"/>
    <w:tmpl w:val="C50274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A17940"/>
    <w:multiLevelType w:val="hybridMultilevel"/>
    <w:tmpl w:val="D45C6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57B3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B01BB8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9E6439"/>
    <w:multiLevelType w:val="hybridMultilevel"/>
    <w:tmpl w:val="57501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500F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2A1639"/>
    <w:multiLevelType w:val="hybridMultilevel"/>
    <w:tmpl w:val="90604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555DD"/>
    <w:multiLevelType w:val="hybridMultilevel"/>
    <w:tmpl w:val="7E04E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105F1"/>
    <w:multiLevelType w:val="hybridMultilevel"/>
    <w:tmpl w:val="221E41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AA6F4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5E6CE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8F226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011146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181F43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36718C1"/>
    <w:multiLevelType w:val="hybridMultilevel"/>
    <w:tmpl w:val="CA9A1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ED2470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7047CE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DE1C3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E0442D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41E7E1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8160D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C168C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CB03132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BA76D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21"/>
  </w:num>
  <w:num w:numId="9">
    <w:abstractNumId w:val="9"/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13"/>
  </w:num>
  <w:num w:numId="23">
    <w:abstractNumId w:val="23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D82"/>
    <w:rsid w:val="00073266"/>
    <w:rsid w:val="00142FD4"/>
    <w:rsid w:val="00415612"/>
    <w:rsid w:val="0055711F"/>
    <w:rsid w:val="005D743C"/>
    <w:rsid w:val="005E0EBD"/>
    <w:rsid w:val="00646D82"/>
    <w:rsid w:val="00757257"/>
    <w:rsid w:val="008821BE"/>
    <w:rsid w:val="009055D7"/>
    <w:rsid w:val="00A606D2"/>
    <w:rsid w:val="00BB383F"/>
    <w:rsid w:val="00DF6733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BE"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0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383F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0E1"/>
  </w:style>
  <w:style w:type="paragraph" w:styleId="aa">
    <w:name w:val="footer"/>
    <w:basedOn w:val="a"/>
    <w:link w:val="ab"/>
    <w:uiPriority w:val="99"/>
    <w:semiHidden/>
    <w:unhideWhenUsed/>
    <w:rsid w:val="00F3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0E1"/>
  </w:style>
  <w:style w:type="paragraph" w:styleId="ac">
    <w:name w:val="Balloon Text"/>
    <w:basedOn w:val="a"/>
    <w:link w:val="ad"/>
    <w:uiPriority w:val="99"/>
    <w:semiHidden/>
    <w:unhideWhenUsed/>
    <w:rsid w:val="00F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0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3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3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383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6</cp:revision>
  <dcterms:created xsi:type="dcterms:W3CDTF">2017-01-29T10:34:00Z</dcterms:created>
  <dcterms:modified xsi:type="dcterms:W3CDTF">2019-04-16T07:43:00Z</dcterms:modified>
</cp:coreProperties>
</file>