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B0" w:rsidRDefault="004D75B0" w:rsidP="004D75B0">
      <w:pPr>
        <w:spacing w:after="0" w:line="420" w:lineRule="atLeast"/>
        <w:ind w:firstLine="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Вариант 9</w:t>
      </w:r>
    </w:p>
    <w:p w:rsidR="004D75B0" w:rsidRDefault="004D75B0" w:rsidP="004D75B0">
      <w:pPr>
        <w:tabs>
          <w:tab w:val="left" w:pos="4005"/>
        </w:tabs>
        <w:spacing w:after="0" w:line="420" w:lineRule="atLeast"/>
        <w:ind w:firstLine="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Город: Великий Устюг</w:t>
      </w:r>
      <w:r>
        <w:rPr>
          <w:rFonts w:ascii="Times New Roman" w:eastAsia="Times New Roman" w:hAnsi="Times New Roman" w:cs="Times New Roman"/>
          <w:iCs/>
          <w:color w:val="000000"/>
          <w:sz w:val="28"/>
          <w:szCs w:val="28"/>
        </w:rPr>
        <w:tab/>
      </w:r>
    </w:p>
    <w:p w:rsidR="004D75B0" w:rsidRDefault="004D75B0" w:rsidP="004D75B0">
      <w:pPr>
        <w:tabs>
          <w:tab w:val="left" w:pos="4005"/>
        </w:tabs>
        <w:spacing w:after="0" w:line="420" w:lineRule="atLeast"/>
        <w:ind w:firstLine="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Вариант геологии: 9</w:t>
      </w:r>
    </w:p>
    <w:p w:rsidR="004D75B0" w:rsidRPr="004D75B0" w:rsidRDefault="004D75B0" w:rsidP="004D75B0">
      <w:pPr>
        <w:spacing w:after="0" w:line="420" w:lineRule="atLeast"/>
        <w:ind w:firstLine="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Вариант конструкции: 3</w:t>
      </w:r>
    </w:p>
    <w:p w:rsidR="004D75B0" w:rsidRPr="00943314" w:rsidRDefault="004D75B0" w:rsidP="004D75B0">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i/>
          <w:iCs/>
          <w:color w:val="000000"/>
          <w:sz w:val="28"/>
          <w:szCs w:val="28"/>
        </w:rPr>
        <w:t>Вариант третий</w:t>
      </w:r>
      <w:r w:rsidRPr="00943314">
        <w:rPr>
          <w:rFonts w:ascii="Times New Roman" w:eastAsia="Times New Roman" w:hAnsi="Times New Roman" w:cs="Times New Roman"/>
          <w:color w:val="000000"/>
          <w:sz w:val="28"/>
          <w:szCs w:val="28"/>
        </w:rPr>
        <w:t>. Залегание слоёв наклонное. Под рабочим имеется слабый подстилающий слой. Длина здания не позволяет разместить фундаменты на рабочем слое так, чтобы между подошвой фундамента и кровлей слабого подстилающего слоя обеспечивалось расстояние необходимое для удовлетворения проверки давления на слабый слой. Опереть фундамент одной части здания на рабочий слой, другой на слабый подстилающий слой нельзя. Это приведёт к недопустимой неравномерности осадок. Но, так как залегание рабочего слоя наклонное, закладывать фундамент на нем можно уступами на разную глубину от горизонтальной планировочной отметки DL</w:t>
      </w:r>
      <w:hyperlink r:id="rId7" w:tgtFrame="_top" w:tooltip="2.2. Привязка сооружения к инженерно-геологическому разрезу" w:history="1">
        <w:r w:rsidRPr="00943314">
          <w:rPr>
            <w:rFonts w:ascii="Times New Roman" w:eastAsia="Times New Roman" w:hAnsi="Times New Roman" w:cs="Times New Roman"/>
            <w:color w:val="0000FF"/>
            <w:sz w:val="28"/>
            <w:szCs w:val="28"/>
          </w:rPr>
          <w:t>*</w:t>
        </w:r>
      </w:hyperlink>
      <w:r w:rsidRPr="00943314">
        <w:rPr>
          <w:rFonts w:ascii="Times New Roman" w:eastAsia="Times New Roman" w:hAnsi="Times New Roman" w:cs="Times New Roman"/>
          <w:color w:val="000000"/>
          <w:sz w:val="28"/>
          <w:szCs w:val="28"/>
        </w:rPr>
        <w:t>, увеличивающуюся по направлению падения пласта, то есть делать ступенчатое опирание фундаментов. При этом необходимо соблюдать примерно одинаковое расстояние от подошвы фундаментов до более слабого подстилающего слоя с тем, чтобы в последующих расчётах могла удовлетвориться проверка допустимости давления, передающегося на слабый слой. Высота уступов между ступенями фундамента обычно принимается равной высоте стенового блока – 0,6 м.</w:t>
      </w:r>
    </w:p>
    <w:p w:rsidR="004D75B0" w:rsidRPr="00943314" w:rsidRDefault="004D75B0" w:rsidP="004D75B0">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При относительно небольшом наклоне слоёв грунта расстояние между уступами ленточных и краями отдельных фундаментов будет достаточно большим, что не представляет опасности. Но если по инженерно-геологическим условиям или конструктивным особенностям здания это расстояние окажется небольшим, то необходимо проверить устойчивость грунта под вышележащими ступенями ленточного фундамента или отдельными фундаментами, заложенными на разной глубине по формуле:</w:t>
      </w:r>
    </w:p>
    <w:tbl>
      <w:tblPr>
        <w:tblW w:w="12675" w:type="dxa"/>
        <w:jc w:val="center"/>
        <w:tblCellSpacing w:w="0" w:type="dxa"/>
        <w:tblCellMar>
          <w:left w:w="0" w:type="dxa"/>
          <w:right w:w="0" w:type="dxa"/>
        </w:tblCellMar>
        <w:tblLook w:val="04A0"/>
      </w:tblPr>
      <w:tblGrid>
        <w:gridCol w:w="1890"/>
        <w:gridCol w:w="9003"/>
        <w:gridCol w:w="1782"/>
      </w:tblGrid>
      <w:tr w:rsidR="004D75B0" w:rsidRPr="00943314" w:rsidTr="0073605C">
        <w:trPr>
          <w:tblCellSpacing w:w="0" w:type="dxa"/>
          <w:jc w:val="center"/>
        </w:trPr>
        <w:tc>
          <w:tcPr>
            <w:tcW w:w="1890" w:type="dxa"/>
            <w:vAlign w:val="center"/>
            <w:hideMark/>
          </w:tcPr>
          <w:p w:rsidR="004D75B0" w:rsidRPr="00943314" w:rsidRDefault="004D75B0" w:rsidP="0073605C">
            <w:pPr>
              <w:spacing w:after="0" w:line="400" w:lineRule="atLeast"/>
              <w:jc w:val="center"/>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 </w:t>
            </w:r>
          </w:p>
        </w:tc>
        <w:tc>
          <w:tcPr>
            <w:tcW w:w="0" w:type="auto"/>
            <w:vAlign w:val="center"/>
            <w:hideMark/>
          </w:tcPr>
          <w:p w:rsidR="004D75B0" w:rsidRPr="00943314" w:rsidRDefault="004D75B0" w:rsidP="0073605C">
            <w:pPr>
              <w:spacing w:after="0" w:line="4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1257300" cy="514350"/>
                  <wp:effectExtent l="0" t="0" r="0" b="0"/>
                  <wp:docPr id="14" name="Рисунок 14" descr="http://www.do.mgsu.ru/COURSES/course1214/files/HtmlStuff/10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mgsu.ru/COURSES/course1214/files/HtmlStuff/10clip_image001.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r w:rsidRPr="00943314">
              <w:rPr>
                <w:rFonts w:ascii="Times New Roman" w:eastAsia="Times New Roman" w:hAnsi="Times New Roman" w:cs="Times New Roman"/>
                <w:color w:val="000000"/>
                <w:sz w:val="28"/>
                <w:szCs w:val="28"/>
              </w:rPr>
              <w:t>,</w:t>
            </w:r>
          </w:p>
        </w:tc>
        <w:tc>
          <w:tcPr>
            <w:tcW w:w="1782" w:type="dxa"/>
            <w:tcMar>
              <w:top w:w="0" w:type="dxa"/>
              <w:left w:w="0" w:type="dxa"/>
              <w:bottom w:w="0" w:type="dxa"/>
              <w:right w:w="108" w:type="dxa"/>
            </w:tcMar>
            <w:vAlign w:val="center"/>
            <w:hideMark/>
          </w:tcPr>
          <w:p w:rsidR="004D75B0" w:rsidRPr="00943314" w:rsidRDefault="004D75B0" w:rsidP="0073605C">
            <w:pPr>
              <w:spacing w:after="0" w:line="400" w:lineRule="atLeast"/>
              <w:jc w:val="right"/>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(2.5)</w:t>
            </w:r>
          </w:p>
        </w:tc>
      </w:tr>
    </w:tbl>
    <w:p w:rsidR="004D75B0" w:rsidRPr="00943314" w:rsidRDefault="004D75B0" w:rsidP="004D75B0">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lastRenderedPageBreak/>
        <w:t>где Δ</w:t>
      </w:r>
      <w:r w:rsidRPr="00943314">
        <w:rPr>
          <w:rFonts w:ascii="Times New Roman" w:eastAsia="Times New Roman" w:hAnsi="Times New Roman" w:cs="Times New Roman"/>
          <w:i/>
          <w:iCs/>
          <w:color w:val="000000"/>
          <w:sz w:val="28"/>
          <w:szCs w:val="28"/>
        </w:rPr>
        <w:t>h</w:t>
      </w:r>
      <w:r w:rsidRPr="00943314">
        <w:rPr>
          <w:rFonts w:ascii="Times New Roman" w:eastAsia="Times New Roman" w:hAnsi="Times New Roman" w:cs="Times New Roman"/>
          <w:color w:val="000000"/>
          <w:sz w:val="28"/>
          <w:szCs w:val="28"/>
        </w:rPr>
        <w:t> – высота уступа; </w:t>
      </w:r>
      <w:r w:rsidRPr="00943314">
        <w:rPr>
          <w:rFonts w:ascii="Times New Roman" w:eastAsia="Times New Roman" w:hAnsi="Times New Roman" w:cs="Times New Roman"/>
          <w:i/>
          <w:iCs/>
          <w:color w:val="000000"/>
          <w:sz w:val="28"/>
          <w:szCs w:val="28"/>
        </w:rPr>
        <w:t>а</w:t>
      </w:r>
      <w:r w:rsidRPr="00943314">
        <w:rPr>
          <w:rFonts w:ascii="Times New Roman" w:eastAsia="Times New Roman" w:hAnsi="Times New Roman" w:cs="Times New Roman"/>
          <w:color w:val="000000"/>
          <w:sz w:val="28"/>
          <w:szCs w:val="28"/>
        </w:rPr>
        <w:t> – длина ступени (расстояние между соседними уступами ленточных или краями отдельных фундаментов); </w:t>
      </w:r>
      <w:r w:rsidRPr="00943314">
        <w:rPr>
          <w:rFonts w:ascii="Times New Roman" w:eastAsia="Times New Roman" w:hAnsi="Times New Roman" w:cs="Times New Roman"/>
          <w:i/>
          <w:iCs/>
          <w:color w:val="000000"/>
          <w:sz w:val="28"/>
          <w:szCs w:val="28"/>
        </w:rPr>
        <w:t>р</w:t>
      </w:r>
      <w:r w:rsidRPr="00943314">
        <w:rPr>
          <w:rFonts w:ascii="Times New Roman" w:eastAsia="Times New Roman" w:hAnsi="Times New Roman" w:cs="Times New Roman"/>
          <w:color w:val="000000"/>
          <w:sz w:val="28"/>
          <w:szCs w:val="28"/>
        </w:rPr>
        <w:t> – среднее давление под верхним фундаментом; </w:t>
      </w:r>
      <w:r w:rsidRPr="00943314">
        <w:rPr>
          <w:rFonts w:ascii="Times New Roman" w:eastAsia="Times New Roman" w:hAnsi="Times New Roman" w:cs="Times New Roman"/>
          <w:i/>
          <w:iCs/>
          <w:color w:val="000000"/>
          <w:sz w:val="28"/>
          <w:szCs w:val="28"/>
        </w:rPr>
        <w:t>φ</w:t>
      </w:r>
      <w:r w:rsidRPr="00943314">
        <w:rPr>
          <w:rFonts w:ascii="Times New Roman" w:eastAsia="Times New Roman" w:hAnsi="Times New Roman" w:cs="Times New Roman"/>
          <w:color w:val="000000"/>
          <w:sz w:val="28"/>
          <w:szCs w:val="28"/>
        </w:rPr>
        <w:t> – расчётное значение угла внутреннего трения грунта, град.; </w:t>
      </w:r>
      <w:r w:rsidRPr="00943314">
        <w:rPr>
          <w:rFonts w:ascii="Times New Roman" w:eastAsia="Times New Roman" w:hAnsi="Times New Roman" w:cs="Times New Roman"/>
          <w:i/>
          <w:iCs/>
          <w:color w:val="000000"/>
          <w:sz w:val="28"/>
          <w:szCs w:val="28"/>
        </w:rPr>
        <w:t>с</w:t>
      </w:r>
      <w:r w:rsidRPr="00943314">
        <w:rPr>
          <w:rFonts w:ascii="Times New Roman" w:eastAsia="Times New Roman" w:hAnsi="Times New Roman" w:cs="Times New Roman"/>
          <w:color w:val="000000"/>
          <w:sz w:val="28"/>
          <w:szCs w:val="28"/>
        </w:rPr>
        <w:t> – удельное сцепление, кПа. Поэтому, производя привязку, следует учитывать влияние Δ</w:t>
      </w:r>
      <w:r w:rsidRPr="00943314">
        <w:rPr>
          <w:rFonts w:ascii="Times New Roman" w:eastAsia="Times New Roman" w:hAnsi="Times New Roman" w:cs="Times New Roman"/>
          <w:i/>
          <w:iCs/>
          <w:color w:val="000000"/>
          <w:sz w:val="28"/>
          <w:szCs w:val="28"/>
        </w:rPr>
        <w:t>h</w:t>
      </w:r>
      <w:r w:rsidRPr="00943314">
        <w:rPr>
          <w:rFonts w:ascii="Times New Roman" w:eastAsia="Times New Roman" w:hAnsi="Times New Roman" w:cs="Times New Roman"/>
          <w:color w:val="000000"/>
          <w:sz w:val="28"/>
          <w:szCs w:val="28"/>
        </w:rPr>
        <w:t> и </w:t>
      </w:r>
      <w:r w:rsidRPr="00943314">
        <w:rPr>
          <w:rFonts w:ascii="Times New Roman" w:eastAsia="Times New Roman" w:hAnsi="Times New Roman" w:cs="Times New Roman"/>
          <w:i/>
          <w:iCs/>
          <w:color w:val="000000"/>
          <w:sz w:val="28"/>
          <w:szCs w:val="28"/>
        </w:rPr>
        <w:t>а</w:t>
      </w:r>
      <w:r w:rsidRPr="00943314">
        <w:rPr>
          <w:rFonts w:ascii="Times New Roman" w:eastAsia="Times New Roman" w:hAnsi="Times New Roman" w:cs="Times New Roman"/>
          <w:color w:val="000000"/>
          <w:sz w:val="28"/>
          <w:szCs w:val="28"/>
        </w:rPr>
        <w:t>на выполнение условия (2.5). Такую проверку необходимо делать также в случае, когда наружные стены здания опираются на ленточные фундаменты, а внутренние – на ряд колонн, фундаменты которых обычно заглублены ниже ленточных.</w:t>
      </w:r>
    </w:p>
    <w:p w:rsidR="004D75B0" w:rsidRPr="00943314" w:rsidRDefault="004D75B0" w:rsidP="004D75B0">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В случае необходимости искусственного улучшения основания для опирания фундамента мелкого заложения, привязка должна быть произведена так, чтобы при минимальной толщине “висячей” закрепляемой зоны или песчаной подушки обеспечивалась проверка допустимости давления на слабый подстилающий слой (</w:t>
      </w:r>
      <w:r w:rsidRPr="00943314">
        <w:rPr>
          <w:rFonts w:ascii="Times New Roman" w:eastAsia="Times New Roman" w:hAnsi="Times New Roman" w:cs="Times New Roman"/>
          <w:i/>
          <w:iCs/>
          <w:color w:val="000000"/>
          <w:sz w:val="28"/>
          <w:szCs w:val="28"/>
        </w:rPr>
        <w:t>Пример 14)</w:t>
      </w:r>
      <w:r w:rsidRPr="00943314">
        <w:rPr>
          <w:rFonts w:ascii="Times New Roman" w:eastAsia="Times New Roman" w:hAnsi="Times New Roman" w:cs="Times New Roman"/>
          <w:color w:val="000000"/>
          <w:sz w:val="28"/>
          <w:szCs w:val="28"/>
        </w:rPr>
        <w:t>.</w:t>
      </w:r>
    </w:p>
    <w:p w:rsidR="004D75B0" w:rsidRPr="00943314" w:rsidRDefault="004D75B0" w:rsidP="004D75B0">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Для варианта свайного фундамента привязка позволяет определить расстояние от подошвы ростверка до прочного слоя грунта, пригодного для погружения в него нижних концов свай и назначить ориентировочную длину свай.</w:t>
      </w:r>
    </w:p>
    <w:p w:rsidR="004D75B0" w:rsidRDefault="004D75B0" w:rsidP="004D75B0">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Без привязки нельзя определить расстояние от фундаментной конструкции до уровня подземных вод и решить вопрос о том, какая конкретно защита от них необходима в процессе строительства и эксплуатации здания.</w:t>
      </w:r>
    </w:p>
    <w:p w:rsidR="00E47028" w:rsidRDefault="00E47028" w:rsidP="004D75B0">
      <w:pPr>
        <w:spacing w:after="0" w:line="420" w:lineRule="atLeast"/>
        <w:ind w:firstLine="567"/>
        <w:jc w:val="both"/>
        <w:rPr>
          <w:rFonts w:ascii="Times New Roman" w:eastAsia="Times New Roman" w:hAnsi="Times New Roman" w:cs="Times New Roman"/>
          <w:color w:val="000000"/>
          <w:sz w:val="28"/>
          <w:szCs w:val="28"/>
        </w:rPr>
      </w:pPr>
    </w:p>
    <w:p w:rsidR="008F196B" w:rsidRPr="005D7874" w:rsidRDefault="00E47028" w:rsidP="008F196B">
      <w:pPr>
        <w:pStyle w:val="a5"/>
        <w:numPr>
          <w:ilvl w:val="0"/>
          <w:numId w:val="1"/>
        </w:numPr>
        <w:spacing w:after="0" w:line="420" w:lineRule="atLeast"/>
        <w:jc w:val="both"/>
        <w:rPr>
          <w:rFonts w:ascii="Times New Roman" w:eastAsia="Times New Roman" w:hAnsi="Times New Roman" w:cs="Times New Roman"/>
          <w:b/>
          <w:color w:val="000000"/>
          <w:sz w:val="28"/>
          <w:szCs w:val="28"/>
        </w:rPr>
      </w:pPr>
      <w:r w:rsidRPr="005D7874">
        <w:rPr>
          <w:rFonts w:ascii="Times New Roman" w:eastAsia="Times New Roman" w:hAnsi="Times New Roman" w:cs="Times New Roman"/>
          <w:b/>
          <w:color w:val="000000"/>
          <w:sz w:val="28"/>
          <w:szCs w:val="28"/>
        </w:rPr>
        <w:t>Определение глубины заложения фундамента:</w:t>
      </w:r>
    </w:p>
    <w:p w:rsidR="00E47028" w:rsidRPr="008F196B" w:rsidRDefault="00E47028" w:rsidP="008F196B">
      <w:pPr>
        <w:pStyle w:val="a5"/>
        <w:spacing w:after="0" w:line="420" w:lineRule="atLeast"/>
        <w:ind w:left="0"/>
        <w:jc w:val="both"/>
        <w:rPr>
          <w:rFonts w:ascii="Times New Roman" w:eastAsia="Times New Roman" w:hAnsi="Times New Roman" w:cs="Times New Roman"/>
          <w:color w:val="000000"/>
          <w:sz w:val="28"/>
          <w:szCs w:val="28"/>
        </w:rPr>
      </w:pPr>
      <w:r w:rsidRPr="008F196B">
        <w:rPr>
          <w:rFonts w:ascii="Times New Roman" w:eastAsia="Times New Roman" w:hAnsi="Times New Roman" w:cs="Times New Roman"/>
          <w:color w:val="000000"/>
          <w:sz w:val="28"/>
          <w:szCs w:val="28"/>
        </w:rPr>
        <w:t>Приведённые рассуждения по определению глубины заложения фундамента </w:t>
      </w:r>
      <w:r w:rsidRPr="008F196B">
        <w:rPr>
          <w:rFonts w:ascii="Times New Roman" w:eastAsia="Times New Roman" w:hAnsi="Times New Roman" w:cs="Times New Roman"/>
          <w:i/>
          <w:iCs/>
          <w:color w:val="000000"/>
          <w:sz w:val="28"/>
          <w:szCs w:val="28"/>
        </w:rPr>
        <w:t>d</w:t>
      </w:r>
      <w:r w:rsidRPr="008F196B">
        <w:rPr>
          <w:rFonts w:ascii="Times New Roman" w:eastAsia="Times New Roman" w:hAnsi="Times New Roman" w:cs="Times New Roman"/>
          <w:color w:val="000000"/>
          <w:sz w:val="28"/>
          <w:szCs w:val="28"/>
        </w:rPr>
        <w:t> исходя из конструктивных особенностей здания и конструкции опорных элементов фундаментов можно выразить в виде:</w:t>
      </w:r>
    </w:p>
    <w:p w:rsidR="00E47028" w:rsidRPr="00E47028" w:rsidRDefault="00E47028" w:rsidP="00E47028">
      <w:pPr>
        <w:pStyle w:val="a5"/>
        <w:spacing w:after="0" w:line="400" w:lineRule="atLeast"/>
        <w:ind w:left="927"/>
        <w:jc w:val="center"/>
        <w:rPr>
          <w:rFonts w:ascii="Times New Roman" w:eastAsia="Times New Roman" w:hAnsi="Times New Roman" w:cs="Times New Roman"/>
          <w:color w:val="000000"/>
          <w:sz w:val="28"/>
          <w:szCs w:val="28"/>
        </w:rPr>
      </w:pPr>
      <w:r>
        <w:rPr>
          <w:rFonts w:eastAsia="Times New Roman"/>
          <w:noProof/>
        </w:rPr>
        <w:drawing>
          <wp:inline distT="0" distB="0" distL="0" distR="0">
            <wp:extent cx="1495425" cy="257175"/>
            <wp:effectExtent l="0" t="0" r="9525" b="9525"/>
            <wp:docPr id="25" name="Рисунок 25" descr="http://www.do.mgsu.ru/COURSES/course1214/files/HtmlStuff/14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mgsu.ru/COURSES/course1214/files/HtmlStuff/14clip_image002.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257175"/>
                    </a:xfrm>
                    <a:prstGeom prst="rect">
                      <a:avLst/>
                    </a:prstGeom>
                    <a:noFill/>
                    <a:ln>
                      <a:noFill/>
                    </a:ln>
                  </pic:spPr>
                </pic:pic>
              </a:graphicData>
            </a:graphic>
          </wp:inline>
        </w:drawing>
      </w:r>
      <w:r w:rsidRPr="00E47028">
        <w:rPr>
          <w:rFonts w:ascii="Times New Roman" w:eastAsia="Times New Roman" w:hAnsi="Times New Roman" w:cs="Times New Roman"/>
          <w:color w:val="000000"/>
          <w:sz w:val="28"/>
          <w:szCs w:val="28"/>
        </w:rPr>
        <w:t>,</w:t>
      </w:r>
    </w:p>
    <w:p w:rsidR="00315FF5" w:rsidRPr="00943314" w:rsidRDefault="00E47028" w:rsidP="00315FF5">
      <w:pPr>
        <w:spacing w:after="0" w:line="420" w:lineRule="atLeast"/>
        <w:ind w:firstLine="567"/>
        <w:jc w:val="both"/>
        <w:rPr>
          <w:rFonts w:ascii="Times New Roman" w:eastAsia="Times New Roman" w:hAnsi="Times New Roman" w:cs="Times New Roman"/>
          <w:color w:val="000000"/>
          <w:sz w:val="28"/>
          <w:szCs w:val="28"/>
        </w:rPr>
      </w:pPr>
      <w:r w:rsidRPr="00E47028">
        <w:rPr>
          <w:rFonts w:ascii="Times New Roman" w:eastAsia="Times New Roman" w:hAnsi="Times New Roman" w:cs="Times New Roman"/>
          <w:color w:val="000000"/>
          <w:sz w:val="28"/>
          <w:szCs w:val="28"/>
        </w:rPr>
        <w:t>где, кроме обозначенных выше </w:t>
      </w:r>
      <w:r w:rsidRPr="00E47028">
        <w:rPr>
          <w:rFonts w:ascii="Times New Roman" w:eastAsia="Times New Roman" w:hAnsi="Times New Roman" w:cs="Times New Roman"/>
          <w:i/>
          <w:iCs/>
          <w:color w:val="000000"/>
          <w:sz w:val="28"/>
          <w:szCs w:val="28"/>
        </w:rPr>
        <w:t>h</w:t>
      </w:r>
      <w:r w:rsidRPr="00E47028">
        <w:rPr>
          <w:rFonts w:ascii="Times New Roman" w:eastAsia="Times New Roman" w:hAnsi="Times New Roman" w:cs="Times New Roman"/>
          <w:i/>
          <w:iCs/>
          <w:color w:val="000000"/>
          <w:vertAlign w:val="subscript"/>
        </w:rPr>
        <w:t>cf</w:t>
      </w:r>
      <w:r w:rsidRPr="00E47028">
        <w:rPr>
          <w:rFonts w:ascii="Times New Roman" w:eastAsia="Times New Roman" w:hAnsi="Times New Roman" w:cs="Times New Roman"/>
          <w:color w:val="000000"/>
          <w:sz w:val="28"/>
          <w:szCs w:val="28"/>
        </w:rPr>
        <w:t> и </w:t>
      </w:r>
      <w:r w:rsidRPr="00E47028">
        <w:rPr>
          <w:rFonts w:ascii="Times New Roman" w:eastAsia="Times New Roman" w:hAnsi="Times New Roman" w:cs="Times New Roman"/>
          <w:i/>
          <w:iCs/>
          <w:color w:val="000000"/>
          <w:sz w:val="28"/>
          <w:szCs w:val="28"/>
        </w:rPr>
        <w:t>h</w:t>
      </w:r>
      <w:r w:rsidRPr="00E47028">
        <w:rPr>
          <w:rFonts w:ascii="Times New Roman" w:eastAsia="Times New Roman" w:hAnsi="Times New Roman" w:cs="Times New Roman"/>
          <w:i/>
          <w:iCs/>
          <w:color w:val="000000"/>
          <w:vertAlign w:val="subscript"/>
        </w:rPr>
        <w:t>s</w:t>
      </w:r>
      <w:r w:rsidRPr="00E47028">
        <w:rPr>
          <w:rFonts w:ascii="Times New Roman" w:eastAsia="Times New Roman" w:hAnsi="Times New Roman" w:cs="Times New Roman"/>
          <w:color w:val="000000"/>
          <w:sz w:val="28"/>
          <w:szCs w:val="28"/>
        </w:rPr>
        <w:t>,</w:t>
      </w:r>
      <w:r w:rsidR="00315FF5" w:rsidRPr="00315FF5">
        <w:rPr>
          <w:rFonts w:ascii="Times New Roman" w:eastAsia="Times New Roman" w:hAnsi="Times New Roman" w:cs="Times New Roman"/>
          <w:color w:val="000000"/>
          <w:sz w:val="28"/>
          <w:szCs w:val="28"/>
        </w:rPr>
        <w:t>(</w:t>
      </w:r>
      <w:r w:rsidR="00315FF5">
        <w:rPr>
          <w:rFonts w:ascii="Times New Roman" w:eastAsia="Times New Roman" w:hAnsi="Times New Roman" w:cs="Times New Roman"/>
          <w:color w:val="000000"/>
          <w:sz w:val="28"/>
          <w:szCs w:val="28"/>
        </w:rPr>
        <w:t>толщина</w:t>
      </w:r>
      <w:r w:rsidR="00315FF5" w:rsidRPr="00943314">
        <w:rPr>
          <w:rFonts w:ascii="Times New Roman" w:eastAsia="Times New Roman" w:hAnsi="Times New Roman" w:cs="Times New Roman"/>
          <w:color w:val="000000"/>
          <w:sz w:val="28"/>
          <w:szCs w:val="28"/>
        </w:rPr>
        <w:t xml:space="preserve"> пола подвала </w:t>
      </w:r>
      <w:r w:rsidR="00315FF5" w:rsidRPr="00943314">
        <w:rPr>
          <w:rFonts w:ascii="Times New Roman" w:eastAsia="Times New Roman" w:hAnsi="Times New Roman" w:cs="Times New Roman"/>
          <w:i/>
          <w:iCs/>
          <w:color w:val="000000"/>
          <w:sz w:val="28"/>
          <w:szCs w:val="28"/>
        </w:rPr>
        <w:t>h</w:t>
      </w:r>
      <w:r w:rsidR="00315FF5" w:rsidRPr="00943314">
        <w:rPr>
          <w:rFonts w:ascii="Times New Roman" w:eastAsia="Times New Roman" w:hAnsi="Times New Roman" w:cs="Times New Roman"/>
          <w:i/>
          <w:iCs/>
          <w:color w:val="000000"/>
          <w:vertAlign w:val="subscript"/>
        </w:rPr>
        <w:t>cf</w:t>
      </w:r>
      <w:r w:rsidR="00315FF5" w:rsidRPr="00943314">
        <w:rPr>
          <w:rFonts w:ascii="Times New Roman" w:eastAsia="Times New Roman" w:hAnsi="Times New Roman" w:cs="Times New Roman"/>
          <w:color w:val="000000"/>
          <w:sz w:val="28"/>
          <w:szCs w:val="28"/>
        </w:rPr>
        <w:t>  (обычно 0,2…0,15 м)</w:t>
      </w:r>
      <w:r w:rsidR="00315FF5">
        <w:rPr>
          <w:rFonts w:ascii="Times New Roman" w:eastAsia="Times New Roman" w:hAnsi="Times New Roman" w:cs="Times New Roman"/>
          <w:color w:val="000000"/>
          <w:sz w:val="28"/>
          <w:szCs w:val="28"/>
        </w:rPr>
        <w:t>; Ми</w:t>
      </w:r>
      <w:r w:rsidR="00315FF5" w:rsidRPr="00943314">
        <w:rPr>
          <w:rFonts w:ascii="Times New Roman" w:eastAsia="Times New Roman" w:hAnsi="Times New Roman" w:cs="Times New Roman"/>
          <w:color w:val="000000"/>
          <w:sz w:val="28"/>
          <w:szCs w:val="28"/>
        </w:rPr>
        <w:t xml:space="preserve">нимальное заглубление подошвы </w:t>
      </w:r>
      <w:r w:rsidR="00315FF5" w:rsidRPr="00943314">
        <w:rPr>
          <w:rFonts w:ascii="Times New Roman" w:eastAsia="Times New Roman" w:hAnsi="Times New Roman" w:cs="Times New Roman"/>
          <w:color w:val="000000"/>
          <w:sz w:val="28"/>
          <w:szCs w:val="28"/>
        </w:rPr>
        <w:lastRenderedPageBreak/>
        <w:t>ленточного фундамента от низа пола подвала </w:t>
      </w:r>
      <w:r w:rsidR="00315FF5" w:rsidRPr="00943314">
        <w:rPr>
          <w:rFonts w:ascii="Times New Roman" w:eastAsia="Times New Roman" w:hAnsi="Times New Roman" w:cs="Times New Roman"/>
          <w:i/>
          <w:iCs/>
          <w:color w:val="000000"/>
          <w:sz w:val="28"/>
          <w:szCs w:val="28"/>
        </w:rPr>
        <w:t>h</w:t>
      </w:r>
      <w:r w:rsidR="00315FF5" w:rsidRPr="00943314">
        <w:rPr>
          <w:rFonts w:ascii="Times New Roman" w:eastAsia="Times New Roman" w:hAnsi="Times New Roman" w:cs="Times New Roman"/>
          <w:i/>
          <w:iCs/>
          <w:color w:val="000000"/>
          <w:vertAlign w:val="subscript"/>
        </w:rPr>
        <w:t>s </w:t>
      </w:r>
      <w:r w:rsidR="00315FF5" w:rsidRPr="00943314">
        <w:rPr>
          <w:rFonts w:ascii="Times New Roman" w:eastAsia="Times New Roman" w:hAnsi="Times New Roman" w:cs="Times New Roman"/>
          <w:color w:val="000000"/>
          <w:sz w:val="28"/>
          <w:szCs w:val="28"/>
        </w:rPr>
        <w:t>= </w:t>
      </w:r>
      <w:r w:rsidR="00315FF5" w:rsidRPr="00943314">
        <w:rPr>
          <w:rFonts w:ascii="Times New Roman" w:eastAsia="Times New Roman" w:hAnsi="Times New Roman" w:cs="Times New Roman"/>
          <w:i/>
          <w:iCs/>
          <w:color w:val="000000"/>
          <w:sz w:val="28"/>
          <w:szCs w:val="28"/>
        </w:rPr>
        <w:t>h</w:t>
      </w:r>
      <w:r w:rsidR="00315FF5" w:rsidRPr="00943314">
        <w:rPr>
          <w:rFonts w:ascii="Times New Roman" w:eastAsia="Times New Roman" w:hAnsi="Times New Roman" w:cs="Times New Roman"/>
          <w:color w:val="000000"/>
          <w:sz w:val="28"/>
          <w:szCs w:val="28"/>
        </w:rPr>
        <w:t> составляет 0,5 м (</w:t>
      </w:r>
      <w:r w:rsidR="00315FF5" w:rsidRPr="00943314">
        <w:rPr>
          <w:rFonts w:ascii="Times New Roman" w:eastAsia="Times New Roman" w:hAnsi="Times New Roman" w:cs="Times New Roman"/>
          <w:i/>
          <w:iCs/>
          <w:color w:val="000000"/>
          <w:sz w:val="28"/>
          <w:szCs w:val="28"/>
        </w:rPr>
        <w:t>рис. III.1.Б(г)</w:t>
      </w:r>
      <w:r w:rsidR="00315FF5" w:rsidRPr="00943314">
        <w:rPr>
          <w:rFonts w:ascii="Times New Roman" w:eastAsia="Times New Roman" w:hAnsi="Times New Roman" w:cs="Times New Roman"/>
          <w:color w:val="000000"/>
          <w:sz w:val="28"/>
          <w:szCs w:val="28"/>
        </w:rPr>
        <w:t>).</w:t>
      </w:r>
    </w:p>
    <w:p w:rsidR="00E47028" w:rsidRPr="00E47028" w:rsidRDefault="00E47028" w:rsidP="00E47028">
      <w:pPr>
        <w:pStyle w:val="a5"/>
        <w:spacing w:after="0" w:line="420" w:lineRule="atLeast"/>
        <w:ind w:left="927"/>
        <w:jc w:val="both"/>
        <w:rPr>
          <w:rFonts w:ascii="Times New Roman" w:eastAsia="Times New Roman" w:hAnsi="Times New Roman" w:cs="Times New Roman"/>
          <w:color w:val="000000"/>
          <w:sz w:val="28"/>
          <w:szCs w:val="28"/>
        </w:rPr>
      </w:pPr>
      <w:r w:rsidRPr="00E47028">
        <w:rPr>
          <w:rFonts w:ascii="Times New Roman" w:eastAsia="Times New Roman" w:hAnsi="Times New Roman" w:cs="Times New Roman"/>
          <w:i/>
          <w:iCs/>
          <w:color w:val="000000"/>
          <w:sz w:val="28"/>
          <w:szCs w:val="28"/>
        </w:rPr>
        <w:t>h</w:t>
      </w:r>
      <w:r w:rsidRPr="00E47028">
        <w:rPr>
          <w:rFonts w:ascii="Times New Roman" w:eastAsia="Times New Roman" w:hAnsi="Times New Roman" w:cs="Times New Roman"/>
          <w:i/>
          <w:iCs/>
          <w:color w:val="000000"/>
          <w:vertAlign w:val="subscript"/>
        </w:rPr>
        <w:t>n </w:t>
      </w:r>
      <w:r w:rsidRPr="00E47028">
        <w:rPr>
          <w:rFonts w:ascii="Times New Roman" w:eastAsia="Times New Roman" w:hAnsi="Times New Roman" w:cs="Times New Roman"/>
          <w:color w:val="000000"/>
          <w:sz w:val="28"/>
          <w:szCs w:val="28"/>
        </w:rPr>
        <w:t>– разность отметок пола первого этажа (±0,000) и пола подвала (высота подвала);</w:t>
      </w:r>
      <w:r w:rsidRPr="00E47028">
        <w:rPr>
          <w:rFonts w:ascii="Times New Roman" w:eastAsia="Times New Roman" w:hAnsi="Times New Roman" w:cs="Times New Roman"/>
          <w:i/>
          <w:iCs/>
          <w:color w:val="000000"/>
          <w:sz w:val="28"/>
          <w:szCs w:val="28"/>
        </w:rPr>
        <w:t xml:space="preserve"> h</w:t>
      </w:r>
      <w:r w:rsidRPr="00E47028">
        <w:rPr>
          <w:rFonts w:ascii="Times New Roman" w:eastAsia="Times New Roman" w:hAnsi="Times New Roman" w:cs="Times New Roman"/>
          <w:i/>
          <w:iCs/>
          <w:color w:val="000000"/>
          <w:vertAlign w:val="subscript"/>
        </w:rPr>
        <w:t>n </w:t>
      </w:r>
      <w:r w:rsidRPr="00E47028">
        <w:rPr>
          <w:rFonts w:ascii="Times New Roman" w:eastAsia="Times New Roman" w:hAnsi="Times New Roman" w:cs="Times New Roman"/>
          <w:i/>
          <w:iCs/>
          <w:color w:val="000000"/>
        </w:rPr>
        <w:t>= 114,6</w:t>
      </w:r>
    </w:p>
    <w:p w:rsidR="00E47028" w:rsidRPr="00E47028" w:rsidRDefault="00E47028" w:rsidP="00E47028">
      <w:pPr>
        <w:pStyle w:val="a5"/>
        <w:spacing w:after="0" w:line="420" w:lineRule="atLeast"/>
        <w:ind w:left="927"/>
        <w:jc w:val="both"/>
        <w:rPr>
          <w:rFonts w:ascii="Times New Roman" w:eastAsia="Times New Roman" w:hAnsi="Times New Roman" w:cs="Times New Roman"/>
          <w:color w:val="000000"/>
          <w:sz w:val="28"/>
          <w:szCs w:val="28"/>
        </w:rPr>
      </w:pPr>
      <w:r w:rsidRPr="00E47028">
        <w:rPr>
          <w:rFonts w:ascii="Times New Roman" w:eastAsia="Times New Roman" w:hAnsi="Times New Roman" w:cs="Times New Roman"/>
          <w:i/>
          <w:iCs/>
          <w:color w:val="000000"/>
          <w:sz w:val="28"/>
          <w:szCs w:val="28"/>
        </w:rPr>
        <w:t>h</w:t>
      </w:r>
      <w:r w:rsidRPr="00E47028">
        <w:rPr>
          <w:rFonts w:ascii="Times New Roman" w:eastAsia="Times New Roman" w:hAnsi="Times New Roman" w:cs="Times New Roman"/>
          <w:i/>
          <w:iCs/>
          <w:color w:val="000000"/>
          <w:vertAlign w:val="subscript"/>
        </w:rPr>
        <w:t>ц</w:t>
      </w:r>
      <w:r w:rsidRPr="00E47028">
        <w:rPr>
          <w:rFonts w:ascii="Times New Roman" w:eastAsia="Times New Roman" w:hAnsi="Times New Roman" w:cs="Times New Roman"/>
          <w:color w:val="000000"/>
          <w:sz w:val="28"/>
          <w:szCs w:val="28"/>
        </w:rPr>
        <w:t> – высота цоколя: разность отметок ±0,000 и поверхности планировки </w:t>
      </w:r>
      <w:r w:rsidRPr="00E47028">
        <w:rPr>
          <w:rFonts w:ascii="Times New Roman" w:eastAsia="Times New Roman" w:hAnsi="Times New Roman" w:cs="Times New Roman"/>
          <w:i/>
          <w:iCs/>
          <w:color w:val="000000"/>
          <w:sz w:val="28"/>
          <w:szCs w:val="28"/>
        </w:rPr>
        <w:t>DL</w:t>
      </w:r>
      <w:r>
        <w:rPr>
          <w:rFonts w:ascii="Times New Roman" w:eastAsia="Times New Roman" w:hAnsi="Times New Roman" w:cs="Times New Roman"/>
          <w:color w:val="000000"/>
          <w:sz w:val="28"/>
          <w:szCs w:val="28"/>
        </w:rPr>
        <w:t>; 118,5-117</w:t>
      </w:r>
      <w:r w:rsidRPr="00E47028">
        <w:rPr>
          <w:rFonts w:ascii="Times New Roman" w:eastAsia="Times New Roman" w:hAnsi="Times New Roman" w:cs="Times New Roman"/>
          <w:color w:val="000000"/>
          <w:sz w:val="28"/>
          <w:szCs w:val="28"/>
        </w:rPr>
        <w:t>,5 = 1.00</w:t>
      </w:r>
    </w:p>
    <w:p w:rsidR="00E47028" w:rsidRPr="00E47028" w:rsidRDefault="00E47028" w:rsidP="00E47028">
      <w:pPr>
        <w:pStyle w:val="a5"/>
        <w:spacing w:after="0" w:line="420" w:lineRule="atLeast"/>
        <w:ind w:left="92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i/>
          <w:iCs/>
          <w:color w:val="000000"/>
          <w:sz w:val="28"/>
          <w:szCs w:val="28"/>
          <w:lang w:val="en-US"/>
        </w:rPr>
        <w:t>DL = 117</w:t>
      </w:r>
      <w:r>
        <w:rPr>
          <w:rFonts w:ascii="Times New Roman" w:eastAsia="Times New Roman" w:hAnsi="Times New Roman" w:cs="Times New Roman"/>
          <w:color w:val="000000"/>
          <w:sz w:val="28"/>
          <w:szCs w:val="28"/>
          <w:lang w:val="en-US"/>
        </w:rPr>
        <w:t>,5</w:t>
      </w:r>
    </w:p>
    <w:p w:rsidR="00E47028" w:rsidRDefault="00315FF5" w:rsidP="00E47028">
      <w:pPr>
        <w:pStyle w:val="a5"/>
        <w:spacing w:after="0" w:line="420" w:lineRule="atLeast"/>
        <w:ind w:left="927"/>
        <w:jc w:val="both"/>
        <w:rPr>
          <w:rFonts w:ascii="Times New Roman" w:eastAsia="Times New Roman" w:hAnsi="Times New Roman" w:cs="Times New Roman"/>
          <w:color w:val="000000"/>
          <w:sz w:val="28"/>
          <w:szCs w:val="28"/>
          <w:vertAlign w:val="superscript"/>
        </w:rPr>
      </w:pPr>
      <w:r w:rsidRPr="00315FF5">
        <w:rPr>
          <w:rFonts w:ascii="Times New Roman" w:eastAsia="Times New Roman" w:hAnsi="Times New Roman" w:cs="Times New Roman"/>
          <w:noProof/>
          <w:color w:val="000000"/>
          <w:sz w:val="28"/>
          <w:szCs w:val="28"/>
        </w:rPr>
        <w:drawing>
          <wp:inline distT="0" distB="0" distL="0" distR="0">
            <wp:extent cx="1495425" cy="257175"/>
            <wp:effectExtent l="0" t="0" r="9525" b="9525"/>
            <wp:docPr id="1" name="Рисунок 25" descr="http://www.do.mgsu.ru/COURSES/course1214/files/HtmlStuff/14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mgsu.ru/COURSES/course1214/files/HtmlStuff/14clip_image002.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257175"/>
                    </a:xfrm>
                    <a:prstGeom prst="rect">
                      <a:avLst/>
                    </a:prstGeom>
                    <a:noFill/>
                    <a:ln>
                      <a:noFill/>
                    </a:ln>
                  </pic:spPr>
                </pic:pic>
              </a:graphicData>
            </a:graphic>
          </wp:inline>
        </w:drawing>
      </w:r>
      <w:r>
        <w:rPr>
          <w:rFonts w:ascii="Times New Roman" w:eastAsia="Times New Roman" w:hAnsi="Times New Roman" w:cs="Times New Roman"/>
          <w:color w:val="000000"/>
          <w:sz w:val="28"/>
          <w:szCs w:val="28"/>
          <w:vertAlign w:val="superscript"/>
        </w:rPr>
        <w:t>, = 114,6 – 1,00 + 0,17 + 0,5 = 114,27 м.</w:t>
      </w:r>
    </w:p>
    <w:p w:rsidR="005D7874" w:rsidRPr="00943314" w:rsidRDefault="005D7874" w:rsidP="005D7874">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Расчётная глубина сезонного промерзания грунта </w:t>
      </w:r>
      <w:r w:rsidRPr="00943314">
        <w:rPr>
          <w:rFonts w:ascii="Times New Roman" w:eastAsia="Times New Roman" w:hAnsi="Times New Roman" w:cs="Times New Roman"/>
          <w:i/>
          <w:iCs/>
          <w:color w:val="000000"/>
          <w:sz w:val="28"/>
          <w:szCs w:val="28"/>
        </w:rPr>
        <w:t>d</w:t>
      </w:r>
      <w:r w:rsidRPr="00943314">
        <w:rPr>
          <w:rFonts w:ascii="Times New Roman" w:eastAsia="Times New Roman" w:hAnsi="Times New Roman" w:cs="Times New Roman"/>
          <w:i/>
          <w:iCs/>
          <w:color w:val="000000"/>
          <w:vertAlign w:val="subscript"/>
        </w:rPr>
        <w:t>f</w:t>
      </w:r>
      <w:r w:rsidRPr="00943314">
        <w:rPr>
          <w:rFonts w:ascii="Times New Roman" w:eastAsia="Times New Roman" w:hAnsi="Times New Roman" w:cs="Times New Roman"/>
          <w:color w:val="000000"/>
          <w:sz w:val="28"/>
          <w:szCs w:val="28"/>
        </w:rPr>
        <w:t>, м определяется по формуле:</w:t>
      </w:r>
    </w:p>
    <w:tbl>
      <w:tblPr>
        <w:tblW w:w="12675" w:type="dxa"/>
        <w:jc w:val="center"/>
        <w:tblCellSpacing w:w="0" w:type="dxa"/>
        <w:tblCellMar>
          <w:left w:w="0" w:type="dxa"/>
          <w:right w:w="0" w:type="dxa"/>
        </w:tblCellMar>
        <w:tblLook w:val="04A0"/>
      </w:tblPr>
      <w:tblGrid>
        <w:gridCol w:w="1890"/>
        <w:gridCol w:w="9003"/>
        <w:gridCol w:w="1782"/>
      </w:tblGrid>
      <w:tr w:rsidR="005D7874" w:rsidRPr="00943314" w:rsidTr="0073605C">
        <w:trPr>
          <w:tblCellSpacing w:w="0" w:type="dxa"/>
          <w:jc w:val="center"/>
        </w:trPr>
        <w:tc>
          <w:tcPr>
            <w:tcW w:w="1890" w:type="dxa"/>
            <w:vAlign w:val="center"/>
            <w:hideMark/>
          </w:tcPr>
          <w:p w:rsidR="005D7874" w:rsidRPr="00943314" w:rsidRDefault="005D7874" w:rsidP="0073605C">
            <w:pPr>
              <w:spacing w:after="0" w:line="400" w:lineRule="atLeast"/>
              <w:jc w:val="center"/>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 </w:t>
            </w:r>
          </w:p>
        </w:tc>
        <w:tc>
          <w:tcPr>
            <w:tcW w:w="0" w:type="auto"/>
            <w:vAlign w:val="center"/>
            <w:hideMark/>
          </w:tcPr>
          <w:p w:rsidR="005D7874" w:rsidRPr="00943314" w:rsidRDefault="005D7874" w:rsidP="0073605C">
            <w:pPr>
              <w:spacing w:after="0" w:line="4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904875" cy="257175"/>
                  <wp:effectExtent l="0" t="0" r="9525" b="9525"/>
                  <wp:docPr id="24" name="Рисунок 24" descr="http://www.do.mgsu.ru/COURSES/course1214/files/HtmlStuff/15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mgsu.ru/COURSES/course1214/files/HtmlStuff/15clip_image003.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sidRPr="0094331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0,6 * 1,638 = 0,983.</w:t>
            </w:r>
          </w:p>
        </w:tc>
        <w:tc>
          <w:tcPr>
            <w:tcW w:w="1782" w:type="dxa"/>
            <w:tcMar>
              <w:top w:w="0" w:type="dxa"/>
              <w:left w:w="0" w:type="dxa"/>
              <w:bottom w:w="0" w:type="dxa"/>
              <w:right w:w="108" w:type="dxa"/>
            </w:tcMar>
            <w:vAlign w:val="center"/>
            <w:hideMark/>
          </w:tcPr>
          <w:p w:rsidR="005D7874" w:rsidRPr="00943314" w:rsidRDefault="005D7874" w:rsidP="0073605C">
            <w:pPr>
              <w:spacing w:after="0" w:line="400" w:lineRule="atLeast"/>
              <w:jc w:val="right"/>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(3.1)</w:t>
            </w:r>
          </w:p>
        </w:tc>
      </w:tr>
    </w:tbl>
    <w:p w:rsidR="005D7874" w:rsidRPr="00943314" w:rsidRDefault="005D7874" w:rsidP="005D7874">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где </w:t>
      </w:r>
      <w:r>
        <w:rPr>
          <w:rFonts w:ascii="Times New Roman" w:eastAsia="Times New Roman" w:hAnsi="Times New Roman" w:cs="Times New Roman"/>
          <w:noProof/>
          <w:color w:val="000000"/>
          <w:sz w:val="28"/>
          <w:szCs w:val="28"/>
        </w:rPr>
        <w:drawing>
          <wp:inline distT="0" distB="0" distL="0" distR="0">
            <wp:extent cx="257175" cy="257175"/>
            <wp:effectExtent l="0" t="0" r="9525" b="9525"/>
            <wp:docPr id="23" name="Рисунок 23" descr="http://www.do.mgsu.ru/COURSES/course1214/files/HtmlStuff/10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o.mgsu.ru/COURSES/course1214/files/HtmlStuff/10clip_image004.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943314">
        <w:rPr>
          <w:rFonts w:ascii="Times New Roman" w:eastAsia="Times New Roman" w:hAnsi="Times New Roman" w:cs="Times New Roman"/>
          <w:color w:val="000000"/>
          <w:sz w:val="28"/>
          <w:szCs w:val="28"/>
        </w:rPr>
        <w:t> – нормативная глубина промерзания;</w:t>
      </w:r>
    </w:p>
    <w:p w:rsidR="005D7874" w:rsidRPr="00943314" w:rsidRDefault="005D7874" w:rsidP="005D7874">
      <w:pPr>
        <w:spacing w:after="0" w:line="42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180975" cy="238125"/>
            <wp:effectExtent l="0" t="0" r="9525" b="9525"/>
            <wp:docPr id="22" name="Рисунок 22" descr="http://www.do.mgsu.ru/COURSES/course1214/files/HtmlStuff/7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o.mgsu.ru/COURSES/course1214/files/HtmlStuff/7clip_image005.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943314">
        <w:rPr>
          <w:rFonts w:ascii="Times New Roman" w:eastAsia="Times New Roman" w:hAnsi="Times New Roman" w:cs="Times New Roman"/>
          <w:color w:val="000000"/>
          <w:sz w:val="28"/>
          <w:szCs w:val="28"/>
        </w:rPr>
        <w:t> – коэффициент, учитывающий влияние теплового режима здания. Для домов с подвалом или техническим подпольем </w:t>
      </w:r>
      <w:r>
        <w:rPr>
          <w:rFonts w:ascii="Times New Roman" w:eastAsia="Times New Roman" w:hAnsi="Times New Roman" w:cs="Times New Roman"/>
          <w:noProof/>
          <w:color w:val="000000"/>
          <w:sz w:val="28"/>
          <w:szCs w:val="28"/>
        </w:rPr>
        <w:drawing>
          <wp:inline distT="0" distB="0" distL="0" distR="0">
            <wp:extent cx="590550" cy="238125"/>
            <wp:effectExtent l="0" t="0" r="0" b="9525"/>
            <wp:docPr id="21" name="Рисунок 21" descr="http://www.do.mgsu.ru/COURSES/course1214/files/HtmlStuff/9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o.mgsu.ru/COURSES/course1214/files/HtmlStuff/9clip_image006.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943314">
        <w:rPr>
          <w:rFonts w:ascii="Times New Roman" w:eastAsia="Times New Roman" w:hAnsi="Times New Roman" w:cs="Times New Roman"/>
          <w:color w:val="000000"/>
          <w:sz w:val="28"/>
          <w:szCs w:val="28"/>
        </w:rPr>
        <w:t>.</w:t>
      </w:r>
    </w:p>
    <w:p w:rsidR="005D7874" w:rsidRPr="00943314" w:rsidRDefault="005D7874" w:rsidP="005D7874">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Нормативная глубина промерзания </w:t>
      </w:r>
      <w:r w:rsidRPr="00943314">
        <w:rPr>
          <w:rFonts w:ascii="Times New Roman" w:eastAsia="Times New Roman" w:hAnsi="Times New Roman" w:cs="Times New Roman"/>
          <w:i/>
          <w:iCs/>
          <w:color w:val="000000"/>
          <w:sz w:val="28"/>
          <w:szCs w:val="28"/>
        </w:rPr>
        <w:t>d</w:t>
      </w:r>
      <w:r w:rsidRPr="00943314">
        <w:rPr>
          <w:rFonts w:ascii="Times New Roman" w:eastAsia="Times New Roman" w:hAnsi="Times New Roman" w:cs="Times New Roman"/>
          <w:i/>
          <w:iCs/>
          <w:color w:val="000000"/>
          <w:vertAlign w:val="subscript"/>
        </w:rPr>
        <w:t>fn </w:t>
      </w:r>
      <w:r w:rsidRPr="00943314">
        <w:rPr>
          <w:rFonts w:ascii="Times New Roman" w:eastAsia="Times New Roman" w:hAnsi="Times New Roman" w:cs="Times New Roman"/>
          <w:color w:val="000000"/>
          <w:vertAlign w:val="subscript"/>
        </w:rPr>
        <w:t> </w:t>
      </w:r>
      <w:r w:rsidRPr="00943314">
        <w:rPr>
          <w:rFonts w:ascii="Times New Roman" w:eastAsia="Times New Roman" w:hAnsi="Times New Roman" w:cs="Times New Roman"/>
          <w:color w:val="000000"/>
          <w:sz w:val="28"/>
          <w:szCs w:val="28"/>
        </w:rPr>
        <w:t>– это среднее (за срок не менее 10 лет) значение максимальных глубин промерзания грунтов на открытой площадке, оголённой зимой от снега, а летом от растительного покрова. Нормативная глубина промерзания назначается по наблюдениям за сезонным промерзанием, по теплотехническим расчётам в зависимости от средней температуры воздуха в зимние месяцы. Нормативная глубина промерзания </w:t>
      </w:r>
      <w:r>
        <w:rPr>
          <w:rFonts w:ascii="Times New Roman" w:eastAsia="Times New Roman" w:hAnsi="Times New Roman" w:cs="Times New Roman"/>
          <w:noProof/>
          <w:color w:val="000000"/>
          <w:sz w:val="28"/>
          <w:szCs w:val="28"/>
        </w:rPr>
        <w:drawing>
          <wp:inline distT="0" distB="0" distL="0" distR="0">
            <wp:extent cx="257175" cy="257175"/>
            <wp:effectExtent l="0" t="0" r="9525" b="9525"/>
            <wp:docPr id="20" name="Рисунок 20" descr="http://www.do.mgsu.ru/COURSES/course1214/files/HtmlStuff/4clip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o.mgsu.ru/COURSES/course1214/files/HtmlStuff/4clip_image007.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943314">
        <w:rPr>
          <w:rFonts w:ascii="Times New Roman" w:eastAsia="Times New Roman" w:hAnsi="Times New Roman" w:cs="Times New Roman"/>
          <w:color w:val="000000"/>
          <w:sz w:val="28"/>
          <w:szCs w:val="28"/>
        </w:rPr>
        <w:t> для районов, где глубина промерзания не превышает 2,5 м, определяется по формуле:</w:t>
      </w:r>
    </w:p>
    <w:tbl>
      <w:tblPr>
        <w:tblW w:w="12675" w:type="dxa"/>
        <w:jc w:val="center"/>
        <w:tblCellSpacing w:w="0" w:type="dxa"/>
        <w:tblCellMar>
          <w:left w:w="0" w:type="dxa"/>
          <w:right w:w="0" w:type="dxa"/>
        </w:tblCellMar>
        <w:tblLook w:val="04A0"/>
      </w:tblPr>
      <w:tblGrid>
        <w:gridCol w:w="1890"/>
        <w:gridCol w:w="9003"/>
        <w:gridCol w:w="1782"/>
      </w:tblGrid>
      <w:tr w:rsidR="005D7874" w:rsidRPr="00943314" w:rsidTr="0073605C">
        <w:trPr>
          <w:tblCellSpacing w:w="0" w:type="dxa"/>
          <w:jc w:val="center"/>
        </w:trPr>
        <w:tc>
          <w:tcPr>
            <w:tcW w:w="1890" w:type="dxa"/>
            <w:vAlign w:val="center"/>
            <w:hideMark/>
          </w:tcPr>
          <w:p w:rsidR="005D7874" w:rsidRPr="00943314" w:rsidRDefault="005D7874" w:rsidP="0073605C">
            <w:pPr>
              <w:spacing w:after="0" w:line="400" w:lineRule="atLeast"/>
              <w:jc w:val="center"/>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 </w:t>
            </w:r>
          </w:p>
        </w:tc>
        <w:tc>
          <w:tcPr>
            <w:tcW w:w="0" w:type="auto"/>
            <w:vAlign w:val="center"/>
            <w:hideMark/>
          </w:tcPr>
          <w:p w:rsidR="005D7874" w:rsidRPr="00943314" w:rsidRDefault="005D7874" w:rsidP="0073605C">
            <w:pPr>
              <w:spacing w:after="0" w:line="4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1000125" cy="295275"/>
                  <wp:effectExtent l="0" t="0" r="9525" b="9525"/>
                  <wp:docPr id="19" name="Рисунок 19" descr="http://www.do.mgsu.ru/COURSES/course1214/files/HtmlStuff/6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o.mgsu.ru/COURSES/course1214/files/HtmlStuff/6clip_image008.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r w:rsidRPr="0094331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0,23√50,7 = 0,23 * 7,12 = 1,638.</w:t>
            </w:r>
          </w:p>
        </w:tc>
        <w:tc>
          <w:tcPr>
            <w:tcW w:w="1782" w:type="dxa"/>
            <w:tcMar>
              <w:top w:w="0" w:type="dxa"/>
              <w:left w:w="0" w:type="dxa"/>
              <w:bottom w:w="0" w:type="dxa"/>
              <w:right w:w="108" w:type="dxa"/>
            </w:tcMar>
            <w:vAlign w:val="center"/>
            <w:hideMark/>
          </w:tcPr>
          <w:p w:rsidR="005D7874" w:rsidRPr="00943314" w:rsidRDefault="005D7874" w:rsidP="0073605C">
            <w:pPr>
              <w:spacing w:after="0" w:line="400" w:lineRule="atLeast"/>
              <w:jc w:val="right"/>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(3.2)</w:t>
            </w:r>
          </w:p>
        </w:tc>
      </w:tr>
    </w:tbl>
    <w:p w:rsidR="005D7874" w:rsidRPr="00943314" w:rsidRDefault="005D7874" w:rsidP="005D7874">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Где </w:t>
      </w:r>
      <w:r w:rsidRPr="00943314">
        <w:rPr>
          <w:rFonts w:ascii="Times New Roman" w:eastAsia="Times New Roman" w:hAnsi="Times New Roman" w:cs="Times New Roman"/>
          <w:i/>
          <w:iCs/>
          <w:color w:val="000000"/>
          <w:sz w:val="28"/>
          <w:szCs w:val="28"/>
        </w:rPr>
        <w:t>М</w:t>
      </w:r>
      <w:r w:rsidRPr="00943314">
        <w:rPr>
          <w:rFonts w:ascii="Times New Roman" w:eastAsia="Times New Roman" w:hAnsi="Times New Roman" w:cs="Times New Roman"/>
          <w:i/>
          <w:iCs/>
          <w:color w:val="000000"/>
          <w:vertAlign w:val="subscript"/>
        </w:rPr>
        <w:t>t</w:t>
      </w:r>
      <w:r w:rsidRPr="00943314">
        <w:rPr>
          <w:rFonts w:ascii="Times New Roman" w:eastAsia="Times New Roman" w:hAnsi="Times New Roman" w:cs="Times New Roman"/>
          <w:color w:val="000000"/>
          <w:sz w:val="28"/>
          <w:szCs w:val="28"/>
        </w:rPr>
        <w:t>  –  безразмерный коэффициент, численно равный сумме абсолютных значений среднемесячных отрицательных температур за зиму в данном климатическом районе. В </w:t>
      </w:r>
      <w:r w:rsidRPr="00943314">
        <w:rPr>
          <w:rFonts w:ascii="Times New Roman" w:eastAsia="Times New Roman" w:hAnsi="Times New Roman" w:cs="Times New Roman"/>
          <w:i/>
          <w:iCs/>
          <w:color w:val="000000"/>
          <w:sz w:val="28"/>
          <w:szCs w:val="28"/>
        </w:rPr>
        <w:t>Приложении 1, табл. 19 </w:t>
      </w:r>
      <w:r w:rsidRPr="00943314">
        <w:rPr>
          <w:rFonts w:ascii="Times New Roman" w:eastAsia="Times New Roman" w:hAnsi="Times New Roman" w:cs="Times New Roman"/>
          <w:color w:val="000000"/>
          <w:sz w:val="28"/>
          <w:szCs w:val="28"/>
        </w:rPr>
        <w:t>даны приближенные значения </w:t>
      </w:r>
      <w:r w:rsidRPr="00943314">
        <w:rPr>
          <w:rFonts w:ascii="Times New Roman" w:eastAsia="Times New Roman" w:hAnsi="Times New Roman" w:cs="Times New Roman"/>
          <w:i/>
          <w:iCs/>
          <w:color w:val="000000"/>
          <w:sz w:val="28"/>
          <w:szCs w:val="28"/>
        </w:rPr>
        <w:t>М</w:t>
      </w:r>
      <w:r w:rsidRPr="00943314">
        <w:rPr>
          <w:rFonts w:ascii="Times New Roman" w:eastAsia="Times New Roman" w:hAnsi="Times New Roman" w:cs="Times New Roman"/>
          <w:i/>
          <w:iCs/>
          <w:color w:val="000000"/>
          <w:vertAlign w:val="subscript"/>
        </w:rPr>
        <w:t>t</w:t>
      </w:r>
      <w:r>
        <w:rPr>
          <w:rFonts w:ascii="Times New Roman" w:eastAsia="Times New Roman" w:hAnsi="Times New Roman" w:cs="Times New Roman"/>
          <w:color w:val="000000"/>
          <w:sz w:val="28"/>
          <w:szCs w:val="28"/>
        </w:rPr>
        <w:t xml:space="preserve">: -50,7 для города Великий Устюг. </w:t>
      </w:r>
      <w:r w:rsidRPr="00943314">
        <w:rPr>
          <w:rFonts w:ascii="Times New Roman" w:eastAsia="Times New Roman" w:hAnsi="Times New Roman" w:cs="Times New Roman"/>
          <w:color w:val="000000"/>
          <w:sz w:val="28"/>
          <w:szCs w:val="28"/>
        </w:rPr>
        <w:t xml:space="preserve">Более точно они могут быть определены  по таблицам СП 131.13330.2012 Строительная </w:t>
      </w:r>
      <w:r w:rsidRPr="00943314">
        <w:rPr>
          <w:rFonts w:ascii="Times New Roman" w:eastAsia="Times New Roman" w:hAnsi="Times New Roman" w:cs="Times New Roman"/>
          <w:color w:val="000000"/>
          <w:sz w:val="28"/>
          <w:szCs w:val="28"/>
        </w:rPr>
        <w:lastRenderedPageBreak/>
        <w:t>климатология [18] (Табл. 5.1.) и  по схематическим картам глубин промерзания грунтов.</w:t>
      </w:r>
    </w:p>
    <w:p w:rsidR="005D7874" w:rsidRPr="00943314" w:rsidRDefault="005D7874" w:rsidP="005D7874">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i/>
          <w:iCs/>
          <w:color w:val="000000"/>
          <w:sz w:val="28"/>
          <w:szCs w:val="28"/>
        </w:rPr>
        <w:t>d</w:t>
      </w:r>
      <w:r w:rsidRPr="00943314">
        <w:rPr>
          <w:rFonts w:ascii="Times New Roman" w:eastAsia="Times New Roman" w:hAnsi="Times New Roman" w:cs="Times New Roman"/>
          <w:color w:val="000000"/>
          <w:vertAlign w:val="subscript"/>
        </w:rPr>
        <w:t>0</w:t>
      </w:r>
      <w:r w:rsidRPr="00943314">
        <w:rPr>
          <w:rFonts w:ascii="Times New Roman" w:eastAsia="Times New Roman" w:hAnsi="Times New Roman" w:cs="Times New Roman"/>
          <w:color w:val="000000"/>
          <w:sz w:val="28"/>
          <w:szCs w:val="28"/>
        </w:rPr>
        <w:t> – величина, м, принимаемая для суглинков и глин – 0,23; супесей, песков мелких и пылеватых – 0,28; песков гравелистых, крупных и средней крупности – 0,30; крупнообломочных грунтов – 0,34.</w:t>
      </w:r>
    </w:p>
    <w:p w:rsidR="005D7874" w:rsidRPr="00943314" w:rsidRDefault="005D7874" w:rsidP="005D7874">
      <w:pPr>
        <w:spacing w:after="0" w:line="420" w:lineRule="atLeast"/>
        <w:ind w:firstLine="567"/>
        <w:jc w:val="both"/>
        <w:rPr>
          <w:rFonts w:ascii="Times New Roman" w:eastAsia="Times New Roman" w:hAnsi="Times New Roman" w:cs="Times New Roman"/>
          <w:color w:val="000000"/>
          <w:sz w:val="28"/>
          <w:szCs w:val="28"/>
        </w:rPr>
      </w:pPr>
      <w:r w:rsidRPr="00943314">
        <w:rPr>
          <w:rFonts w:ascii="Times New Roman" w:eastAsia="Times New Roman" w:hAnsi="Times New Roman" w:cs="Times New Roman"/>
          <w:color w:val="000000"/>
          <w:sz w:val="28"/>
          <w:szCs w:val="28"/>
        </w:rPr>
        <w:t>При неоднородном сложении грунтов в пределах глубины промерзания </w:t>
      </w:r>
      <w:r w:rsidRPr="00943314">
        <w:rPr>
          <w:rFonts w:ascii="Times New Roman" w:eastAsia="Times New Roman" w:hAnsi="Times New Roman" w:cs="Times New Roman"/>
          <w:i/>
          <w:iCs/>
          <w:color w:val="000000"/>
          <w:sz w:val="28"/>
          <w:szCs w:val="28"/>
        </w:rPr>
        <w:t>d</w:t>
      </w:r>
      <w:r w:rsidRPr="00943314">
        <w:rPr>
          <w:rFonts w:ascii="Times New Roman" w:eastAsia="Times New Roman" w:hAnsi="Times New Roman" w:cs="Times New Roman"/>
          <w:color w:val="000000"/>
          <w:vertAlign w:val="subscript"/>
        </w:rPr>
        <w:t>0</w:t>
      </w:r>
      <w:r w:rsidRPr="00943314">
        <w:rPr>
          <w:rFonts w:ascii="Times New Roman" w:eastAsia="Times New Roman" w:hAnsi="Times New Roman" w:cs="Times New Roman"/>
          <w:color w:val="000000"/>
          <w:sz w:val="28"/>
          <w:szCs w:val="28"/>
        </w:rPr>
        <w:t> определяется как средневзвешенная величина.</w:t>
      </w:r>
    </w:p>
    <w:p w:rsidR="005D7874" w:rsidRPr="00315FF5" w:rsidRDefault="005D7874" w:rsidP="00E47028">
      <w:pPr>
        <w:pStyle w:val="a5"/>
        <w:spacing w:after="0" w:line="420" w:lineRule="atLeast"/>
        <w:ind w:left="927"/>
        <w:jc w:val="both"/>
        <w:rPr>
          <w:rFonts w:ascii="Times New Roman" w:eastAsia="Times New Roman" w:hAnsi="Times New Roman" w:cs="Times New Roman"/>
          <w:color w:val="000000"/>
          <w:sz w:val="28"/>
          <w:szCs w:val="28"/>
          <w:vertAlign w:val="superscript"/>
        </w:rPr>
      </w:pPr>
    </w:p>
    <w:p w:rsidR="00C80409" w:rsidRDefault="00C80409"/>
    <w:sectPr w:rsidR="00C80409" w:rsidSect="00492689">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B5" w:rsidRDefault="00023CB5" w:rsidP="00DA6E1B">
      <w:pPr>
        <w:spacing w:after="0" w:line="240" w:lineRule="auto"/>
      </w:pPr>
      <w:r>
        <w:separator/>
      </w:r>
    </w:p>
  </w:endnote>
  <w:endnote w:type="continuationSeparator" w:id="0">
    <w:p w:rsidR="00023CB5" w:rsidRDefault="00023CB5" w:rsidP="00DA6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B5" w:rsidRDefault="00023CB5" w:rsidP="00DA6E1B">
      <w:pPr>
        <w:spacing w:after="0" w:line="240" w:lineRule="auto"/>
      </w:pPr>
      <w:r>
        <w:separator/>
      </w:r>
    </w:p>
  </w:footnote>
  <w:footnote w:type="continuationSeparator" w:id="0">
    <w:p w:rsidR="00023CB5" w:rsidRDefault="00023CB5" w:rsidP="00DA6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1B" w:rsidRDefault="00DA6E1B" w:rsidP="00DA6E1B">
    <w:pPr>
      <w:pStyle w:val="a6"/>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a"/>
          <w:b/>
          <w:sz w:val="32"/>
          <w:szCs w:val="32"/>
        </w:rPr>
        <w:t>ДЦО.РФ</w:t>
      </w:r>
    </w:hyperlink>
  </w:p>
  <w:p w:rsidR="00DA6E1B" w:rsidRDefault="00DA6E1B" w:rsidP="00DA6E1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A6E1B" w:rsidRDefault="00DA6E1B" w:rsidP="00DA6E1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A6E1B" w:rsidRDefault="00DA6E1B" w:rsidP="00DA6E1B">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A6E1B" w:rsidRDefault="00DA6E1B">
    <w:pPr>
      <w:pStyle w:val="a6"/>
    </w:pPr>
  </w:p>
  <w:p w:rsidR="00DA6E1B" w:rsidRDefault="00DA6E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63F"/>
    <w:multiLevelType w:val="hybridMultilevel"/>
    <w:tmpl w:val="87F2C84C"/>
    <w:lvl w:ilvl="0" w:tplc="C7886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D75B0"/>
    <w:rsid w:val="00023CB5"/>
    <w:rsid w:val="00315FF5"/>
    <w:rsid w:val="00492689"/>
    <w:rsid w:val="004D75B0"/>
    <w:rsid w:val="005D7874"/>
    <w:rsid w:val="008F196B"/>
    <w:rsid w:val="00C80409"/>
    <w:rsid w:val="00DA6E1B"/>
    <w:rsid w:val="00E47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89"/>
  </w:style>
  <w:style w:type="paragraph" w:styleId="3">
    <w:name w:val="heading 3"/>
    <w:basedOn w:val="a"/>
    <w:link w:val="30"/>
    <w:uiPriority w:val="9"/>
    <w:semiHidden/>
    <w:unhideWhenUsed/>
    <w:qFormat/>
    <w:rsid w:val="00DA6E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DA6E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5B0"/>
    <w:rPr>
      <w:rFonts w:ascii="Tahoma" w:hAnsi="Tahoma" w:cs="Tahoma"/>
      <w:sz w:val="16"/>
      <w:szCs w:val="16"/>
    </w:rPr>
  </w:style>
  <w:style w:type="paragraph" w:styleId="a5">
    <w:name w:val="List Paragraph"/>
    <w:basedOn w:val="a"/>
    <w:uiPriority w:val="34"/>
    <w:qFormat/>
    <w:rsid w:val="00E47028"/>
    <w:pPr>
      <w:ind w:left="720"/>
      <w:contextualSpacing/>
    </w:pPr>
  </w:style>
  <w:style w:type="paragraph" w:styleId="a6">
    <w:name w:val="header"/>
    <w:basedOn w:val="a"/>
    <w:link w:val="a7"/>
    <w:uiPriority w:val="99"/>
    <w:unhideWhenUsed/>
    <w:rsid w:val="00DA6E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6E1B"/>
  </w:style>
  <w:style w:type="paragraph" w:styleId="a8">
    <w:name w:val="footer"/>
    <w:basedOn w:val="a"/>
    <w:link w:val="a9"/>
    <w:uiPriority w:val="99"/>
    <w:semiHidden/>
    <w:unhideWhenUsed/>
    <w:rsid w:val="00DA6E1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A6E1B"/>
  </w:style>
  <w:style w:type="character" w:customStyle="1" w:styleId="30">
    <w:name w:val="Заголовок 3 Знак"/>
    <w:basedOn w:val="a0"/>
    <w:link w:val="3"/>
    <w:uiPriority w:val="9"/>
    <w:semiHidden/>
    <w:rsid w:val="00DA6E1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DA6E1B"/>
    <w:rPr>
      <w:rFonts w:ascii="Times New Roman" w:eastAsia="Times New Roman" w:hAnsi="Times New Roman" w:cs="Times New Roman"/>
      <w:b/>
      <w:bCs/>
      <w:sz w:val="24"/>
      <w:szCs w:val="24"/>
    </w:rPr>
  </w:style>
  <w:style w:type="character" w:styleId="aa">
    <w:name w:val="Hyperlink"/>
    <w:basedOn w:val="a0"/>
    <w:uiPriority w:val="99"/>
    <w:semiHidden/>
    <w:unhideWhenUsed/>
    <w:rsid w:val="00DA6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75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yperlink" Target="http://www.do.mgsu.ru/COURSES/course1214/index.htm"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777</Words>
  <Characters>4430</Characters>
  <Application>Microsoft Office Word</Application>
  <DocSecurity>0</DocSecurity>
  <Lines>36</Lines>
  <Paragraphs>10</Paragraphs>
  <ScaleCrop>false</ScaleCrop>
  <Company>Grizli777</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саша</cp:lastModifiedBy>
  <cp:revision>9</cp:revision>
  <dcterms:created xsi:type="dcterms:W3CDTF">2018-02-17T19:42:00Z</dcterms:created>
  <dcterms:modified xsi:type="dcterms:W3CDTF">2019-04-16T07:23:00Z</dcterms:modified>
</cp:coreProperties>
</file>