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9A" w:rsidRPr="00CD2279" w:rsidRDefault="0013549A" w:rsidP="0013549A">
      <w:pPr>
        <w:pStyle w:val="sdtext"/>
        <w:spacing w:line="240" w:lineRule="auto"/>
        <w:rPr>
          <w:i/>
        </w:rPr>
      </w:pPr>
      <w:r>
        <w:rPr>
          <w:i/>
        </w:rPr>
        <w:t>П</w:t>
      </w:r>
      <w:r w:rsidRPr="00CD2279">
        <w:rPr>
          <w:i/>
        </w:rPr>
        <w:t>остроени</w:t>
      </w:r>
      <w:r>
        <w:rPr>
          <w:i/>
        </w:rPr>
        <w:t>е</w:t>
      </w:r>
      <w:r w:rsidRPr="00CD2279">
        <w:rPr>
          <w:i/>
        </w:rPr>
        <w:t xml:space="preserve"> производственной функции экономики региона</w:t>
      </w:r>
    </w:p>
    <w:p w:rsidR="0013549A" w:rsidRDefault="0013549A" w:rsidP="0013549A">
      <w:pPr>
        <w:pStyle w:val="sdtext"/>
        <w:spacing w:line="240" w:lineRule="auto"/>
        <w:rPr>
          <w:i/>
        </w:rPr>
      </w:pPr>
    </w:p>
    <w:p w:rsidR="0013549A" w:rsidRDefault="0013549A" w:rsidP="0013549A">
      <w:pPr>
        <w:pStyle w:val="sdtext"/>
        <w:spacing w:line="240" w:lineRule="auto"/>
        <w:rPr>
          <w:i/>
        </w:rPr>
      </w:pPr>
      <w:r>
        <w:rPr>
          <w:i/>
        </w:rPr>
        <w:t>Решение:</w:t>
      </w:r>
    </w:p>
    <w:p w:rsidR="00977460" w:rsidRDefault="00977460" w:rsidP="00977460">
      <w:pPr>
        <w:pStyle w:val="sdtext"/>
        <w:spacing w:line="240" w:lineRule="auto"/>
      </w:pPr>
      <w:r>
        <w:t xml:space="preserve">При анализе экономической ситуации в регионе на макроуровне основным показателем является валовой региональный продукт (или чистый доход, который определяется как ВРП за вычетом всех налоговых обложений и амортизации). </w:t>
      </w:r>
      <w:r w:rsidR="008A2F83">
        <w:t>Для экономики Тульского региона</w:t>
      </w:r>
      <w:r>
        <w:t xml:space="preserve"> производственная мультипликативная (степенная) функция имеет следующий вид</w:t>
      </w:r>
      <w:r w:rsidR="008A2F83">
        <w:t xml:space="preserve"> функции Кобба-Дугласса</w:t>
      </w:r>
      <w:r>
        <w:t xml:space="preserve">: </w:t>
      </w:r>
    </w:p>
    <w:p w:rsidR="0013549A" w:rsidRPr="00CD2279" w:rsidRDefault="00C45A22" w:rsidP="0013549A">
      <w:pPr>
        <w:pStyle w:val="sdformula"/>
        <w:rPr>
          <w:lang w:val="ru-RU"/>
        </w:rPr>
      </w:pPr>
      <w:r w:rsidRPr="00192398">
        <w:rPr>
          <w:position w:val="-12"/>
        </w:rPr>
        <w:object w:dxaOrig="1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.15pt" o:ole="">
            <v:imagedata r:id="rId6" o:title=""/>
          </v:shape>
          <o:OLEObject Type="Embed" ProgID="Equation.3" ShapeID="_x0000_i1025" DrawAspect="Content" ObjectID="_1617001211" r:id="rId7"/>
        </w:object>
      </w:r>
      <w:r w:rsidR="0013549A" w:rsidRPr="00CD2279">
        <w:rPr>
          <w:lang w:val="ru-RU"/>
        </w:rPr>
        <w:t xml:space="preserve">                                                (1)</w:t>
      </w:r>
    </w:p>
    <w:p w:rsidR="0013549A" w:rsidRDefault="0013549A" w:rsidP="0013549A">
      <w:pPr>
        <w:pStyle w:val="sdtext"/>
        <w:spacing w:line="240" w:lineRule="auto"/>
      </w:pPr>
      <w:r>
        <w:t>Линеаризуем модель (1):</w:t>
      </w:r>
    </w:p>
    <w:p w:rsidR="0013549A" w:rsidRDefault="00C45A22" w:rsidP="00977460">
      <w:pPr>
        <w:pStyle w:val="sdtext"/>
        <w:spacing w:line="240" w:lineRule="auto"/>
        <w:jc w:val="center"/>
      </w:pPr>
      <w:r w:rsidRPr="00192398">
        <w:rPr>
          <w:position w:val="-12"/>
        </w:rPr>
        <w:object w:dxaOrig="2120" w:dyaOrig="400">
          <v:shape id="_x0000_i1026" type="#_x0000_t75" style="width:106.05pt;height:20.15pt" o:ole="">
            <v:imagedata r:id="rId8" o:title=""/>
          </v:shape>
          <o:OLEObject Type="Embed" ProgID="Equation.3" ShapeID="_x0000_i1026" DrawAspect="Content" ObjectID="_1617001212" r:id="rId9"/>
        </w:object>
      </w:r>
      <w:r w:rsidR="0013549A">
        <w:t>,</w:t>
      </w:r>
    </w:p>
    <w:p w:rsidR="0013549A" w:rsidRDefault="00C45A22" w:rsidP="00977460">
      <w:pPr>
        <w:pStyle w:val="sdtext"/>
        <w:spacing w:line="240" w:lineRule="auto"/>
        <w:jc w:val="center"/>
      </w:pPr>
      <w:r w:rsidRPr="00192398">
        <w:rPr>
          <w:position w:val="-12"/>
        </w:rPr>
        <w:object w:dxaOrig="3660" w:dyaOrig="380">
          <v:shape id="_x0000_i1027" type="#_x0000_t75" style="width:182.7pt;height:19.35pt" o:ole="">
            <v:imagedata r:id="rId10" o:title=""/>
          </v:shape>
          <o:OLEObject Type="Embed" ProgID="Equation.3" ShapeID="_x0000_i1027" DrawAspect="Content" ObjectID="_1617001213" r:id="rId11"/>
        </w:object>
      </w:r>
      <w:r w:rsidR="0013549A">
        <w:t>.</w:t>
      </w:r>
    </w:p>
    <w:p w:rsidR="0013549A" w:rsidRDefault="0013549A" w:rsidP="0013549A">
      <w:pPr>
        <w:pStyle w:val="sdtext"/>
        <w:spacing w:line="240" w:lineRule="auto"/>
      </w:pPr>
      <w:r>
        <w:t>Исходные и преобразованные данные для оценивания неизвестных параметров модели приведены в таблице 1 (графы 2-7).</w:t>
      </w:r>
    </w:p>
    <w:p w:rsidR="0013549A" w:rsidRDefault="0013549A" w:rsidP="0013549A">
      <w:pPr>
        <w:tabs>
          <w:tab w:val="left" w:pos="0"/>
          <w:tab w:val="left" w:pos="567"/>
          <w:tab w:val="left" w:pos="1134"/>
          <w:tab w:val="left" w:pos="2835"/>
          <w:tab w:val="left" w:pos="8080"/>
        </w:tabs>
      </w:pPr>
    </w:p>
    <w:p w:rsidR="0013549A" w:rsidRDefault="0013549A" w:rsidP="0013549A">
      <w:pPr>
        <w:tabs>
          <w:tab w:val="left" w:pos="0"/>
          <w:tab w:val="left" w:pos="567"/>
          <w:tab w:val="left" w:pos="1134"/>
          <w:tab w:val="left" w:pos="2835"/>
          <w:tab w:val="left" w:pos="8080"/>
        </w:tabs>
      </w:pPr>
      <w:r>
        <w:t>Таблица 1 - Построение производственной функции</w:t>
      </w:r>
    </w:p>
    <w:tbl>
      <w:tblPr>
        <w:tblW w:w="95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38"/>
        <w:gridCol w:w="1249"/>
        <w:gridCol w:w="1220"/>
        <w:gridCol w:w="1240"/>
        <w:gridCol w:w="1298"/>
        <w:gridCol w:w="1102"/>
        <w:gridCol w:w="1249"/>
        <w:gridCol w:w="1375"/>
      </w:tblGrid>
      <w:tr w:rsidR="0013549A" w:rsidTr="00977460">
        <w:trPr>
          <w:trHeight w:val="255"/>
          <w:jc w:val="center"/>
        </w:trPr>
        <w:tc>
          <w:tcPr>
            <w:tcW w:w="840" w:type="dxa"/>
            <w:noWrap/>
          </w:tcPr>
          <w:p w:rsidR="0013549A" w:rsidRDefault="0013549A" w:rsidP="00C45A22">
            <w:pPr>
              <w:pStyle w:val="a3"/>
            </w:pPr>
          </w:p>
        </w:tc>
        <w:tc>
          <w:tcPr>
            <w:tcW w:w="1255" w:type="dxa"/>
            <w:noWrap/>
            <w:vAlign w:val="center"/>
          </w:tcPr>
          <w:p w:rsidR="0013549A" w:rsidRPr="0013549A" w:rsidRDefault="0013549A" w:rsidP="00C45A22">
            <w:pPr>
              <w:pStyle w:val="a3"/>
              <w:rPr>
                <w:lang w:val="ru-RU"/>
              </w:rPr>
            </w:pPr>
            <w:r w:rsidRPr="0013549A">
              <w:rPr>
                <w:lang w:val="ru-RU"/>
              </w:rPr>
              <w:t>Основные фонды (</w:t>
            </w:r>
            <w:r>
              <w:t>K</w:t>
            </w:r>
            <w:r w:rsidRPr="0013549A">
              <w:rPr>
                <w:lang w:val="ru-RU"/>
              </w:rPr>
              <w:t>), млн.руб</w:t>
            </w:r>
          </w:p>
        </w:tc>
        <w:tc>
          <w:tcPr>
            <w:tcW w:w="1206" w:type="dxa"/>
            <w:noWrap/>
            <w:vAlign w:val="center"/>
          </w:tcPr>
          <w:p w:rsidR="0013549A" w:rsidRDefault="0013549A" w:rsidP="00C45A22">
            <w:pPr>
              <w:pStyle w:val="a3"/>
            </w:pPr>
            <w:r>
              <w:t>Трудовые ресурсы (L)</w:t>
            </w:r>
          </w:p>
        </w:tc>
        <w:tc>
          <w:tcPr>
            <w:tcW w:w="1246" w:type="dxa"/>
            <w:noWrap/>
            <w:vAlign w:val="center"/>
          </w:tcPr>
          <w:p w:rsidR="0013549A" w:rsidRDefault="0013549A" w:rsidP="008A2F83">
            <w:pPr>
              <w:pStyle w:val="a3"/>
            </w:pPr>
            <w:r>
              <w:t>ВРП (</w:t>
            </w:r>
            <w:r w:rsidR="008A2F83">
              <w:t>Y</w:t>
            </w:r>
            <w:r>
              <w:t>), млн.руб</w:t>
            </w:r>
          </w:p>
        </w:tc>
        <w:tc>
          <w:tcPr>
            <w:tcW w:w="1304" w:type="dxa"/>
            <w:noWrap/>
            <w:vAlign w:val="center"/>
          </w:tcPr>
          <w:p w:rsidR="0013549A" w:rsidRDefault="0013549A" w:rsidP="00C45A22">
            <w:pPr>
              <w:pStyle w:val="a3"/>
            </w:pPr>
            <w:r>
              <w:t>Ln(K)</w:t>
            </w:r>
          </w:p>
        </w:tc>
        <w:tc>
          <w:tcPr>
            <w:tcW w:w="1107" w:type="dxa"/>
            <w:noWrap/>
            <w:vAlign w:val="center"/>
          </w:tcPr>
          <w:p w:rsidR="0013549A" w:rsidRDefault="0013549A" w:rsidP="00C45A22">
            <w:pPr>
              <w:pStyle w:val="a3"/>
            </w:pPr>
            <w:r>
              <w:t>Ln(L)</w:t>
            </w:r>
          </w:p>
        </w:tc>
        <w:tc>
          <w:tcPr>
            <w:tcW w:w="1255" w:type="dxa"/>
            <w:noWrap/>
            <w:vAlign w:val="center"/>
          </w:tcPr>
          <w:p w:rsidR="0013549A" w:rsidRDefault="0013549A" w:rsidP="00C45A22">
            <w:pPr>
              <w:pStyle w:val="a3"/>
            </w:pPr>
            <w:r>
              <w:t>Ln(X)</w:t>
            </w:r>
          </w:p>
        </w:tc>
        <w:tc>
          <w:tcPr>
            <w:tcW w:w="1358" w:type="dxa"/>
            <w:noWrap/>
            <w:vAlign w:val="center"/>
          </w:tcPr>
          <w:p w:rsidR="0013549A" w:rsidRDefault="0013549A" w:rsidP="00C45A22">
            <w:pPr>
              <w:pStyle w:val="a3"/>
            </w:pPr>
            <w:r>
              <w:t>Оценка ВРП (модельное значение)</w:t>
            </w:r>
          </w:p>
        </w:tc>
      </w:tr>
      <w:tr w:rsidR="0013549A" w:rsidTr="00977460">
        <w:trPr>
          <w:trHeight w:val="255"/>
          <w:jc w:val="center"/>
        </w:trPr>
        <w:tc>
          <w:tcPr>
            <w:tcW w:w="840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6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4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7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5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8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2000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168150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786900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42061,3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12,033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13,576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10,647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48223,0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2001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197921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780500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52891,2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12,196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13,568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10,876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56714,9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2002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232726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772900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65416,3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12,358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13,558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11,089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65324,8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2003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266508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770700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72258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12,493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13,555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11,188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78342,1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2004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274181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773700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88119,6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12,522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13,559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11,386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85835,1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2005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287642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775600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116221,2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12,569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13,561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11,663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95376,3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2006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335199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779600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142240,1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12,722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13,567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11,865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129331,6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2007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377757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784700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174110,9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12,842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13,573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12,067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  <w:lang w:val="en-US"/>
              </w:rPr>
              <w:t>169023,5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2008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431106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785100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231730,8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12,974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13,574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12,353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209816,0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2009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492051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762900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214925,4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13,106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13,545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12,278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184105,4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2010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562328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771100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237629,2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13,240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13,556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12,378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258523,7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2011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635993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770800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272462,8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13,363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13,555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12,515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312991,8</w:t>
            </w:r>
          </w:p>
        </w:tc>
      </w:tr>
      <w:tr w:rsidR="00977460" w:rsidTr="00977460">
        <w:trPr>
          <w:trHeight w:val="255"/>
          <w:jc w:val="center"/>
        </w:trPr>
        <w:tc>
          <w:tcPr>
            <w:tcW w:w="840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2012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699627</w:t>
            </w:r>
          </w:p>
        </w:tc>
        <w:tc>
          <w:tcPr>
            <w:tcW w:w="120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766300</w:t>
            </w:r>
          </w:p>
        </w:tc>
        <w:tc>
          <w:tcPr>
            <w:tcW w:w="1246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sz w:val="24"/>
              </w:rPr>
            </w:pPr>
            <w:r w:rsidRPr="00977460">
              <w:rPr>
                <w:sz w:val="24"/>
              </w:rPr>
              <w:t>309295</w:t>
            </w:r>
          </w:p>
        </w:tc>
        <w:tc>
          <w:tcPr>
            <w:tcW w:w="1304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13,458</w:t>
            </w:r>
          </w:p>
        </w:tc>
        <w:tc>
          <w:tcPr>
            <w:tcW w:w="1107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13,549</w:t>
            </w:r>
          </w:p>
        </w:tc>
        <w:tc>
          <w:tcPr>
            <w:tcW w:w="1255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12,642</w:t>
            </w:r>
          </w:p>
        </w:tc>
        <w:tc>
          <w:tcPr>
            <w:tcW w:w="1358" w:type="dxa"/>
            <w:noWrap/>
            <w:vAlign w:val="center"/>
          </w:tcPr>
          <w:p w:rsidR="00977460" w:rsidRPr="00977460" w:rsidRDefault="00977460" w:rsidP="00977460">
            <w:pPr>
              <w:ind w:firstLine="0"/>
              <w:jc w:val="center"/>
              <w:rPr>
                <w:color w:val="333333"/>
                <w:sz w:val="24"/>
              </w:rPr>
            </w:pPr>
            <w:r w:rsidRPr="00977460">
              <w:rPr>
                <w:color w:val="333333"/>
                <w:sz w:val="24"/>
              </w:rPr>
              <w:t>339762,1</w:t>
            </w:r>
          </w:p>
        </w:tc>
      </w:tr>
    </w:tbl>
    <w:p w:rsidR="0013549A" w:rsidRDefault="0013549A" w:rsidP="0013549A">
      <w:pPr>
        <w:tabs>
          <w:tab w:val="left" w:pos="0"/>
          <w:tab w:val="left" w:pos="567"/>
          <w:tab w:val="left" w:pos="1134"/>
          <w:tab w:val="left" w:pos="2835"/>
          <w:tab w:val="left" w:pos="8080"/>
        </w:tabs>
        <w:rPr>
          <w:lang w:val="en-US"/>
        </w:rPr>
      </w:pPr>
    </w:p>
    <w:p w:rsidR="0013549A" w:rsidRDefault="0013549A" w:rsidP="0013549A">
      <w:pPr>
        <w:pStyle w:val="sdtext"/>
        <w:spacing w:line="240" w:lineRule="auto"/>
      </w:pPr>
      <w:r>
        <w:lastRenderedPageBreak/>
        <w:t>Показатели, характеризующие значимость модели и ее параметров, точность и адекватность модели, приведены на рисунке 1.</w:t>
      </w:r>
    </w:p>
    <w:p w:rsidR="0013549A" w:rsidRDefault="0013549A" w:rsidP="0013549A">
      <w:pPr>
        <w:pStyle w:val="sdtext"/>
        <w:spacing w:line="240" w:lineRule="auto"/>
      </w:pPr>
    </w:p>
    <w:p w:rsidR="00977460" w:rsidRDefault="00977460" w:rsidP="0013549A">
      <w:pPr>
        <w:pStyle w:val="sdtext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35345" cy="3134995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9A" w:rsidRDefault="0013549A" w:rsidP="0013549A">
      <w:pPr>
        <w:pStyle w:val="sdtext"/>
        <w:spacing w:line="240" w:lineRule="auto"/>
        <w:ind w:firstLine="0"/>
        <w:jc w:val="center"/>
      </w:pPr>
    </w:p>
    <w:p w:rsidR="0013549A" w:rsidRPr="008A2F83" w:rsidRDefault="0013549A" w:rsidP="0013549A">
      <w:pPr>
        <w:pStyle w:val="sdtext"/>
        <w:spacing w:line="240" w:lineRule="auto"/>
        <w:jc w:val="center"/>
      </w:pPr>
      <w:r>
        <w:t xml:space="preserve">Рисунок 1 </w:t>
      </w:r>
      <w:r w:rsidR="008A2F83">
        <w:t>–</w:t>
      </w:r>
      <w:r>
        <w:t xml:space="preserve"> </w:t>
      </w:r>
      <w:r w:rsidR="008A2F83">
        <w:t>Регрессионный анализ</w:t>
      </w:r>
    </w:p>
    <w:p w:rsidR="00937C5A" w:rsidRDefault="00937C5A" w:rsidP="0013549A">
      <w:pPr>
        <w:pStyle w:val="sdtext"/>
        <w:spacing w:line="240" w:lineRule="auto"/>
        <w:jc w:val="center"/>
        <w:rPr>
          <w:lang w:val="en-US"/>
        </w:rPr>
      </w:pPr>
    </w:p>
    <w:p w:rsidR="008A2F83" w:rsidRDefault="008A2F83" w:rsidP="008A2F83">
      <w:pPr>
        <w:pStyle w:val="sdtext"/>
        <w:spacing w:line="240" w:lineRule="auto"/>
      </w:pPr>
      <w:r>
        <w:t>Получена следующая эконометрическая зависимость:</w:t>
      </w:r>
    </w:p>
    <w:p w:rsidR="008A2F83" w:rsidRDefault="008A2F83" w:rsidP="008A2F83">
      <w:pPr>
        <w:pStyle w:val="sdformula"/>
        <w:rPr>
          <w:lang w:val="ru-RU"/>
        </w:rPr>
      </w:pPr>
      <w:r w:rsidRPr="00192398">
        <w:rPr>
          <w:position w:val="-12"/>
        </w:rPr>
        <w:object w:dxaOrig="4959" w:dyaOrig="360">
          <v:shape id="_x0000_i1028" type="#_x0000_t75" style="width:248.5pt;height:17.8pt" o:ole="">
            <v:imagedata r:id="rId13" o:title=""/>
          </v:shape>
          <o:OLEObject Type="Embed" ProgID="Equation.3" ShapeID="_x0000_i1028" DrawAspect="Content" ObjectID="_1617001214" r:id="rId14"/>
        </w:object>
      </w:r>
      <w:r w:rsidRPr="00977460">
        <w:rPr>
          <w:lang w:val="ru-RU"/>
        </w:rPr>
        <w:t xml:space="preserve">                   </w:t>
      </w:r>
      <w:r w:rsidRPr="00977460">
        <w:rPr>
          <w:lang w:val="ru-RU"/>
        </w:rPr>
        <w:tab/>
      </w:r>
      <w:r>
        <w:rPr>
          <w:lang w:val="ru-RU"/>
        </w:rPr>
        <w:t>(2)</w:t>
      </w:r>
    </w:p>
    <w:p w:rsidR="008A2F83" w:rsidRDefault="008A2F83" w:rsidP="008A2F83">
      <w:pPr>
        <w:pStyle w:val="sdtext"/>
        <w:spacing w:line="240" w:lineRule="auto"/>
      </w:pPr>
      <w:r>
        <w:t>или</w:t>
      </w:r>
    </w:p>
    <w:p w:rsidR="008A2F83" w:rsidRDefault="008A2F83" w:rsidP="008A2F83">
      <w:pPr>
        <w:pStyle w:val="sdformula"/>
        <w:rPr>
          <w:lang w:val="ru-RU"/>
        </w:rPr>
      </w:pPr>
      <w:r w:rsidRPr="00192398">
        <w:rPr>
          <w:position w:val="-6"/>
        </w:rPr>
        <w:object w:dxaOrig="2280" w:dyaOrig="340">
          <v:shape id="_x0000_i1029" type="#_x0000_t75" style="width:132.4pt;height:20.15pt" o:ole="">
            <v:imagedata r:id="rId15" o:title=""/>
          </v:shape>
          <o:OLEObject Type="Embed" ProgID="Equation.3" ShapeID="_x0000_i1029" DrawAspect="Content" ObjectID="_1617001215" r:id="rId16"/>
        </w:object>
      </w:r>
      <w:r w:rsidRPr="00977460">
        <w:rPr>
          <w:lang w:val="ru-RU"/>
        </w:rPr>
        <w:tab/>
      </w:r>
      <w:r w:rsidRPr="00977460">
        <w:rPr>
          <w:lang w:val="ru-RU"/>
        </w:rPr>
        <w:tab/>
      </w:r>
      <w:r>
        <w:rPr>
          <w:lang w:val="ru-RU"/>
        </w:rPr>
        <w:t xml:space="preserve">                </w:t>
      </w:r>
      <w:r>
        <w:rPr>
          <w:lang w:val="ru-RU"/>
        </w:rPr>
        <w:tab/>
        <w:t>(3)</w:t>
      </w:r>
    </w:p>
    <w:p w:rsidR="008A2F83" w:rsidRPr="008A2F83" w:rsidRDefault="008A2F83" w:rsidP="0013549A">
      <w:pPr>
        <w:pStyle w:val="sdtext"/>
        <w:spacing w:line="240" w:lineRule="auto"/>
        <w:jc w:val="center"/>
      </w:pPr>
    </w:p>
    <w:p w:rsidR="003F69EB" w:rsidRDefault="00937C5A" w:rsidP="0013549A">
      <w:pPr>
        <w:pStyle w:val="sdtext"/>
        <w:spacing w:line="240" w:lineRule="auto"/>
      </w:pPr>
      <w:r>
        <w:t xml:space="preserve">Коэффициент множественной корреляции равен 0.986, что свидетельствует о высокой значимости модели. Параметры уравнения также проходят тест на значимость на уровне значимости  95%. </w:t>
      </w:r>
      <w:r w:rsidR="003F69EB">
        <w:t>Значения критериев Фишера (</w:t>
      </w:r>
      <w:r w:rsidR="003F69EB">
        <w:rPr>
          <w:lang w:val="en-US"/>
        </w:rPr>
        <w:t>F</w:t>
      </w:r>
      <w:r>
        <w:t>=176,615</w:t>
      </w:r>
      <w:r w:rsidR="003F69EB">
        <w:t>), стандартной ошибки аппроксимации</w:t>
      </w:r>
      <w:r>
        <w:t xml:space="preserve"> (0,122)</w:t>
      </w:r>
      <w:r w:rsidR="003F69EB">
        <w:t xml:space="preserve"> говорят о высокой точности и адекватности модели. Все это свидетельствует о возможности применения выявленной зависимости для дальнейшего анализа.</w:t>
      </w:r>
    </w:p>
    <w:p w:rsidR="00FE7407" w:rsidRDefault="00FE7407" w:rsidP="00FE7407">
      <w:pPr>
        <w:pStyle w:val="sdtext"/>
        <w:spacing w:line="240" w:lineRule="auto"/>
      </w:pPr>
      <w:r>
        <w:t>Все это свидетельствует о возможности применения выявленной зависимости для дальнейшего анализа.</w:t>
      </w:r>
    </w:p>
    <w:p w:rsidR="003F69EB" w:rsidRDefault="003F69EB" w:rsidP="0013549A">
      <w:pPr>
        <w:pStyle w:val="sdtext"/>
        <w:spacing w:line="240" w:lineRule="auto"/>
      </w:pPr>
    </w:p>
    <w:p w:rsidR="0013549A" w:rsidRDefault="00FE7407" w:rsidP="0013549A">
      <w:pPr>
        <w:tabs>
          <w:tab w:val="left" w:pos="0"/>
          <w:tab w:val="left" w:pos="567"/>
          <w:tab w:val="left" w:pos="1134"/>
          <w:tab w:val="left" w:pos="2835"/>
          <w:tab w:val="left" w:pos="8080"/>
        </w:tabs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84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49A" w:rsidRDefault="008A2F83" w:rsidP="0013549A">
      <w:pPr>
        <w:tabs>
          <w:tab w:val="left" w:pos="0"/>
          <w:tab w:val="left" w:pos="567"/>
          <w:tab w:val="left" w:pos="1134"/>
          <w:tab w:val="left" w:pos="2835"/>
          <w:tab w:val="left" w:pos="8080"/>
        </w:tabs>
        <w:jc w:val="center"/>
      </w:pPr>
      <w:r>
        <w:t xml:space="preserve">Рисунок </w:t>
      </w:r>
      <w:r w:rsidR="0013549A">
        <w:t xml:space="preserve">2 - Оценка ВРП по модели (3) </w:t>
      </w:r>
    </w:p>
    <w:p w:rsidR="0013549A" w:rsidRDefault="0013549A" w:rsidP="0013549A">
      <w:pPr>
        <w:tabs>
          <w:tab w:val="left" w:pos="0"/>
          <w:tab w:val="left" w:pos="567"/>
          <w:tab w:val="left" w:pos="1134"/>
          <w:tab w:val="left" w:pos="2835"/>
          <w:tab w:val="left" w:pos="8080"/>
        </w:tabs>
      </w:pPr>
    </w:p>
    <w:p w:rsidR="0013549A" w:rsidRDefault="0013549A" w:rsidP="0013549A">
      <w:pPr>
        <w:pStyle w:val="sdtext"/>
        <w:spacing w:line="240" w:lineRule="auto"/>
      </w:pPr>
      <w:r>
        <w:t>Для анализа производственной функции используется ряд показателей:</w:t>
      </w:r>
    </w:p>
    <w:p w:rsidR="0013549A" w:rsidRDefault="0013549A" w:rsidP="0013549A">
      <w:pPr>
        <w:pStyle w:val="sdtext"/>
        <w:spacing w:line="240" w:lineRule="auto"/>
      </w:pPr>
      <w:r>
        <w:t>1. Средние эффективности ресурсов.</w:t>
      </w:r>
    </w:p>
    <w:p w:rsidR="0013549A" w:rsidRDefault="0013549A" w:rsidP="0013549A">
      <w:pPr>
        <w:pStyle w:val="sdtext"/>
        <w:spacing w:line="240" w:lineRule="auto"/>
      </w:pPr>
      <w:r>
        <w:t>- средняя по региону производительность труда:</w:t>
      </w:r>
    </w:p>
    <w:p w:rsidR="0013549A" w:rsidRDefault="008A2F83" w:rsidP="0013549A">
      <w:pPr>
        <w:pStyle w:val="sdformula"/>
        <w:rPr>
          <w:lang w:val="ru-RU"/>
        </w:rPr>
      </w:pPr>
      <w:r w:rsidRPr="00FE7407">
        <w:rPr>
          <w:position w:val="-12"/>
        </w:rPr>
        <w:object w:dxaOrig="3280" w:dyaOrig="400">
          <v:shape id="_x0000_i1030" type="#_x0000_t75" style="width:206.7pt;height:24.75pt" o:ole="">
            <v:imagedata r:id="rId18" o:title=""/>
          </v:shape>
          <o:OLEObject Type="Embed" ProgID="Equation.3" ShapeID="_x0000_i1030" DrawAspect="Content" ObjectID="_1617001216" r:id="rId19"/>
        </w:object>
      </w:r>
      <w:r w:rsidR="0013549A">
        <w:rPr>
          <w:lang w:val="ru-RU"/>
        </w:rPr>
        <w:t xml:space="preserve">                              (</w:t>
      </w:r>
      <w:r>
        <w:rPr>
          <w:lang w:val="ru-RU"/>
        </w:rPr>
        <w:t>4</w:t>
      </w:r>
      <w:r w:rsidR="0013549A">
        <w:rPr>
          <w:lang w:val="ru-RU"/>
        </w:rPr>
        <w:t>)</w:t>
      </w:r>
    </w:p>
    <w:p w:rsidR="0013549A" w:rsidRDefault="0013549A" w:rsidP="0013549A">
      <w:pPr>
        <w:pStyle w:val="sdtext"/>
        <w:spacing w:line="240" w:lineRule="auto"/>
      </w:pPr>
      <w:r>
        <w:t>- средняя по региону фондоотдача:</w:t>
      </w:r>
    </w:p>
    <w:p w:rsidR="0013549A" w:rsidRDefault="008A2F83" w:rsidP="0013549A">
      <w:pPr>
        <w:pStyle w:val="sdformula"/>
        <w:rPr>
          <w:lang w:val="ru-RU"/>
        </w:rPr>
      </w:pPr>
      <w:r w:rsidRPr="00192398">
        <w:rPr>
          <w:position w:val="-12"/>
        </w:rPr>
        <w:object w:dxaOrig="3400" w:dyaOrig="400">
          <v:shape id="_x0000_i1031" type="#_x0000_t75" style="width:154.85pt;height:17.05pt" o:ole="">
            <v:imagedata r:id="rId20" o:title=""/>
          </v:shape>
          <o:OLEObject Type="Embed" ProgID="Equation.3" ShapeID="_x0000_i1031" DrawAspect="Content" ObjectID="_1617001217" r:id="rId21"/>
        </w:object>
      </w:r>
      <w:r w:rsidR="0013549A">
        <w:rPr>
          <w:lang w:val="ru-RU"/>
        </w:rPr>
        <w:t xml:space="preserve">                              (</w:t>
      </w:r>
      <w:r>
        <w:rPr>
          <w:lang w:val="ru-RU"/>
        </w:rPr>
        <w:t>5</w:t>
      </w:r>
      <w:r w:rsidR="0013549A">
        <w:rPr>
          <w:lang w:val="ru-RU"/>
        </w:rPr>
        <w:t>)</w:t>
      </w:r>
    </w:p>
    <w:p w:rsidR="0013549A" w:rsidRDefault="0013549A" w:rsidP="0013549A">
      <w:pPr>
        <w:pStyle w:val="sdtext"/>
        <w:spacing w:line="240" w:lineRule="auto"/>
        <w:ind w:firstLine="720"/>
        <w:jc w:val="left"/>
      </w:pPr>
      <w:r>
        <w:t>Таблица 2 - Средняя эффективность ресурсов (по модели и по факту)</w:t>
      </w:r>
    </w:p>
    <w:tbl>
      <w:tblPr>
        <w:tblW w:w="8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42"/>
        <w:gridCol w:w="2275"/>
        <w:gridCol w:w="1935"/>
        <w:gridCol w:w="1642"/>
        <w:gridCol w:w="1862"/>
      </w:tblGrid>
      <w:tr w:rsidR="0013549A" w:rsidTr="00C45A22">
        <w:trPr>
          <w:trHeight w:val="446"/>
          <w:jc w:val="center"/>
        </w:trPr>
        <w:tc>
          <w:tcPr>
            <w:tcW w:w="1242" w:type="dxa"/>
            <w:noWrap/>
          </w:tcPr>
          <w:p w:rsidR="0013549A" w:rsidRPr="00124029" w:rsidRDefault="0013549A" w:rsidP="00C45A22">
            <w:pPr>
              <w:pStyle w:val="a3"/>
              <w:rPr>
                <w:lang w:val="ru-RU"/>
              </w:rPr>
            </w:pPr>
          </w:p>
        </w:tc>
        <w:tc>
          <w:tcPr>
            <w:tcW w:w="2275" w:type="dxa"/>
            <w:noWrap/>
            <w:vAlign w:val="center"/>
          </w:tcPr>
          <w:p w:rsidR="0013549A" w:rsidRPr="0013549A" w:rsidRDefault="008A2F83" w:rsidP="00C45A22">
            <w:pPr>
              <w:pStyle w:val="a3"/>
              <w:rPr>
                <w:lang w:val="ru-RU"/>
              </w:rPr>
            </w:pPr>
            <w:r>
              <w:t>Y</w:t>
            </w:r>
            <w:r w:rsidR="0013549A" w:rsidRPr="0013549A">
              <w:rPr>
                <w:lang w:val="ru-RU"/>
              </w:rPr>
              <w:t>(</w:t>
            </w:r>
            <w:r w:rsidR="0013549A">
              <w:t>K</w:t>
            </w:r>
            <w:r w:rsidR="0013549A" w:rsidRPr="0013549A">
              <w:rPr>
                <w:lang w:val="ru-RU"/>
              </w:rPr>
              <w:t>,</w:t>
            </w:r>
            <w:r w:rsidR="0013549A">
              <w:t>L</w:t>
            </w:r>
            <w:r w:rsidR="0013549A" w:rsidRPr="0013549A">
              <w:rPr>
                <w:lang w:val="ru-RU"/>
              </w:rPr>
              <w:t>)/</w:t>
            </w:r>
            <w:r w:rsidR="0013549A">
              <w:t>L</w:t>
            </w:r>
            <w:r w:rsidR="0013549A" w:rsidRPr="0013549A">
              <w:rPr>
                <w:lang w:val="ru-RU"/>
              </w:rPr>
              <w:t>, млн.руб./чел.</w:t>
            </w:r>
          </w:p>
        </w:tc>
        <w:tc>
          <w:tcPr>
            <w:tcW w:w="1935" w:type="dxa"/>
            <w:noWrap/>
            <w:vAlign w:val="center"/>
          </w:tcPr>
          <w:p w:rsidR="0013549A" w:rsidRPr="0013549A" w:rsidRDefault="008A2F83" w:rsidP="00C45A22">
            <w:pPr>
              <w:pStyle w:val="a3"/>
              <w:rPr>
                <w:lang w:val="ru-RU"/>
              </w:rPr>
            </w:pPr>
            <w:r>
              <w:t>Y</w:t>
            </w:r>
            <w:r w:rsidR="0013549A" w:rsidRPr="0013549A">
              <w:rPr>
                <w:lang w:val="ru-RU"/>
              </w:rPr>
              <w:t>/</w:t>
            </w:r>
            <w:r w:rsidR="0013549A">
              <w:t>L</w:t>
            </w:r>
            <w:r w:rsidR="0013549A" w:rsidRPr="0013549A">
              <w:rPr>
                <w:lang w:val="ru-RU"/>
              </w:rPr>
              <w:t>, млн.руб./чел.</w:t>
            </w:r>
          </w:p>
        </w:tc>
        <w:tc>
          <w:tcPr>
            <w:tcW w:w="1642" w:type="dxa"/>
            <w:noWrap/>
            <w:vAlign w:val="center"/>
          </w:tcPr>
          <w:p w:rsidR="0013549A" w:rsidRDefault="008A2F83" w:rsidP="00C45A22">
            <w:pPr>
              <w:pStyle w:val="a3"/>
            </w:pPr>
            <w:r>
              <w:t>Y</w:t>
            </w:r>
            <w:r w:rsidR="0013549A">
              <w:t>(K,L)/K</w:t>
            </w:r>
          </w:p>
        </w:tc>
        <w:tc>
          <w:tcPr>
            <w:tcW w:w="1862" w:type="dxa"/>
            <w:noWrap/>
            <w:vAlign w:val="center"/>
          </w:tcPr>
          <w:p w:rsidR="0013549A" w:rsidRDefault="008A2F83" w:rsidP="00C45A22">
            <w:pPr>
              <w:pStyle w:val="a3"/>
            </w:pPr>
            <w:r>
              <w:t>Y</w:t>
            </w:r>
            <w:r w:rsidR="0013549A">
              <w:t>/K</w:t>
            </w:r>
          </w:p>
        </w:tc>
      </w:tr>
      <w:tr w:rsidR="0013549A" w:rsidTr="00C45A22">
        <w:trPr>
          <w:trHeight w:val="248"/>
          <w:jc w:val="center"/>
        </w:trPr>
        <w:tc>
          <w:tcPr>
            <w:tcW w:w="1242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5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5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2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2" w:type="dxa"/>
            <w:noWrap/>
          </w:tcPr>
          <w:p w:rsidR="0013549A" w:rsidRDefault="0013549A" w:rsidP="00C45A22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2000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0,061282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0,053452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0,286786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0,250142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2001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0,072665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0,067766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0,286553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0,267234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2002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0,084519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0,084637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0,280694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0,281087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2003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0,101651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0,093756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0,293958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0,271129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2004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0,110941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0,113894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0,313060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0,321392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2005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0,122971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0,149847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0,331580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0,404048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2006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0,165895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0,182453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0,385835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0,424345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2007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0,215399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0,221882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0,447440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0,460907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2008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0,267248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0,295161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0,486692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0,537526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2009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0,241323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0,281722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0,374159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0,436795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2010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0,335266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0,308169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0,459738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0,422581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lastRenderedPageBreak/>
              <w:t>2011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0,406061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0,353481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0,492131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0,428405</w:t>
            </w:r>
          </w:p>
        </w:tc>
      </w:tr>
      <w:tr w:rsid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2012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0,443380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0,403621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0,485633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sz w:val="24"/>
              </w:rPr>
            </w:pPr>
            <w:r w:rsidRPr="00FE7407">
              <w:rPr>
                <w:sz w:val="24"/>
              </w:rPr>
              <w:t>0,442086</w:t>
            </w:r>
          </w:p>
        </w:tc>
      </w:tr>
      <w:tr w:rsidR="00FE7407" w:rsidRPr="00FE7407" w:rsidTr="00C45A22">
        <w:trPr>
          <w:trHeight w:val="248"/>
          <w:jc w:val="center"/>
        </w:trPr>
        <w:tc>
          <w:tcPr>
            <w:tcW w:w="12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b/>
                <w:sz w:val="24"/>
              </w:rPr>
            </w:pPr>
            <w:r w:rsidRPr="00FE7407">
              <w:rPr>
                <w:b/>
                <w:sz w:val="24"/>
              </w:rPr>
              <w:t>Среднее</w:t>
            </w:r>
          </w:p>
        </w:tc>
        <w:tc>
          <w:tcPr>
            <w:tcW w:w="227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b/>
                <w:sz w:val="24"/>
              </w:rPr>
            </w:pPr>
            <w:r w:rsidRPr="00FE7407">
              <w:rPr>
                <w:b/>
                <w:sz w:val="24"/>
              </w:rPr>
              <w:t>0,202200</w:t>
            </w:r>
          </w:p>
        </w:tc>
        <w:tc>
          <w:tcPr>
            <w:tcW w:w="1935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b/>
                <w:sz w:val="24"/>
              </w:rPr>
            </w:pPr>
            <w:r w:rsidRPr="00FE7407">
              <w:rPr>
                <w:b/>
                <w:sz w:val="24"/>
              </w:rPr>
              <w:t>0,200757</w:t>
            </w:r>
          </w:p>
        </w:tc>
        <w:tc>
          <w:tcPr>
            <w:tcW w:w="164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b/>
                <w:sz w:val="24"/>
              </w:rPr>
            </w:pPr>
            <w:r w:rsidRPr="00FE7407">
              <w:rPr>
                <w:b/>
                <w:sz w:val="24"/>
              </w:rPr>
              <w:t>0,378789</w:t>
            </w:r>
          </w:p>
        </w:tc>
        <w:tc>
          <w:tcPr>
            <w:tcW w:w="1862" w:type="dxa"/>
            <w:noWrap/>
            <w:vAlign w:val="center"/>
          </w:tcPr>
          <w:p w:rsidR="00FE7407" w:rsidRPr="00FE7407" w:rsidRDefault="00FE7407" w:rsidP="00FE7407">
            <w:pPr>
              <w:ind w:firstLine="0"/>
              <w:jc w:val="center"/>
              <w:rPr>
                <w:b/>
                <w:sz w:val="24"/>
              </w:rPr>
            </w:pPr>
            <w:r w:rsidRPr="00FE7407">
              <w:rPr>
                <w:b/>
                <w:sz w:val="24"/>
              </w:rPr>
              <w:t>0,380591</w:t>
            </w:r>
          </w:p>
        </w:tc>
      </w:tr>
    </w:tbl>
    <w:p w:rsidR="0013549A" w:rsidRDefault="0013549A" w:rsidP="0013549A">
      <w:pPr>
        <w:pStyle w:val="sdtext"/>
        <w:spacing w:line="240" w:lineRule="auto"/>
      </w:pPr>
    </w:p>
    <w:p w:rsidR="0013549A" w:rsidRDefault="008A2F83" w:rsidP="0013549A">
      <w:pPr>
        <w:pStyle w:val="sdtext"/>
        <w:spacing w:line="240" w:lineRule="auto"/>
      </w:pPr>
      <w:r>
        <w:t xml:space="preserve">Из таблицы </w:t>
      </w:r>
      <w:r w:rsidR="0013549A">
        <w:t xml:space="preserve">2 видно -  разница в числовых значениях для нашей модели и реальными данными невелика, что свидетельствует о высокой адекватности модели, а незначительные отклонения можно отнести к погрешности в расчетах. В среднем производительность труда по региону за изучаемый период составляет </w:t>
      </w:r>
      <w:r w:rsidR="00FE7407">
        <w:t>202200</w:t>
      </w:r>
      <w:r w:rsidR="0013549A">
        <w:t xml:space="preserve"> руб/чел.</w:t>
      </w:r>
    </w:p>
    <w:p w:rsidR="0013549A" w:rsidRDefault="0013549A" w:rsidP="0013549A">
      <w:pPr>
        <w:pStyle w:val="sdtext"/>
        <w:spacing w:line="240" w:lineRule="auto"/>
      </w:pPr>
      <w:r>
        <w:t>2. Эластичность ресурсов:</w:t>
      </w:r>
    </w:p>
    <w:p w:rsidR="0013549A" w:rsidRPr="00CD2279" w:rsidRDefault="00FE7407" w:rsidP="008A2F83">
      <w:pPr>
        <w:pStyle w:val="sdformula"/>
        <w:jc w:val="center"/>
        <w:rPr>
          <w:lang w:val="ru-RU"/>
        </w:rPr>
      </w:pPr>
      <w:r w:rsidRPr="00FE7407">
        <w:rPr>
          <w:position w:val="-12"/>
        </w:rPr>
        <w:object w:dxaOrig="1480" w:dyaOrig="360">
          <v:shape id="_x0000_i1032" type="#_x0000_t75" style="width:92.9pt;height:23.25pt" o:ole="">
            <v:imagedata r:id="rId22" o:title=""/>
          </v:shape>
          <o:OLEObject Type="Embed" ProgID="Equation.3" ShapeID="_x0000_i1032" DrawAspect="Content" ObjectID="_1617001218" r:id="rId23"/>
        </w:object>
      </w:r>
    </w:p>
    <w:p w:rsidR="008A2F83" w:rsidRPr="008A2F83" w:rsidRDefault="008A2F83" w:rsidP="008A2F83">
      <w:pPr>
        <w:pStyle w:val="sdformula"/>
        <w:jc w:val="center"/>
        <w:rPr>
          <w:lang w:val="ru-RU"/>
        </w:rPr>
      </w:pPr>
      <w:r w:rsidRPr="00FE7407">
        <w:rPr>
          <w:position w:val="-12"/>
        </w:rPr>
        <w:object w:dxaOrig="4280" w:dyaOrig="380">
          <v:shape id="_x0000_i1033" type="#_x0000_t75" style="width:267.85pt;height:24pt" o:ole="">
            <v:imagedata r:id="rId24" o:title=""/>
          </v:shape>
          <o:OLEObject Type="Embed" ProgID="Equation.3" ShapeID="_x0000_i1033" DrawAspect="Content" ObjectID="_1617001219" r:id="rId25"/>
        </w:object>
      </w:r>
    </w:p>
    <w:p w:rsidR="0013549A" w:rsidRDefault="0013549A" w:rsidP="0013549A">
      <w:pPr>
        <w:pStyle w:val="sdtext"/>
        <w:spacing w:line="240" w:lineRule="auto"/>
      </w:pPr>
      <w:r>
        <w:t xml:space="preserve">Эластичность ресурса показывает, на сколько измениться ВРП при изменении основных фондов </w:t>
      </w:r>
      <w:r>
        <w:rPr>
          <w:lang w:val="en-US"/>
        </w:rPr>
        <w:t>K</w:t>
      </w:r>
      <w:r>
        <w:t xml:space="preserve">/трудового ресурса </w:t>
      </w:r>
      <w:r>
        <w:rPr>
          <w:lang w:val="en-US"/>
        </w:rPr>
        <w:t>L</w:t>
      </w:r>
      <w:r>
        <w:t xml:space="preserve"> на 1%. </w:t>
      </w:r>
    </w:p>
    <w:p w:rsidR="0013549A" w:rsidRDefault="0013549A" w:rsidP="0013549A">
      <w:pPr>
        <w:pStyle w:val="sdtext"/>
        <w:spacing w:line="240" w:lineRule="auto"/>
      </w:pPr>
      <w:r>
        <w:t>3. Относительные эластичности ресурсов:</w:t>
      </w:r>
    </w:p>
    <w:p w:rsidR="0013549A" w:rsidRPr="00CD2279" w:rsidRDefault="008A2F83" w:rsidP="008A2F83">
      <w:pPr>
        <w:pStyle w:val="sdformula"/>
        <w:jc w:val="center"/>
        <w:rPr>
          <w:lang w:val="ru-RU"/>
        </w:rPr>
      </w:pPr>
      <w:r w:rsidRPr="00192398">
        <w:rPr>
          <w:position w:val="-32"/>
        </w:rPr>
        <w:object w:dxaOrig="2460" w:dyaOrig="760">
          <v:shape id="_x0000_i1034" type="#_x0000_t75" style="width:164.15pt;height:41.05pt" o:ole="">
            <v:imagedata r:id="rId26" o:title=""/>
          </v:shape>
          <o:OLEObject Type="Embed" ProgID="Equation.3" ShapeID="_x0000_i1034" DrawAspect="Content" ObjectID="_1617001220" r:id="rId27"/>
        </w:object>
      </w:r>
      <w:r w:rsidR="0013549A" w:rsidRPr="00CD2279">
        <w:rPr>
          <w:lang w:val="ru-RU"/>
        </w:rPr>
        <w:t xml:space="preserve"> </w:t>
      </w:r>
      <w:r w:rsidR="00FE7407" w:rsidRPr="00FE7407">
        <w:rPr>
          <w:lang w:val="ru-RU"/>
        </w:rPr>
        <w:t>0,1180</w:t>
      </w:r>
    </w:p>
    <w:p w:rsidR="0013549A" w:rsidRPr="00CD2279" w:rsidRDefault="006005A1" w:rsidP="008A2F83">
      <w:pPr>
        <w:pStyle w:val="sdformula"/>
        <w:jc w:val="center"/>
        <w:rPr>
          <w:lang w:val="ru-RU"/>
        </w:rPr>
      </w:pPr>
      <w:r w:rsidRPr="00192398">
        <w:rPr>
          <w:position w:val="-12"/>
        </w:rPr>
        <w:object w:dxaOrig="2820" w:dyaOrig="380">
          <v:shape id="_x0000_i1035" type="#_x0000_t75" style="width:186.6pt;height:20.15pt" o:ole="">
            <v:imagedata r:id="rId28" o:title=""/>
          </v:shape>
          <o:OLEObject Type="Embed" ProgID="Equation.3" ShapeID="_x0000_i1035" DrawAspect="Content" ObjectID="_1617001221" r:id="rId29"/>
        </w:object>
      </w:r>
    </w:p>
    <w:p w:rsidR="0013549A" w:rsidRDefault="0013549A" w:rsidP="0013549A">
      <w:pPr>
        <w:pStyle w:val="sdtext"/>
        <w:spacing w:line="240" w:lineRule="auto"/>
      </w:pPr>
      <w:r>
        <w:t>Относительные показатели эластичности показывают долевой вклад каждого ресурса в конечный выход.</w:t>
      </w:r>
    </w:p>
    <w:p w:rsidR="0013549A" w:rsidRDefault="0013549A" w:rsidP="0013549A">
      <w:pPr>
        <w:pStyle w:val="sdtext"/>
        <w:spacing w:line="240" w:lineRule="auto"/>
      </w:pPr>
      <w:r>
        <w:t>Исходя из полученных значений видно, что трудовые ресурсы обладают существенно больней эластичностью и их долевой вклад</w:t>
      </w:r>
      <w:r w:rsidR="006005A1">
        <w:t xml:space="preserve"> (88,2%)</w:t>
      </w:r>
      <w:r>
        <w:t xml:space="preserve"> в конечный продукт значительно выше капитала</w:t>
      </w:r>
      <w:r w:rsidR="006005A1">
        <w:t xml:space="preserve"> (11,8%).</w:t>
      </w:r>
    </w:p>
    <w:p w:rsidR="006005A1" w:rsidRDefault="006005A1" w:rsidP="0013549A">
      <w:pPr>
        <w:pStyle w:val="sdtext"/>
        <w:spacing w:line="240" w:lineRule="auto"/>
      </w:pPr>
    </w:p>
    <w:p w:rsidR="0013549A" w:rsidRDefault="0013549A" w:rsidP="0013549A">
      <w:pPr>
        <w:pStyle w:val="sdtext"/>
        <w:spacing w:line="240" w:lineRule="auto"/>
      </w:pPr>
      <w:r>
        <w:t xml:space="preserve">4. Производственная функция характеризуется определенной отдачей от расширения масштабов производства с точки зрения изменения выпуска продукции при пропорциональном изменении затрат ресурсов, которое математически выражается в умножении всех компонент вектора </w:t>
      </w:r>
      <w:r>
        <w:rPr>
          <w:lang w:val="en-US"/>
        </w:rPr>
        <w:t>x</w:t>
      </w:r>
      <w:r>
        <w:t xml:space="preserve"> на положительный скаляр </w:t>
      </w:r>
      <w:r>
        <w:rPr>
          <w:lang w:val="en-US"/>
        </w:rPr>
        <w:t>t</w:t>
      </w:r>
      <w:r>
        <w:t xml:space="preserve">.  Принято говорить, что скалярная функция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 xml:space="preserve">) является однородной функцией степени </w:t>
      </w:r>
      <w:r w:rsidRPr="00192398">
        <w:rPr>
          <w:position w:val="-6"/>
        </w:rPr>
        <w:object w:dxaOrig="220" w:dyaOrig="279">
          <v:shape id="_x0000_i1036" type="#_x0000_t75" style="width:14.7pt;height:17.8pt;mso-position-horizontal-relative:page;mso-position-vertical-relative:page" o:ole="">
            <v:imagedata r:id="rId30" o:title=""/>
          </v:shape>
          <o:OLEObject Type="Embed" ProgID="Equation.3" ShapeID="_x0000_i1036" DrawAspect="Content" ObjectID="_1617001222" r:id="rId31"/>
        </w:object>
      </w:r>
      <w:r>
        <w:t xml:space="preserve">, если для любого вектора </w:t>
      </w:r>
      <w:r>
        <w:rPr>
          <w:lang w:val="en-US"/>
        </w:rPr>
        <w:t>x</w:t>
      </w:r>
      <w:r>
        <w:t xml:space="preserve"> и любого скаляра </w:t>
      </w:r>
      <w:r>
        <w:rPr>
          <w:lang w:val="en-US"/>
        </w:rPr>
        <w:t>t</w:t>
      </w:r>
      <w:r>
        <w:t xml:space="preserve"> она удовлетворяет соотношению:</w:t>
      </w:r>
    </w:p>
    <w:p w:rsidR="0013549A" w:rsidRDefault="00F53B90" w:rsidP="006005A1">
      <w:pPr>
        <w:pStyle w:val="sdtext"/>
        <w:spacing w:line="240" w:lineRule="auto"/>
        <w:jc w:val="center"/>
      </w:pPr>
      <w:r w:rsidRPr="00B70E66">
        <w:rPr>
          <w:position w:val="-12"/>
        </w:rPr>
        <w:object w:dxaOrig="3940" w:dyaOrig="380">
          <v:shape id="_x0000_i1037" type="#_x0000_t75" style="width:254.7pt;height:24.75pt" o:ole="">
            <v:imagedata r:id="rId32" o:title=""/>
          </v:shape>
          <o:OLEObject Type="Embed" ProgID="Equation.3" ShapeID="_x0000_i1037" DrawAspect="Content" ObjectID="_1617001223" r:id="rId33"/>
        </w:object>
      </w:r>
    </w:p>
    <w:p w:rsidR="0013549A" w:rsidRDefault="0013549A" w:rsidP="0013549A">
      <w:pPr>
        <w:pStyle w:val="sdtext"/>
        <w:spacing w:line="240" w:lineRule="auto"/>
      </w:pPr>
      <w:r w:rsidRPr="00192398">
        <w:rPr>
          <w:position w:val="-6"/>
        </w:rPr>
        <w:object w:dxaOrig="220" w:dyaOrig="279">
          <v:shape id="_x0000_i1038" type="#_x0000_t75" style="width:15.5pt;height:19.35pt;mso-position-horizontal-relative:page;mso-position-vertical-relative:page" o:ole="">
            <v:imagedata r:id="rId34" o:title=""/>
          </v:shape>
          <o:OLEObject Type="Embed" ProgID="Equation.3" ShapeID="_x0000_i1038" DrawAspect="Content" ObjectID="_1617001224" r:id="rId35"/>
        </w:object>
      </w:r>
      <w:r>
        <w:t>&gt; 1, производственная функция характеризуется возрастающей отдачей от расширения масштабов производства.</w:t>
      </w:r>
    </w:p>
    <w:p w:rsidR="006005A1" w:rsidRDefault="006005A1" w:rsidP="0013549A">
      <w:pPr>
        <w:pStyle w:val="sdtext"/>
        <w:spacing w:line="240" w:lineRule="auto"/>
      </w:pPr>
    </w:p>
    <w:p w:rsidR="0013549A" w:rsidRDefault="0013549A" w:rsidP="0013549A">
      <w:pPr>
        <w:pStyle w:val="sdtext"/>
        <w:spacing w:line="240" w:lineRule="auto"/>
      </w:pPr>
      <w:r>
        <w:t>5. Возможности замещения ресурсов.</w:t>
      </w:r>
    </w:p>
    <w:p w:rsidR="0013549A" w:rsidRDefault="0013549A" w:rsidP="0013549A">
      <w:pPr>
        <w:pStyle w:val="sdtext"/>
        <w:spacing w:line="240" w:lineRule="auto"/>
      </w:pPr>
      <w:r>
        <w:t xml:space="preserve">Возможность взаимного замещения ресурсов означает, что одно и то же количество продукта </w:t>
      </w:r>
      <w:r>
        <w:rPr>
          <w:lang w:val="en-US"/>
        </w:rPr>
        <w:t>y</w:t>
      </w:r>
      <w:r>
        <w:t xml:space="preserve"> может быть произведено при различных сочетаниях ресурсов. </w:t>
      </w:r>
    </w:p>
    <w:p w:rsidR="0013549A" w:rsidRDefault="0013549A" w:rsidP="0013549A">
      <w:pPr>
        <w:pStyle w:val="sdtext"/>
        <w:spacing w:line="240" w:lineRule="auto"/>
      </w:pPr>
      <w:r>
        <w:t xml:space="preserve">а) изокванта - это совокупность сочетаний ресурсов (точек в пространстве ресурсов), при которых может быть произведено определенное количество продукции </w:t>
      </w:r>
      <w:r>
        <w:rPr>
          <w:lang w:val="en-US"/>
        </w:rPr>
        <w:t>y</w:t>
      </w:r>
      <w:r>
        <w:t xml:space="preserve">. </w:t>
      </w:r>
    </w:p>
    <w:p w:rsidR="0013549A" w:rsidRDefault="0013549A" w:rsidP="0013549A">
      <w:pPr>
        <w:pStyle w:val="sdtext"/>
        <w:spacing w:line="240" w:lineRule="auto"/>
      </w:pPr>
      <w:r>
        <w:t xml:space="preserve">В данном случае мы выразили основные фонды через трудовые ресурсы, принимая во внимание относительную не стабильность ресурса </w:t>
      </w:r>
      <w:r>
        <w:rPr>
          <w:lang w:val="en-US"/>
        </w:rPr>
        <w:t>L</w:t>
      </w:r>
      <w:r>
        <w:t xml:space="preserve"> (демографические факторы - Тульская область является одним из лидеров по уровню смертности, миграция - миграционные потоки могут весьма резко меняться из-за экономического состояния региона) и относительную устойчивость во времени основных фондов. ВРП взяли уровня </w:t>
      </w:r>
      <w:r w:rsidR="006005A1">
        <w:t>2012</w:t>
      </w:r>
      <w:r>
        <w:t xml:space="preserve"> года (см. рисунок 3). </w:t>
      </w:r>
    </w:p>
    <w:p w:rsidR="006005A1" w:rsidRDefault="006005A1" w:rsidP="0013549A">
      <w:pPr>
        <w:pStyle w:val="sdtext"/>
        <w:spacing w:line="240" w:lineRule="auto"/>
        <w:ind w:firstLine="0"/>
        <w:jc w:val="center"/>
      </w:pPr>
    </w:p>
    <w:p w:rsidR="0013549A" w:rsidRDefault="003A1F87" w:rsidP="006005A1">
      <w:pPr>
        <w:pStyle w:val="sdtext"/>
        <w:keepNext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4584700" cy="27559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49A" w:rsidRDefault="0013549A" w:rsidP="0013549A">
      <w:pPr>
        <w:pStyle w:val="sdtext"/>
        <w:spacing w:line="240" w:lineRule="auto"/>
        <w:jc w:val="center"/>
      </w:pPr>
      <w:r>
        <w:t>Рисунок 3 - Изокванта функции (3) для выпуска, соответствующему ВРП 20</w:t>
      </w:r>
      <w:r w:rsidR="003A1F87">
        <w:t>12</w:t>
      </w:r>
      <w:r>
        <w:t xml:space="preserve"> г.</w:t>
      </w:r>
    </w:p>
    <w:p w:rsidR="0013549A" w:rsidRDefault="0013549A" w:rsidP="0013549A">
      <w:pPr>
        <w:pStyle w:val="sdtext"/>
        <w:spacing w:line="240" w:lineRule="auto"/>
        <w:jc w:val="center"/>
      </w:pPr>
    </w:p>
    <w:p w:rsidR="0013549A" w:rsidRDefault="0013549A" w:rsidP="0013549A">
      <w:pPr>
        <w:pStyle w:val="sdtext"/>
        <w:spacing w:line="240" w:lineRule="auto"/>
      </w:pPr>
      <w:r>
        <w:t xml:space="preserve">б) предельная норма замещения одного ресурса другим - показывает сколько второго ресурса может быть высвобождено при увеличении затрат первого ресурса, если выпуск продукта остается неизменным. </w:t>
      </w:r>
    </w:p>
    <w:p w:rsidR="0013549A" w:rsidRDefault="003A1F87" w:rsidP="003A1F87">
      <w:pPr>
        <w:pStyle w:val="sdtext"/>
        <w:spacing w:line="240" w:lineRule="auto"/>
        <w:ind w:firstLine="0"/>
        <w:jc w:val="center"/>
      </w:pPr>
      <w:r w:rsidRPr="003A1F87">
        <w:rPr>
          <w:position w:val="-32"/>
        </w:rPr>
        <w:object w:dxaOrig="6220" w:dyaOrig="760">
          <v:shape id="_x0000_i1039" type="#_x0000_t75" style="width:289.55pt;height:35.6pt" o:ole="">
            <v:imagedata r:id="rId37" o:title=""/>
          </v:shape>
          <o:OLEObject Type="Embed" ProgID="Equation.3" ShapeID="_x0000_i1039" DrawAspect="Content" ObjectID="_1617001225" r:id="rId38"/>
        </w:object>
      </w:r>
    </w:p>
    <w:p w:rsidR="003A1F87" w:rsidRDefault="003A1F87" w:rsidP="003A1F87">
      <w:pPr>
        <w:pStyle w:val="sdtext"/>
        <w:spacing w:line="240" w:lineRule="auto"/>
        <w:ind w:firstLine="0"/>
        <w:jc w:val="center"/>
      </w:pPr>
    </w:p>
    <w:p w:rsidR="0013549A" w:rsidRDefault="0013549A" w:rsidP="0013549A">
      <w:pPr>
        <w:pStyle w:val="sdtext"/>
        <w:spacing w:line="240" w:lineRule="auto"/>
      </w:pPr>
      <w:r>
        <w:t>в) эластичность замещения ресурсов - количественная характеристика скорости изменения предельной нормы замещения вдоль изокванты.</w:t>
      </w:r>
    </w:p>
    <w:p w:rsidR="00B70E66" w:rsidRDefault="0013549A" w:rsidP="00B70E66">
      <w:pPr>
        <w:pStyle w:val="sdformula"/>
        <w:jc w:val="center"/>
      </w:pPr>
      <w:r w:rsidRPr="00192398">
        <w:rPr>
          <w:position w:val="-28"/>
        </w:rPr>
        <w:object w:dxaOrig="2320" w:dyaOrig="660">
          <v:shape id="_x0000_i1040" type="#_x0000_t75" style="width:136.25pt;height:37.95pt;mso-position-horizontal-relative:page;mso-position-vertical-relative:page" o:ole="">
            <v:imagedata r:id="rId39" o:title=""/>
          </v:shape>
          <o:OLEObject Type="Embed" ProgID="Equation.3" ShapeID="_x0000_i1040" DrawAspect="Content" ObjectID="_1617001226" r:id="rId40"/>
        </w:object>
      </w:r>
    </w:p>
    <w:p w:rsidR="0013549A" w:rsidRDefault="0013549A" w:rsidP="0013549A">
      <w:pPr>
        <w:pStyle w:val="sdtext"/>
        <w:spacing w:line="240" w:lineRule="auto"/>
      </w:pPr>
      <w:r>
        <w:t>Эластичность замещения ресурсов приближенно показывает, на сколько процентов должно измениться отношение ресурсов при движении вдоль изокванты, чтобы при этом предельная норма замещения изменилась на 1%.</w:t>
      </w:r>
    </w:p>
    <w:p w:rsidR="0013549A" w:rsidRDefault="0013549A" w:rsidP="0013549A">
      <w:pPr>
        <w:pStyle w:val="sdtext"/>
        <w:spacing w:line="240" w:lineRule="auto"/>
      </w:pPr>
      <w:r>
        <w:t>Следует отметить, что как математическая модель, данная производственная функция обладает следующими недостатками:</w:t>
      </w:r>
    </w:p>
    <w:p w:rsidR="0013549A" w:rsidRDefault="0013549A" w:rsidP="0013549A">
      <w:pPr>
        <w:pStyle w:val="sdtext"/>
        <w:spacing w:line="240" w:lineRule="auto"/>
      </w:pPr>
      <w:r>
        <w:t xml:space="preserve">- для нормированной ПФ </w:t>
      </w:r>
      <w:r w:rsidRPr="00192398">
        <w:rPr>
          <w:position w:val="-22"/>
        </w:rPr>
        <w:object w:dxaOrig="1780" w:dyaOrig="480">
          <v:shape id="_x0000_i1041" type="#_x0000_t75" style="width:100.65pt;height:27.1pt;mso-position-horizontal-relative:page;mso-position-vertical-relative:page" o:ole="">
            <v:imagedata r:id="rId41" o:title=""/>
          </v:shape>
          <o:OLEObject Type="Embed" ProgID="Equation.3" ShapeID="_x0000_i1041" DrawAspect="Content" ObjectID="_1617001227" r:id="rId42"/>
        </w:object>
      </w:r>
      <w:r>
        <w:t xml:space="preserve"> т.е. производительность труда неограниченно растет с ростом фондовооруженности. Для реальных систем должен существовать некоторый предел производительности труда;</w:t>
      </w:r>
    </w:p>
    <w:p w:rsidR="0013549A" w:rsidRDefault="0013549A" w:rsidP="0013549A">
      <w:pPr>
        <w:pStyle w:val="sdtext"/>
        <w:spacing w:line="240" w:lineRule="auto"/>
      </w:pPr>
      <w:r>
        <w:t xml:space="preserve">- для изокванты </w:t>
      </w:r>
      <w:r w:rsidRPr="00192398">
        <w:rPr>
          <w:position w:val="-26"/>
        </w:rPr>
        <w:object w:dxaOrig="1560" w:dyaOrig="520">
          <v:shape id="_x0000_i1042" type="#_x0000_t75" style="width:83.6pt;height:27.85pt;mso-position-horizontal-relative:page;mso-position-vertical-relative:page" o:ole="">
            <v:imagedata r:id="rId43" o:title=""/>
          </v:shape>
          <o:OLEObject Type="Embed" ProgID="Equation.3" ShapeID="_x0000_i1042" DrawAspect="Content" ObjectID="_1617001228" r:id="rId44"/>
        </w:object>
      </w:r>
      <w:r w:rsidRPr="00192398">
        <w:rPr>
          <w:position w:val="-26"/>
        </w:rPr>
        <w:object w:dxaOrig="1600" w:dyaOrig="520">
          <v:shape id="_x0000_i1043" type="#_x0000_t75" style="width:89.05pt;height:29.4pt;mso-position-horizontal-relative:page;mso-position-vertical-relative:page" o:ole="">
            <v:imagedata r:id="rId45" o:title=""/>
          </v:shape>
          <o:OLEObject Type="Embed" ProgID="Equation.3" ShapeID="_x0000_i1043" DrawAspect="Content" ObjectID="_1617001229" r:id="rId46"/>
        </w:object>
      </w:r>
    </w:p>
    <w:p w:rsidR="0013549A" w:rsidRDefault="0013549A" w:rsidP="0013549A">
      <w:pPr>
        <w:pStyle w:val="sdtext"/>
        <w:spacing w:line="240" w:lineRule="auto"/>
      </w:pPr>
      <w:r>
        <w:t>Получается, что выпуск продукции в требуемом объеме возможен при сколь угодно малом количестве одного из ресурсов и достаточных запасах другого ресурса. Для реальных систем должны существовать минимально необходимые объемы каждого ресурса.</w:t>
      </w:r>
    </w:p>
    <w:p w:rsidR="0013549A" w:rsidRDefault="0013549A" w:rsidP="0013549A">
      <w:pPr>
        <w:pStyle w:val="sdtext"/>
        <w:spacing w:line="240" w:lineRule="auto"/>
      </w:pPr>
      <w:r>
        <w:t xml:space="preserve">Тем не менее, анализ построенной функции позволяет сделать ряд важных выводов. Во-первых, значимость трудовых ресурсов в экономике региона как по сравнению с основными фондами, так и по сравнению с этим же показателем на российском уровне, достаточно высока. Учитывая неблагоприятную демографическую ситуацию в регионе, можно сделать достаточно пессимистический прогноз развития экономики Тульской области. Во-вторых, учитывая высокую эластичность трудовых ресурсов, грамотное управление ими позволит улучшить тенденции развития экономики региона, что требует пристального внимания органов управления к ситуации на рынке труда. </w:t>
      </w:r>
    </w:p>
    <w:p w:rsidR="0013549A" w:rsidRDefault="0013549A" w:rsidP="0013549A">
      <w:bookmarkStart w:id="0" w:name="_GoBack"/>
      <w:bookmarkEnd w:id="0"/>
    </w:p>
    <w:sectPr w:rsidR="0013549A" w:rsidSect="00192398"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19" w:rsidRDefault="001C7919" w:rsidP="00A81D5C">
      <w:r>
        <w:separator/>
      </w:r>
    </w:p>
  </w:endnote>
  <w:endnote w:type="continuationSeparator" w:id="0">
    <w:p w:rsidR="001C7919" w:rsidRDefault="001C7919" w:rsidP="00A8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19" w:rsidRDefault="001C7919" w:rsidP="00A81D5C">
      <w:r>
        <w:separator/>
      </w:r>
    </w:p>
  </w:footnote>
  <w:footnote w:type="continuationSeparator" w:id="0">
    <w:p w:rsidR="001C7919" w:rsidRDefault="001C7919" w:rsidP="00A81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5C" w:rsidRDefault="00A81D5C" w:rsidP="00A81D5C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A81D5C" w:rsidRDefault="00A81D5C" w:rsidP="00A81D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81D5C" w:rsidRDefault="00A81D5C" w:rsidP="00A81D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81D5C" w:rsidRDefault="00A81D5C" w:rsidP="00A81D5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81D5C" w:rsidRDefault="00A81D5C">
    <w:pPr>
      <w:pStyle w:val="a7"/>
    </w:pPr>
  </w:p>
  <w:p w:rsidR="00A81D5C" w:rsidRDefault="00A81D5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9A"/>
    <w:rsid w:val="00021EEF"/>
    <w:rsid w:val="0003183F"/>
    <w:rsid w:val="00034DB5"/>
    <w:rsid w:val="000468D8"/>
    <w:rsid w:val="00050FA3"/>
    <w:rsid w:val="000715D8"/>
    <w:rsid w:val="00097C8F"/>
    <w:rsid w:val="000A1502"/>
    <w:rsid w:val="000C3316"/>
    <w:rsid w:val="000D1B0D"/>
    <w:rsid w:val="000D7A7B"/>
    <w:rsid w:val="000E4022"/>
    <w:rsid w:val="000E52F5"/>
    <w:rsid w:val="000F1561"/>
    <w:rsid w:val="00104113"/>
    <w:rsid w:val="001041DF"/>
    <w:rsid w:val="001152D0"/>
    <w:rsid w:val="00131DDB"/>
    <w:rsid w:val="0013549A"/>
    <w:rsid w:val="00140CB1"/>
    <w:rsid w:val="00142E17"/>
    <w:rsid w:val="00145B58"/>
    <w:rsid w:val="00161E7F"/>
    <w:rsid w:val="001626AB"/>
    <w:rsid w:val="0017155F"/>
    <w:rsid w:val="00171FB2"/>
    <w:rsid w:val="00172286"/>
    <w:rsid w:val="0019042B"/>
    <w:rsid w:val="00190B51"/>
    <w:rsid w:val="00192398"/>
    <w:rsid w:val="001A55DD"/>
    <w:rsid w:val="001B1336"/>
    <w:rsid w:val="001B29BF"/>
    <w:rsid w:val="001C0F4B"/>
    <w:rsid w:val="001C397B"/>
    <w:rsid w:val="001C55B4"/>
    <w:rsid w:val="001C6A1C"/>
    <w:rsid w:val="001C7919"/>
    <w:rsid w:val="00207EE3"/>
    <w:rsid w:val="002129BE"/>
    <w:rsid w:val="00214FA7"/>
    <w:rsid w:val="002329BB"/>
    <w:rsid w:val="00235876"/>
    <w:rsid w:val="00237E59"/>
    <w:rsid w:val="0025719D"/>
    <w:rsid w:val="002579BB"/>
    <w:rsid w:val="00261C76"/>
    <w:rsid w:val="00263ED8"/>
    <w:rsid w:val="00277EE6"/>
    <w:rsid w:val="002A672A"/>
    <w:rsid w:val="002B3E39"/>
    <w:rsid w:val="002B4628"/>
    <w:rsid w:val="002B7D1D"/>
    <w:rsid w:val="002F0125"/>
    <w:rsid w:val="00303704"/>
    <w:rsid w:val="00323F3A"/>
    <w:rsid w:val="003566FE"/>
    <w:rsid w:val="00364A7A"/>
    <w:rsid w:val="0037645D"/>
    <w:rsid w:val="00380A22"/>
    <w:rsid w:val="003A1F87"/>
    <w:rsid w:val="003B14A4"/>
    <w:rsid w:val="003B2F00"/>
    <w:rsid w:val="003B6090"/>
    <w:rsid w:val="003B6215"/>
    <w:rsid w:val="003D0DD4"/>
    <w:rsid w:val="003F59AF"/>
    <w:rsid w:val="003F69EB"/>
    <w:rsid w:val="00427440"/>
    <w:rsid w:val="00432A2B"/>
    <w:rsid w:val="00454BF8"/>
    <w:rsid w:val="00460232"/>
    <w:rsid w:val="004679EB"/>
    <w:rsid w:val="00470DDF"/>
    <w:rsid w:val="00477A30"/>
    <w:rsid w:val="00484DA6"/>
    <w:rsid w:val="00484DBB"/>
    <w:rsid w:val="004B32FC"/>
    <w:rsid w:val="004F0934"/>
    <w:rsid w:val="004F3707"/>
    <w:rsid w:val="005036E2"/>
    <w:rsid w:val="005151B9"/>
    <w:rsid w:val="00527998"/>
    <w:rsid w:val="005508DB"/>
    <w:rsid w:val="0055208E"/>
    <w:rsid w:val="005609B7"/>
    <w:rsid w:val="005715A9"/>
    <w:rsid w:val="00594560"/>
    <w:rsid w:val="005A3A9C"/>
    <w:rsid w:val="005B09EE"/>
    <w:rsid w:val="005C156D"/>
    <w:rsid w:val="005C3892"/>
    <w:rsid w:val="005C6FAB"/>
    <w:rsid w:val="005D2D38"/>
    <w:rsid w:val="005D3796"/>
    <w:rsid w:val="005D7DE8"/>
    <w:rsid w:val="005E7353"/>
    <w:rsid w:val="005F4FE7"/>
    <w:rsid w:val="005F545E"/>
    <w:rsid w:val="005F5FBC"/>
    <w:rsid w:val="005F7348"/>
    <w:rsid w:val="005F7E02"/>
    <w:rsid w:val="006005A1"/>
    <w:rsid w:val="0060390D"/>
    <w:rsid w:val="00605B20"/>
    <w:rsid w:val="00605E7F"/>
    <w:rsid w:val="0061718C"/>
    <w:rsid w:val="00640005"/>
    <w:rsid w:val="00645CBA"/>
    <w:rsid w:val="006512E3"/>
    <w:rsid w:val="006513A5"/>
    <w:rsid w:val="006526A1"/>
    <w:rsid w:val="006552B0"/>
    <w:rsid w:val="0069108C"/>
    <w:rsid w:val="00691D87"/>
    <w:rsid w:val="006A6299"/>
    <w:rsid w:val="006C1CC4"/>
    <w:rsid w:val="006C4818"/>
    <w:rsid w:val="006D4976"/>
    <w:rsid w:val="006D7431"/>
    <w:rsid w:val="006E3C03"/>
    <w:rsid w:val="006E6971"/>
    <w:rsid w:val="006F19A6"/>
    <w:rsid w:val="006F3569"/>
    <w:rsid w:val="0071070E"/>
    <w:rsid w:val="00723A04"/>
    <w:rsid w:val="00735BC6"/>
    <w:rsid w:val="00736B90"/>
    <w:rsid w:val="007423D3"/>
    <w:rsid w:val="0075028B"/>
    <w:rsid w:val="007515B3"/>
    <w:rsid w:val="00760827"/>
    <w:rsid w:val="0076236A"/>
    <w:rsid w:val="007638FB"/>
    <w:rsid w:val="007653E3"/>
    <w:rsid w:val="00781DA6"/>
    <w:rsid w:val="0078389E"/>
    <w:rsid w:val="00783C15"/>
    <w:rsid w:val="007A3DD9"/>
    <w:rsid w:val="007B5159"/>
    <w:rsid w:val="007D5D58"/>
    <w:rsid w:val="007E087B"/>
    <w:rsid w:val="007E09A6"/>
    <w:rsid w:val="007F1C4A"/>
    <w:rsid w:val="007F743A"/>
    <w:rsid w:val="008057FA"/>
    <w:rsid w:val="00821179"/>
    <w:rsid w:val="00850C5E"/>
    <w:rsid w:val="00872693"/>
    <w:rsid w:val="008728C3"/>
    <w:rsid w:val="008927A0"/>
    <w:rsid w:val="00895E14"/>
    <w:rsid w:val="008A2F83"/>
    <w:rsid w:val="008B2012"/>
    <w:rsid w:val="008C2B1C"/>
    <w:rsid w:val="008C4219"/>
    <w:rsid w:val="008D0F5C"/>
    <w:rsid w:val="008D518C"/>
    <w:rsid w:val="008D5DAE"/>
    <w:rsid w:val="008E43C0"/>
    <w:rsid w:val="008E563D"/>
    <w:rsid w:val="0090371A"/>
    <w:rsid w:val="00913469"/>
    <w:rsid w:val="009173F2"/>
    <w:rsid w:val="00920016"/>
    <w:rsid w:val="00922E9D"/>
    <w:rsid w:val="00924BCD"/>
    <w:rsid w:val="00937C5A"/>
    <w:rsid w:val="0094002C"/>
    <w:rsid w:val="00944997"/>
    <w:rsid w:val="00970018"/>
    <w:rsid w:val="009760DB"/>
    <w:rsid w:val="00977460"/>
    <w:rsid w:val="009946E2"/>
    <w:rsid w:val="009A279E"/>
    <w:rsid w:val="009C2106"/>
    <w:rsid w:val="009C7BFB"/>
    <w:rsid w:val="009C7C66"/>
    <w:rsid w:val="009D096E"/>
    <w:rsid w:val="009E0DAC"/>
    <w:rsid w:val="009E6C27"/>
    <w:rsid w:val="009F0FDB"/>
    <w:rsid w:val="00A01ABD"/>
    <w:rsid w:val="00A11E84"/>
    <w:rsid w:val="00A30B59"/>
    <w:rsid w:val="00A374FD"/>
    <w:rsid w:val="00A4079E"/>
    <w:rsid w:val="00A81D5C"/>
    <w:rsid w:val="00A828B3"/>
    <w:rsid w:val="00A841D8"/>
    <w:rsid w:val="00A918E6"/>
    <w:rsid w:val="00A9575F"/>
    <w:rsid w:val="00AB6A13"/>
    <w:rsid w:val="00AC0FF9"/>
    <w:rsid w:val="00B02351"/>
    <w:rsid w:val="00B10A2B"/>
    <w:rsid w:val="00B12C69"/>
    <w:rsid w:val="00B27DAE"/>
    <w:rsid w:val="00B31F2B"/>
    <w:rsid w:val="00B45AC4"/>
    <w:rsid w:val="00B6087D"/>
    <w:rsid w:val="00B70E66"/>
    <w:rsid w:val="00B71804"/>
    <w:rsid w:val="00B87E85"/>
    <w:rsid w:val="00B92DD3"/>
    <w:rsid w:val="00BB5D12"/>
    <w:rsid w:val="00BC74D1"/>
    <w:rsid w:val="00BD7891"/>
    <w:rsid w:val="00BF06D0"/>
    <w:rsid w:val="00BF2208"/>
    <w:rsid w:val="00C30F37"/>
    <w:rsid w:val="00C42770"/>
    <w:rsid w:val="00C45A22"/>
    <w:rsid w:val="00C91786"/>
    <w:rsid w:val="00CA2EF6"/>
    <w:rsid w:val="00CA4898"/>
    <w:rsid w:val="00CB719D"/>
    <w:rsid w:val="00CC35B0"/>
    <w:rsid w:val="00CE7B48"/>
    <w:rsid w:val="00CF0089"/>
    <w:rsid w:val="00D0392F"/>
    <w:rsid w:val="00D047DD"/>
    <w:rsid w:val="00D07801"/>
    <w:rsid w:val="00D1120B"/>
    <w:rsid w:val="00D22773"/>
    <w:rsid w:val="00D25123"/>
    <w:rsid w:val="00D26479"/>
    <w:rsid w:val="00D35DF1"/>
    <w:rsid w:val="00D4372C"/>
    <w:rsid w:val="00D50B96"/>
    <w:rsid w:val="00D66CDA"/>
    <w:rsid w:val="00D73390"/>
    <w:rsid w:val="00D85C35"/>
    <w:rsid w:val="00DA13D5"/>
    <w:rsid w:val="00DA2AC9"/>
    <w:rsid w:val="00DC371F"/>
    <w:rsid w:val="00E001D6"/>
    <w:rsid w:val="00E04085"/>
    <w:rsid w:val="00E1067A"/>
    <w:rsid w:val="00E24FC7"/>
    <w:rsid w:val="00E25902"/>
    <w:rsid w:val="00E33535"/>
    <w:rsid w:val="00E44A16"/>
    <w:rsid w:val="00E74C82"/>
    <w:rsid w:val="00E80172"/>
    <w:rsid w:val="00EC1F0D"/>
    <w:rsid w:val="00EC3AAB"/>
    <w:rsid w:val="00ED02CC"/>
    <w:rsid w:val="00EE2DB7"/>
    <w:rsid w:val="00EE48DC"/>
    <w:rsid w:val="00EE62F8"/>
    <w:rsid w:val="00F361C1"/>
    <w:rsid w:val="00F370C8"/>
    <w:rsid w:val="00F53B90"/>
    <w:rsid w:val="00F5691D"/>
    <w:rsid w:val="00F63FEE"/>
    <w:rsid w:val="00F83373"/>
    <w:rsid w:val="00F93151"/>
    <w:rsid w:val="00FB51B2"/>
    <w:rsid w:val="00FD3884"/>
    <w:rsid w:val="00FE2EA6"/>
    <w:rsid w:val="00F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81D5C"/>
    <w:pPr>
      <w:keepNext/>
      <w:spacing w:before="240" w:after="120" w:line="276" w:lineRule="auto"/>
      <w:ind w:firstLine="0"/>
      <w:jc w:val="left"/>
      <w:outlineLvl w:val="2"/>
    </w:pPr>
    <w:rPr>
      <w:rFonts w:ascii="Liberation Sans" w:eastAsia="Microsoft YaHei" w:hAnsi="Liberation Sans" w:cs="Mangal"/>
      <w:color w:val="auto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D5C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4"/>
    <w:rsid w:val="0013549A"/>
    <w:pPr>
      <w:ind w:firstLine="0"/>
    </w:pPr>
    <w:rPr>
      <w:color w:val="333333"/>
      <w:lang w:val="en-US"/>
    </w:rPr>
  </w:style>
  <w:style w:type="paragraph" w:customStyle="1" w:styleId="sdtext">
    <w:name w:val="sd text"/>
    <w:rsid w:val="0013549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sdformula">
    <w:name w:val="sd formula"/>
    <w:basedOn w:val="sdtext"/>
    <w:rsid w:val="0013549A"/>
    <w:pPr>
      <w:spacing w:before="140" w:after="140" w:line="240" w:lineRule="auto"/>
      <w:ind w:firstLine="0"/>
      <w:jc w:val="right"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13549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35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49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8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D5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D5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81D5C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81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A81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"/>
    <w:basedOn w:val="a4"/>
    <w:rsid w:val="0013549A"/>
    <w:pPr>
      <w:ind w:firstLine="0"/>
    </w:pPr>
    <w:rPr>
      <w:color w:val="333333"/>
      <w:lang w:val="en-US"/>
    </w:rPr>
  </w:style>
  <w:style w:type="paragraph" w:customStyle="1" w:styleId="sdtext">
    <w:name w:val="sd text"/>
    <w:rsid w:val="0013549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sdformula">
    <w:name w:val="sd formula"/>
    <w:basedOn w:val="sdtext"/>
    <w:rsid w:val="0013549A"/>
    <w:pPr>
      <w:spacing w:before="140" w:after="140" w:line="240" w:lineRule="auto"/>
      <w:ind w:firstLine="0"/>
      <w:jc w:val="right"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13549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35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49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Silesta</dc:creator>
  <cp:lastModifiedBy>саша</cp:lastModifiedBy>
  <cp:revision>5</cp:revision>
  <dcterms:created xsi:type="dcterms:W3CDTF">2017-01-12T06:22:00Z</dcterms:created>
  <dcterms:modified xsi:type="dcterms:W3CDTF">2019-04-17T07:13:00Z</dcterms:modified>
</cp:coreProperties>
</file>