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5" w:rsidRDefault="00864065" w:rsidP="008640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864065" w:rsidRDefault="00864065" w:rsidP="0086406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1</w:t>
      </w:r>
    </w:p>
    <w:p w:rsidR="00DA0F79" w:rsidRPr="00487D24" w:rsidRDefault="00DA0F79" w:rsidP="00DA0F79">
      <w:pPr>
        <w:tabs>
          <w:tab w:val="left" w:pos="3767"/>
        </w:tabs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:rsidR="00DA0F79" w:rsidRPr="00864065" w:rsidRDefault="00DA0F79" w:rsidP="00DA0F79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г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м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м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 xml:space="preserve"> а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т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Pr="00864065">
        <w:rPr>
          <w:rFonts w:ascii="Estrangelo Edessa" w:hAnsi="Estrangelo Edessa" w:cs="Estrangelo Edessa"/>
          <w:b/>
          <w:noProof/>
          <w:spacing w:val="-20000"/>
          <w:sz w:val="2"/>
          <w:szCs w:val="2"/>
          <w:rtl/>
          <w:lang w:bidi="syr-SY"/>
        </w:rPr>
        <w:t>ܲ</w:t>
      </w:r>
      <w:r w:rsidRPr="0086406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af7"/>
        <w:tblW w:w="8789" w:type="dxa"/>
        <w:tblInd w:w="250" w:type="dxa"/>
        <w:tblLayout w:type="fixed"/>
        <w:tblLook w:val="01E0"/>
      </w:tblPr>
      <w:tblGrid>
        <w:gridCol w:w="567"/>
        <w:gridCol w:w="567"/>
        <w:gridCol w:w="1701"/>
        <w:gridCol w:w="142"/>
        <w:gridCol w:w="4252"/>
        <w:gridCol w:w="1560"/>
      </w:tblGrid>
      <w:tr w:rsidR="00DA0F79" w:rsidRPr="00487D24" w:rsidTr="00A66F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</w:p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</w:tr>
      <w:tr w:rsidR="00DA0F79" w:rsidRPr="00487D24" w:rsidTr="00A66F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1. О Б Щ А Я    Ч А С Т Ь</w:t>
            </w:r>
          </w:p>
        </w:tc>
      </w:tr>
      <w:tr w:rsidR="00DA0F79" w:rsidRPr="00487D24" w:rsidTr="00A66FF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F79" w:rsidRPr="00487D24" w:rsidRDefault="00DA0F79" w:rsidP="00A66FF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1.1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2A0B43" w:rsidRDefault="00DA0F79" w:rsidP="0086406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центра на рынке с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услуг Б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ш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д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цели р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2A0B43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2A0B4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центра.</w:t>
            </w:r>
          </w:p>
          <w:p w:rsidR="00DA0F79" w:rsidRPr="00487D24" w:rsidRDefault="00DA0F79" w:rsidP="0086406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 ф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,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ш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).</w:t>
            </w:r>
          </w:p>
          <w:p w:rsidR="00DA0F79" w:rsidRPr="00487D24" w:rsidRDefault="00DA0F79" w:rsidP="0086406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(полная 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ф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платы).</w:t>
            </w:r>
          </w:p>
          <w:p w:rsidR="00DA0F79" w:rsidRPr="00487D24" w:rsidRDefault="00DA0F79" w:rsidP="0086406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Охрана труда и 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отдела кадров</w:t>
            </w:r>
          </w:p>
        </w:tc>
      </w:tr>
      <w:tr w:rsidR="00DA0F79" w:rsidRPr="00487D24" w:rsidTr="00A66FF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F79" w:rsidRPr="00487D24" w:rsidRDefault="00DA0F79" w:rsidP="00A66FF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1.2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Личное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его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8640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Показ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щ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Показ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служб.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отдела кадров</w:t>
            </w:r>
          </w:p>
        </w:tc>
      </w:tr>
      <w:tr w:rsidR="00DA0F79" w:rsidRPr="00487D24" w:rsidTr="00A66FF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F79" w:rsidRPr="00487D24" w:rsidRDefault="00DA0F79" w:rsidP="00A66FF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1.3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местом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8640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виды 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).</w:t>
            </w:r>
          </w:p>
          <w:p w:rsidR="00DA0F79" w:rsidRPr="00487D24" w:rsidRDefault="00DA0F79" w:rsidP="008640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щ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работы и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ъ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данной 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того, как она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в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целом.</w:t>
            </w:r>
          </w:p>
          <w:p w:rsidR="00DA0F79" w:rsidRPr="00487D24" w:rsidRDefault="00DA0F79" w:rsidP="008640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работы и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ее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режим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дня (о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время).</w:t>
            </w:r>
          </w:p>
          <w:p w:rsidR="00DA0F79" w:rsidRPr="00487D24" w:rsidRDefault="00DA0F79" w:rsidP="0086406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Виды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ее 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(замена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ю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щ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ю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щ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отдела кадров</w:t>
            </w:r>
          </w:p>
        </w:tc>
      </w:tr>
      <w:tr w:rsidR="00DA0F79" w:rsidRPr="00487D24" w:rsidTr="00A66FF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F79" w:rsidRPr="00487D24" w:rsidRDefault="00DA0F79" w:rsidP="00A66FF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ЭТАП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1.4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8640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ъ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задач и 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 работе.</w:t>
            </w:r>
          </w:p>
          <w:p w:rsidR="00DA0F79" w:rsidRPr="00487D24" w:rsidRDefault="00DA0F79" w:rsidP="008640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Ответы на 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) нового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По схеме, 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п.1.3</w:t>
            </w:r>
          </w:p>
        </w:tc>
      </w:tr>
    </w:tbl>
    <w:p w:rsidR="00DA0F79" w:rsidRDefault="00DA0F79" w:rsidP="00DA0F79"/>
    <w:p w:rsidR="00DA0F79" w:rsidRDefault="00DA0F79" w:rsidP="00DA0F79"/>
    <w:p w:rsidR="00DA0F79" w:rsidRDefault="00DA0F79" w:rsidP="00DA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0F79" w:rsidRDefault="00DA0F79" w:rsidP="00DA0F79">
      <w:pPr>
        <w:rPr>
          <w:rFonts w:ascii="Times New Roman" w:hAnsi="Times New Roman" w:cs="Times New Roman"/>
          <w:sz w:val="24"/>
          <w:szCs w:val="24"/>
        </w:rPr>
      </w:pPr>
    </w:p>
    <w:p w:rsidR="00DA0F79" w:rsidRDefault="00DA0F79" w:rsidP="00DA0F79">
      <w:pPr>
        <w:rPr>
          <w:rFonts w:ascii="Times New Roman" w:hAnsi="Times New Roman" w:cs="Times New Roman"/>
          <w:sz w:val="24"/>
          <w:szCs w:val="24"/>
        </w:rPr>
      </w:pPr>
    </w:p>
    <w:p w:rsidR="00DA0F79" w:rsidRDefault="00DA0F79" w:rsidP="00DA0F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</w:p>
    <w:p w:rsidR="00DA0F79" w:rsidRPr="00CA02C7" w:rsidRDefault="00DA0F79" w:rsidP="00DA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7"/>
        <w:tblW w:w="8789" w:type="dxa"/>
        <w:tblInd w:w="250" w:type="dxa"/>
        <w:tblLayout w:type="fixed"/>
        <w:tblLook w:val="01E0"/>
      </w:tblPr>
      <w:tblGrid>
        <w:gridCol w:w="425"/>
        <w:gridCol w:w="567"/>
        <w:gridCol w:w="1657"/>
        <w:gridCol w:w="4928"/>
        <w:gridCol w:w="1212"/>
      </w:tblGrid>
      <w:tr w:rsidR="00DA0F79" w:rsidRPr="00487D24" w:rsidTr="00A66FF6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ind w:left="34" w:right="34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2. И Н Д И В И Д У А Л Ь Н А Я    Ч А С Т Ь</w:t>
            </w:r>
          </w:p>
        </w:tc>
      </w:tr>
      <w:tr w:rsidR="00DA0F79" w:rsidRPr="00487D24" w:rsidTr="00A66FF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F79" w:rsidRPr="00487D24" w:rsidRDefault="00DA0F79" w:rsidP="00A66FF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2.1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86406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видов 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DA0F79" w:rsidRPr="00487D24" w:rsidRDefault="00DA0F79" w:rsidP="00864065">
            <w:pPr>
              <w:numPr>
                <w:ilvl w:val="1"/>
                <w:numId w:val="5"/>
              </w:numPr>
              <w:tabs>
                <w:tab w:val="num" w:pos="968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DA0F79" w:rsidRPr="00487D24" w:rsidRDefault="00DA0F79" w:rsidP="00864065">
            <w:pPr>
              <w:numPr>
                <w:ilvl w:val="1"/>
                <w:numId w:val="5"/>
              </w:numPr>
              <w:tabs>
                <w:tab w:val="num" w:pos="968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DA0F79" w:rsidRPr="00487D24" w:rsidRDefault="00DA0F79" w:rsidP="00864065">
            <w:pPr>
              <w:numPr>
                <w:ilvl w:val="1"/>
                <w:numId w:val="5"/>
              </w:numPr>
              <w:tabs>
                <w:tab w:val="num" w:pos="968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норм и правил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Спец. по адаптации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</w:tr>
      <w:tr w:rsidR="00DA0F79" w:rsidRPr="00487D24" w:rsidTr="00A66FF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F79" w:rsidRPr="00487D24" w:rsidRDefault="00DA0F79" w:rsidP="00A66FF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2.2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86406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Помощь в 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ж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работы.</w:t>
            </w:r>
          </w:p>
          <w:p w:rsidR="00DA0F79" w:rsidRPr="00487D24" w:rsidRDefault="00DA0F79" w:rsidP="0086406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Оценка 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я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нового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По схеме, 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п.1.3</w:t>
            </w:r>
          </w:p>
        </w:tc>
      </w:tr>
      <w:tr w:rsidR="00DA0F79" w:rsidRPr="00487D24" w:rsidTr="00A66FF6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3.  С О С Т А В Л Е Н И Е     О Т Ч Е Т А</w:t>
            </w:r>
          </w:p>
        </w:tc>
      </w:tr>
      <w:tr w:rsidR="00DA0F79" w:rsidRPr="00487D24" w:rsidTr="00A66FF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0F79" w:rsidRPr="00487D24" w:rsidRDefault="00DA0F79" w:rsidP="00A66FF6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3.1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ч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итогам 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86406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нового с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DA0F79" w:rsidRPr="00487D24" w:rsidRDefault="00DA0F79" w:rsidP="0086406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 в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л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й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Спец. по адаптации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</w:p>
          <w:p w:rsidR="00DA0F79" w:rsidRPr="00487D24" w:rsidRDefault="00DA0F79" w:rsidP="00A66F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  <w:r w:rsidRPr="00487D2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 w:rsidRPr="00487D24">
              <w:rPr>
                <w:rFonts w:ascii="Estrangelo Edessa" w:hAnsi="Estrangelo Edessa" w:cs="Estrangelo Edessa"/>
                <w:noProof/>
                <w:spacing w:val="-20000"/>
                <w:sz w:val="2"/>
                <w:szCs w:val="2"/>
                <w:rtl/>
                <w:lang w:bidi="syr-SY"/>
              </w:rPr>
              <w:t>ܲ</w:t>
            </w:r>
          </w:p>
        </w:tc>
      </w:tr>
    </w:tbl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86406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Toc452824648"/>
      <w:r>
        <w:rPr>
          <w:rFonts w:ascii="Times New Roman" w:hAnsi="Times New Roman" w:cs="Times New Roman"/>
          <w:b/>
          <w:sz w:val="28"/>
          <w:szCs w:val="28"/>
        </w:rPr>
        <w:t>Лист 2</w:t>
      </w:r>
    </w:p>
    <w:p w:rsidR="00864065" w:rsidRDefault="00864065" w:rsidP="008640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65" w:rsidRPr="00864065" w:rsidRDefault="00864065" w:rsidP="0086406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65">
        <w:rPr>
          <w:rFonts w:ascii="Times New Roman" w:hAnsi="Times New Roman" w:cs="Times New Roman"/>
          <w:b/>
          <w:sz w:val="28"/>
          <w:szCs w:val="28"/>
        </w:rPr>
        <w:t>План – график внедрения проекта в 2016 г. в ГБУ ТЦСО «Зеленоградский»</w:t>
      </w:r>
      <w:bookmarkEnd w:id="1"/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15"/>
        <w:tblW w:w="8789" w:type="dxa"/>
        <w:tblInd w:w="250" w:type="dxa"/>
        <w:tblLayout w:type="fixed"/>
        <w:tblLook w:val="01E0"/>
      </w:tblPr>
      <w:tblGrid>
        <w:gridCol w:w="1134"/>
        <w:gridCol w:w="6022"/>
        <w:gridCol w:w="1633"/>
      </w:tblGrid>
      <w:tr w:rsidR="00864065" w:rsidRPr="00487D24" w:rsidTr="00A66FF6">
        <w:trPr>
          <w:trHeight w:val="510"/>
        </w:trPr>
        <w:tc>
          <w:tcPr>
            <w:tcW w:w="1134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Месяц</w:t>
            </w:r>
          </w:p>
        </w:tc>
        <w:tc>
          <w:tcPr>
            <w:tcW w:w="6022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Мероприятие</w:t>
            </w:r>
          </w:p>
        </w:tc>
        <w:tc>
          <w:tcPr>
            <w:tcW w:w="1633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Ответственный</w:t>
            </w:r>
          </w:p>
        </w:tc>
      </w:tr>
      <w:tr w:rsidR="00864065" w:rsidRPr="00487D24" w:rsidTr="00A66FF6">
        <w:trPr>
          <w:trHeight w:val="701"/>
        </w:trPr>
        <w:tc>
          <w:tcPr>
            <w:tcW w:w="1134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Сентябрь</w:t>
            </w:r>
          </w:p>
        </w:tc>
        <w:tc>
          <w:tcPr>
            <w:tcW w:w="6022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Подбор и назначение руководителя процесса адаптации и закрепление за ним функций.</w:t>
            </w:r>
          </w:p>
        </w:tc>
        <w:tc>
          <w:tcPr>
            <w:tcW w:w="1633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Директор</w:t>
            </w:r>
          </w:p>
        </w:tc>
      </w:tr>
      <w:tr w:rsidR="00864065" w:rsidRPr="00487D24" w:rsidTr="00A66FF6">
        <w:trPr>
          <w:trHeight w:val="824"/>
        </w:trPr>
        <w:tc>
          <w:tcPr>
            <w:tcW w:w="1134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Октябрь</w:t>
            </w:r>
          </w:p>
        </w:tc>
        <w:tc>
          <w:tcPr>
            <w:tcW w:w="6022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Утверждение стандарта адаптации. Создание рабочей группы и разработка программ адаптации.</w:t>
            </w:r>
          </w:p>
        </w:tc>
        <w:tc>
          <w:tcPr>
            <w:tcW w:w="1633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Руководитель процесса адаптации</w:t>
            </w:r>
          </w:p>
        </w:tc>
      </w:tr>
      <w:tr w:rsidR="00864065" w:rsidRPr="00487D24" w:rsidTr="00A66FF6">
        <w:trPr>
          <w:trHeight w:val="706"/>
        </w:trPr>
        <w:tc>
          <w:tcPr>
            <w:tcW w:w="1134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Ноябрь</w:t>
            </w:r>
          </w:p>
        </w:tc>
        <w:tc>
          <w:tcPr>
            <w:tcW w:w="6022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Учреждение наставничества. Обучение наставников.</w:t>
            </w:r>
          </w:p>
        </w:tc>
        <w:tc>
          <w:tcPr>
            <w:tcW w:w="1633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 xml:space="preserve">Линейные руководители </w:t>
            </w:r>
          </w:p>
        </w:tc>
      </w:tr>
      <w:tr w:rsidR="00864065" w:rsidRPr="00487D24" w:rsidTr="00A66FF6">
        <w:trPr>
          <w:trHeight w:val="1331"/>
        </w:trPr>
        <w:tc>
          <w:tcPr>
            <w:tcW w:w="1134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Декабрь – август</w:t>
            </w:r>
          </w:p>
        </w:tc>
        <w:tc>
          <w:tcPr>
            <w:tcW w:w="6022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Создание методических материалов; разработка схемы материального и морального стимулирования  адаптационных программ; разъяснительная работа в коллективе; обратная связь сотрудников центра о готовности к внедрению системы; запуск системы.</w:t>
            </w:r>
          </w:p>
        </w:tc>
        <w:tc>
          <w:tcPr>
            <w:tcW w:w="1633" w:type="dxa"/>
          </w:tcPr>
          <w:p w:rsidR="00864065" w:rsidRPr="00487D24" w:rsidRDefault="00864065" w:rsidP="00A66FF6">
            <w:pPr>
              <w:contextualSpacing/>
              <w:jc w:val="both"/>
            </w:pPr>
            <w:r w:rsidRPr="00487D24">
              <w:t>Руководитель процесса адаптации</w:t>
            </w:r>
          </w:p>
        </w:tc>
      </w:tr>
    </w:tbl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64065" w:rsidRDefault="00864065" w:rsidP="0086406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3</w:t>
      </w:r>
    </w:p>
    <w:p w:rsidR="00864065" w:rsidRDefault="00864065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Pr="009D688E" w:rsidRDefault="00DA0F79" w:rsidP="00DA0F79">
      <w:pPr>
        <w:spacing w:after="0" w:line="360" w:lineRule="auto"/>
        <w:contextualSpacing/>
        <w:jc w:val="center"/>
      </w:pPr>
      <w:r w:rsidRPr="00487D24">
        <w:rPr>
          <w:rFonts w:ascii="Times New Roman" w:hAnsi="Times New Roman" w:cs="Times New Roman"/>
          <w:sz w:val="28"/>
          <w:szCs w:val="28"/>
        </w:rPr>
        <w:t>План подготовки персонала ГБУ ТЦСО «Зеленоградский» к внедрению проекта</w:t>
      </w:r>
      <w:r w:rsidRPr="00487D24">
        <w:t>.</w:t>
      </w:r>
    </w:p>
    <w:tbl>
      <w:tblPr>
        <w:tblStyle w:val="af7"/>
        <w:tblW w:w="0" w:type="auto"/>
        <w:tblInd w:w="250" w:type="dxa"/>
        <w:tblLook w:val="01E0"/>
      </w:tblPr>
      <w:tblGrid>
        <w:gridCol w:w="486"/>
        <w:gridCol w:w="4036"/>
        <w:gridCol w:w="2757"/>
        <w:gridCol w:w="1510"/>
      </w:tblGrid>
      <w:tr w:rsidR="00DA0F79" w:rsidRPr="00487D24" w:rsidTr="00A66FF6">
        <w:trPr>
          <w:trHeight w:val="400"/>
        </w:trPr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F79" w:rsidRPr="00487D24" w:rsidTr="00A66FF6">
        <w:trPr>
          <w:trHeight w:val="507"/>
        </w:trPr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Назначение руководителя процесса адаптации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Первая стадия внедрения проекта</w:t>
            </w:r>
          </w:p>
        </w:tc>
      </w:tr>
      <w:tr w:rsidR="00DA0F79" w:rsidRPr="00487D24" w:rsidTr="00A66FF6">
        <w:trPr>
          <w:trHeight w:val="502"/>
        </w:trPr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Утверждение стандарта адаптации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Первая стадия внедрения проекта</w:t>
            </w:r>
          </w:p>
        </w:tc>
      </w:tr>
      <w:tr w:rsidR="00DA0F79" w:rsidRPr="00487D24" w:rsidTr="00A66FF6"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инструкции по адаптации. </w:t>
            </w:r>
          </w:p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программ адаптации.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Директор,  специалист отдела кадров;</w:t>
            </w:r>
          </w:p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 xml:space="preserve">линейные руководители, руководитель процесса </w:t>
            </w:r>
            <w:r w:rsidRPr="008B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стадия внедрения проекта</w:t>
            </w:r>
          </w:p>
        </w:tc>
      </w:tr>
      <w:tr w:rsidR="00DA0F79" w:rsidRPr="00487D24" w:rsidTr="00A66FF6">
        <w:trPr>
          <w:trHeight w:val="770"/>
        </w:trPr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Учреждение наставничества.</w:t>
            </w:r>
          </w:p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Обучение наставников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Специалист отдела кадров; руководитель процесса адаптации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Первая стадия внедрения проекта</w:t>
            </w:r>
          </w:p>
        </w:tc>
      </w:tr>
      <w:tr w:rsidR="00DA0F79" w:rsidRPr="00487D24" w:rsidTr="00A66FF6">
        <w:trPr>
          <w:trHeight w:val="994"/>
        </w:trPr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в центре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Руководители подразделений, руководитель процесса адаптации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A0F79" w:rsidRPr="00487D24" w:rsidTr="00A66FF6">
        <w:trPr>
          <w:trHeight w:val="569"/>
        </w:trPr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системы адаптации персонала в центре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Руководитель процесса адаптации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A0F79" w:rsidRPr="00487D24" w:rsidTr="00A66FF6">
        <w:trPr>
          <w:trHeight w:val="690"/>
        </w:trPr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материальной заинтересованности в труде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Директор, Главный бухгалтер, руководитель процесса адаптации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DA0F79" w:rsidRPr="00487D24" w:rsidTr="00A66FF6">
        <w:trPr>
          <w:trHeight w:val="686"/>
        </w:trPr>
        <w:tc>
          <w:tcPr>
            <w:tcW w:w="48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6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Обеспечение обратной связи с работниками на предмет их готовности к внедрению системы</w:t>
            </w:r>
          </w:p>
        </w:tc>
        <w:tc>
          <w:tcPr>
            <w:tcW w:w="2757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Руководитель процесса адаптации</w:t>
            </w:r>
          </w:p>
        </w:tc>
        <w:tc>
          <w:tcPr>
            <w:tcW w:w="1510" w:type="dxa"/>
          </w:tcPr>
          <w:p w:rsidR="00DA0F79" w:rsidRPr="008B2D39" w:rsidRDefault="00DA0F79" w:rsidP="00A66F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DA0F79" w:rsidRDefault="00DA0F79" w:rsidP="00DA0F7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A0F79" w:rsidRPr="00487D24" w:rsidRDefault="00DA0F79" w:rsidP="00DA0F79">
      <w:pPr>
        <w:ind w:left="720" w:hanging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443B0" w:rsidRDefault="006726DC"/>
    <w:sectPr w:rsidR="00B443B0" w:rsidSect="00BA5F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DC" w:rsidRDefault="006726DC" w:rsidP="000F5333">
      <w:pPr>
        <w:spacing w:after="0" w:line="240" w:lineRule="auto"/>
      </w:pPr>
      <w:r>
        <w:separator/>
      </w:r>
    </w:p>
  </w:endnote>
  <w:endnote w:type="continuationSeparator" w:id="0">
    <w:p w:rsidR="006726DC" w:rsidRDefault="006726DC" w:rsidP="000F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DC" w:rsidRDefault="006726DC" w:rsidP="000F5333">
      <w:pPr>
        <w:spacing w:after="0" w:line="240" w:lineRule="auto"/>
      </w:pPr>
      <w:r>
        <w:separator/>
      </w:r>
    </w:p>
  </w:footnote>
  <w:footnote w:type="continuationSeparator" w:id="0">
    <w:p w:rsidR="006726DC" w:rsidRDefault="006726DC" w:rsidP="000F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33" w:rsidRDefault="000F5333" w:rsidP="000F5333">
    <w:pPr>
      <w:pStyle w:val="a8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</w:rPr>
        <w:t>ДЦО.РФ</w:t>
      </w:r>
    </w:hyperlink>
  </w:p>
  <w:p w:rsidR="000F5333" w:rsidRDefault="000F5333" w:rsidP="000F53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F5333" w:rsidRDefault="000F5333" w:rsidP="000F53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F5333" w:rsidRDefault="000F5333" w:rsidP="000F533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0F5333" w:rsidRDefault="000F5333">
    <w:pPr>
      <w:pStyle w:val="a8"/>
    </w:pPr>
  </w:p>
  <w:p w:rsidR="000F5333" w:rsidRDefault="000F53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66D"/>
    <w:multiLevelType w:val="hybridMultilevel"/>
    <w:tmpl w:val="E86280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612A5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2B10"/>
    <w:multiLevelType w:val="hybridMultilevel"/>
    <w:tmpl w:val="104ED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73336"/>
    <w:multiLevelType w:val="hybridMultilevel"/>
    <w:tmpl w:val="633A0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0002E"/>
    <w:multiLevelType w:val="hybridMultilevel"/>
    <w:tmpl w:val="4E2A0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F48CD"/>
    <w:multiLevelType w:val="hybridMultilevel"/>
    <w:tmpl w:val="4F76C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47AC3"/>
    <w:multiLevelType w:val="hybridMultilevel"/>
    <w:tmpl w:val="972844CC"/>
    <w:lvl w:ilvl="0" w:tplc="2CEE225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85BD8"/>
    <w:multiLevelType w:val="hybridMultilevel"/>
    <w:tmpl w:val="CD7A45CE"/>
    <w:lvl w:ilvl="0" w:tplc="4C6E9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1099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F4223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46A2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A899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825F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3613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CCEB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4C5F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79"/>
    <w:rsid w:val="000F5333"/>
    <w:rsid w:val="00426531"/>
    <w:rsid w:val="006726DC"/>
    <w:rsid w:val="00864065"/>
    <w:rsid w:val="00BA5FBD"/>
    <w:rsid w:val="00DA0F79"/>
    <w:rsid w:val="00F6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79"/>
  </w:style>
  <w:style w:type="paragraph" w:styleId="1">
    <w:name w:val="heading 1"/>
    <w:aliases w:val="Заголовок 1 Знак Знак Знак,Заголовок 1 Знак Знак Знак Знак Знак Знак Знак Знак Знак Знак Знак Знак"/>
    <w:basedOn w:val="a"/>
    <w:next w:val="a"/>
    <w:link w:val="10"/>
    <w:uiPriority w:val="99"/>
    <w:qFormat/>
    <w:rsid w:val="00DA0F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A0F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A0F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,Заголовок 1 Знак Знак Знак Знак Знак Знак Знак Знак Знак Знак Знак Знак Знак"/>
    <w:basedOn w:val="a0"/>
    <w:link w:val="1"/>
    <w:uiPriority w:val="99"/>
    <w:rsid w:val="00DA0F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DA0F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0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0F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unhideWhenUsed/>
    <w:rsid w:val="00DA0F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F79"/>
    <w:rPr>
      <w:color w:val="800080" w:themeColor="followedHyperlink"/>
      <w:u w:val="single"/>
    </w:rPr>
  </w:style>
  <w:style w:type="character" w:customStyle="1" w:styleId="11">
    <w:name w:val="Заголовок 1 Знак1"/>
    <w:aliases w:val="Заголовок 1 Знак Знак Знак Знак1,Заголовок 1 Знак Знак Знак Знак Знак Знак Знак Знак Знак Знак Знак Знак Знак1"/>
    <w:basedOn w:val="a0"/>
    <w:uiPriority w:val="99"/>
    <w:rsid w:val="00DA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A0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0F79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DA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A0F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A0F79"/>
    <w:pPr>
      <w:tabs>
        <w:tab w:val="left" w:pos="567"/>
        <w:tab w:val="right" w:leader="dot" w:pos="9072"/>
      </w:tabs>
      <w:spacing w:after="0" w:line="240" w:lineRule="auto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rsid w:val="00DA0F79"/>
    <w:pPr>
      <w:spacing w:after="100"/>
      <w:ind w:left="440"/>
    </w:pPr>
  </w:style>
  <w:style w:type="paragraph" w:styleId="a6">
    <w:name w:val="footnote text"/>
    <w:basedOn w:val="a"/>
    <w:link w:val="a7"/>
    <w:uiPriority w:val="99"/>
    <w:unhideWhenUsed/>
    <w:rsid w:val="00DA0F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0F7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F79"/>
  </w:style>
  <w:style w:type="paragraph" w:styleId="aa">
    <w:name w:val="footer"/>
    <w:basedOn w:val="a"/>
    <w:link w:val="ab"/>
    <w:uiPriority w:val="99"/>
    <w:unhideWhenUsed/>
    <w:rsid w:val="00DA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F79"/>
  </w:style>
  <w:style w:type="paragraph" w:styleId="ac">
    <w:name w:val="Body Text"/>
    <w:basedOn w:val="a"/>
    <w:link w:val="ad"/>
    <w:uiPriority w:val="99"/>
    <w:semiHidden/>
    <w:unhideWhenUsed/>
    <w:rsid w:val="00DA0F79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0F79"/>
    <w:rPr>
      <w:rFonts w:ascii="Calibri" w:eastAsia="Times New Roman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DA0F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A0F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0F79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DA0F79"/>
    <w:pPr>
      <w:spacing w:after="0" w:line="240" w:lineRule="auto"/>
    </w:pPr>
  </w:style>
  <w:style w:type="paragraph" w:styleId="af4">
    <w:name w:val="List Paragraph"/>
    <w:basedOn w:val="a"/>
    <w:uiPriority w:val="99"/>
    <w:qFormat/>
    <w:rsid w:val="00DA0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TOC Heading"/>
    <w:basedOn w:val="1"/>
    <w:next w:val="a"/>
    <w:uiPriority w:val="39"/>
    <w:unhideWhenUsed/>
    <w:qFormat/>
    <w:rsid w:val="00DA0F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ConsPlusTitle">
    <w:name w:val="ConsPlusTitle"/>
    <w:uiPriority w:val="99"/>
    <w:rsid w:val="00DA0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0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A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DA0F79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otnote reference"/>
    <w:basedOn w:val="a0"/>
    <w:uiPriority w:val="99"/>
    <w:semiHidden/>
    <w:unhideWhenUsed/>
    <w:rsid w:val="00DA0F79"/>
    <w:rPr>
      <w:vertAlign w:val="superscript"/>
    </w:rPr>
  </w:style>
  <w:style w:type="character" w:customStyle="1" w:styleId="apple-converted-space">
    <w:name w:val="apple-converted-space"/>
    <w:basedOn w:val="a0"/>
    <w:rsid w:val="00DA0F79"/>
  </w:style>
  <w:style w:type="table" w:styleId="14">
    <w:name w:val="Table Grid 1"/>
    <w:basedOn w:val="a1"/>
    <w:semiHidden/>
    <w:unhideWhenUsed/>
    <w:rsid w:val="00DA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DA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DA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DA0F79"/>
    <w:rPr>
      <w:b/>
      <w:bCs/>
    </w:rPr>
  </w:style>
  <w:style w:type="character" w:customStyle="1" w:styleId="af3">
    <w:name w:val="Без интервала Знак"/>
    <w:basedOn w:val="a0"/>
    <w:link w:val="af2"/>
    <w:uiPriority w:val="1"/>
    <w:rsid w:val="00DA0F79"/>
  </w:style>
  <w:style w:type="character" w:customStyle="1" w:styleId="40">
    <w:name w:val="Заголовок 4 Знак"/>
    <w:basedOn w:val="a0"/>
    <w:link w:val="4"/>
    <w:uiPriority w:val="9"/>
    <w:semiHidden/>
    <w:rsid w:val="000F5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79"/>
  </w:style>
  <w:style w:type="paragraph" w:styleId="1">
    <w:name w:val="heading 1"/>
    <w:aliases w:val="Заголовок 1 Знак Знак Знак,Заголовок 1 Знак Знак Знак Знак Знак Знак Знак Знак Знак Знак Знак Знак"/>
    <w:basedOn w:val="a"/>
    <w:next w:val="a"/>
    <w:link w:val="10"/>
    <w:uiPriority w:val="99"/>
    <w:qFormat/>
    <w:rsid w:val="00DA0F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A0F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A0F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,Заголовок 1 Знак Знак Знак Знак Знак Знак Знак Знак Знак Знак Знак Знак Знак"/>
    <w:basedOn w:val="a0"/>
    <w:link w:val="1"/>
    <w:uiPriority w:val="99"/>
    <w:rsid w:val="00DA0F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DA0F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0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0F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unhideWhenUsed/>
    <w:rsid w:val="00DA0F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F79"/>
    <w:rPr>
      <w:color w:val="800080" w:themeColor="followedHyperlink"/>
      <w:u w:val="single"/>
    </w:rPr>
  </w:style>
  <w:style w:type="character" w:customStyle="1" w:styleId="11">
    <w:name w:val="Заголовок 1 Знак1"/>
    <w:aliases w:val="Заголовок 1 Знак Знак Знак Знак1,Заголовок 1 Знак Знак Знак Знак Знак Знак Знак Знак Знак Знак Знак Знак Знак1"/>
    <w:basedOn w:val="a0"/>
    <w:uiPriority w:val="99"/>
    <w:rsid w:val="00DA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A0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0F79"/>
    <w:rPr>
      <w:rFonts w:ascii="Consolas" w:hAnsi="Consola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DA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A0F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A0F79"/>
    <w:pPr>
      <w:tabs>
        <w:tab w:val="left" w:pos="567"/>
        <w:tab w:val="right" w:leader="dot" w:pos="9072"/>
      </w:tabs>
      <w:spacing w:after="0" w:line="240" w:lineRule="auto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rsid w:val="00DA0F79"/>
    <w:pPr>
      <w:spacing w:after="100"/>
      <w:ind w:left="440"/>
    </w:pPr>
  </w:style>
  <w:style w:type="paragraph" w:styleId="a6">
    <w:name w:val="footnote text"/>
    <w:basedOn w:val="a"/>
    <w:link w:val="a7"/>
    <w:uiPriority w:val="99"/>
    <w:unhideWhenUsed/>
    <w:rsid w:val="00DA0F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0F79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A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0F79"/>
  </w:style>
  <w:style w:type="paragraph" w:styleId="aa">
    <w:name w:val="footer"/>
    <w:basedOn w:val="a"/>
    <w:link w:val="ab"/>
    <w:uiPriority w:val="99"/>
    <w:unhideWhenUsed/>
    <w:rsid w:val="00DA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F79"/>
  </w:style>
  <w:style w:type="paragraph" w:styleId="ac">
    <w:name w:val="Body Text"/>
    <w:basedOn w:val="a"/>
    <w:link w:val="ad"/>
    <w:uiPriority w:val="99"/>
    <w:semiHidden/>
    <w:unhideWhenUsed/>
    <w:rsid w:val="00DA0F79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0F79"/>
    <w:rPr>
      <w:rFonts w:ascii="Calibri" w:eastAsia="Times New Roman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DA0F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A0F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0F79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DA0F79"/>
    <w:pPr>
      <w:spacing w:after="0" w:line="240" w:lineRule="auto"/>
    </w:pPr>
  </w:style>
  <w:style w:type="paragraph" w:styleId="af4">
    <w:name w:val="List Paragraph"/>
    <w:basedOn w:val="a"/>
    <w:uiPriority w:val="99"/>
    <w:qFormat/>
    <w:rsid w:val="00DA0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TOC Heading"/>
    <w:basedOn w:val="1"/>
    <w:next w:val="a"/>
    <w:uiPriority w:val="39"/>
    <w:unhideWhenUsed/>
    <w:qFormat/>
    <w:rsid w:val="00DA0F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ConsPlusTitle">
    <w:name w:val="ConsPlusTitle"/>
    <w:uiPriority w:val="99"/>
    <w:rsid w:val="00DA0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0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A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DA0F79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otnote reference"/>
    <w:basedOn w:val="a0"/>
    <w:uiPriority w:val="99"/>
    <w:semiHidden/>
    <w:unhideWhenUsed/>
    <w:rsid w:val="00DA0F79"/>
    <w:rPr>
      <w:vertAlign w:val="superscript"/>
    </w:rPr>
  </w:style>
  <w:style w:type="character" w:customStyle="1" w:styleId="apple-converted-space">
    <w:name w:val="apple-converted-space"/>
    <w:basedOn w:val="a0"/>
    <w:rsid w:val="00DA0F79"/>
  </w:style>
  <w:style w:type="table" w:styleId="14">
    <w:name w:val="Table Grid 1"/>
    <w:basedOn w:val="a1"/>
    <w:semiHidden/>
    <w:unhideWhenUsed/>
    <w:rsid w:val="00DA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DA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DA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DA0F79"/>
    <w:rPr>
      <w:b/>
      <w:bCs/>
    </w:rPr>
  </w:style>
  <w:style w:type="character" w:customStyle="1" w:styleId="af3">
    <w:name w:val="Без интервала Знак"/>
    <w:basedOn w:val="a0"/>
    <w:link w:val="af2"/>
    <w:uiPriority w:val="1"/>
    <w:rsid w:val="00DA0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3</cp:revision>
  <dcterms:created xsi:type="dcterms:W3CDTF">2016-06-15T17:44:00Z</dcterms:created>
  <dcterms:modified xsi:type="dcterms:W3CDTF">2019-04-17T09:51:00Z</dcterms:modified>
</cp:coreProperties>
</file>