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C0" w:rsidRPr="00250FC0" w:rsidRDefault="00250FC0" w:rsidP="00250F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FC0">
        <w:rPr>
          <w:rFonts w:ascii="Times New Roman" w:hAnsi="Times New Roman" w:cs="Times New Roman"/>
          <w:b/>
          <w:sz w:val="32"/>
          <w:szCs w:val="32"/>
        </w:rPr>
        <w:t>Вопросы к ГОСэкзамену</w:t>
      </w:r>
    </w:p>
    <w:p w:rsidR="00250FC0" w:rsidRPr="00250FC0" w:rsidRDefault="00250FC0" w:rsidP="00250F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FC0">
        <w:rPr>
          <w:rFonts w:ascii="Times New Roman" w:hAnsi="Times New Roman" w:cs="Times New Roman"/>
          <w:sz w:val="32"/>
          <w:szCs w:val="32"/>
        </w:rPr>
        <w:t>(«Бухгалтерский учет, анализ и аудит»)</w:t>
      </w:r>
    </w:p>
    <w:p w:rsidR="00250FC0" w:rsidRDefault="00250FC0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Принципы и общие положения МСФО и их влияние на организацию бухгалтерского учета в России.</w:t>
      </w:r>
    </w:p>
    <w:p w:rsidR="0009675C" w:rsidRPr="00524DB8" w:rsidRDefault="0009675C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Критерии несостоятельности (банкротства) коммерческих организаций в России, характеристика процедур банкротства.</w:t>
      </w:r>
    </w:p>
    <w:p w:rsidR="0009675C" w:rsidRPr="00524DB8" w:rsidRDefault="0009675C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Понятие и виды инвестиций. Цель, задачи и источники инвестиционного анализа. Оценка эффективности инвестиций.</w:t>
      </w:r>
    </w:p>
    <w:p w:rsidR="0009675C" w:rsidRPr="00524DB8" w:rsidRDefault="0009675C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Правила кредитования организаций, учет краткосрочных и долгосрочных кредитов. Учет краткосрочных и долгосрочных займов.</w:t>
      </w:r>
    </w:p>
    <w:p w:rsidR="00B27612" w:rsidRPr="00524DB8" w:rsidRDefault="00B27612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Важнейшие направления Концепции развития бухгалтерского учета и отчетности в РФ на среднесрочную перспективу.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Понятие дебиторской и кредиторской задолженности, ее классификация и оценка. Сроки расчетов исковой давности.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Система показателей оценки экономической эффективности долгосрочных инвестиций.</w:t>
      </w:r>
    </w:p>
    <w:p w:rsidR="00B27612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Состав, порядок учета и распределения по объектам калькуляции общепроизводственных и общехозяйственных расходов.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 организации бухгалтерского учета. Анализ и оценка учетной политики предприятия для целей бухгалтерского и налогового учета.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 операций с наличными денежными средствами, средствами на расчетном и других счетах в банке.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затрат на производство продукции, ее отгрузки и реализации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учета расчетов по оплате труда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 финансовых результатов хозяйственной деятельности организации.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Порядок подготовки и представления письменной информации аудитора руководству экономического субъекта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Содержание аудиторского заключения. Требования к оформлению аудиторского заключения. Безоговорочно положительное мнение, мнение с оговоркой, отрицательное мнение, отказ от выражения мнения в аудиторском заключении.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Аудиторская выборка: понятие, виды, способы формирования. Оценка риска, связанного с использованием выборки, и допустимой ошибки выборки. Анализ результатов выборочной проверки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операций с объектами основных средств и нематериальных активов.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lastRenderedPageBreak/>
        <w:t>Аудит учредительных документов. Проверка формирования уставного капитала и осуществления расчетов с учредителями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Аудиторская оценка событий, произошедших после даты составления бухгалтерской отчетности.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Содержание письма о проведении аудита. Договор оказания аудиторских услуг, его содержание и оформление. Оценка стоимости аудиторских услуг. Изменение аудиторского задания до завершения его выполнения.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учета расчетов по обязательному пенсионному страхованию, обязательному страхованию от несчастных случаев на производстве и профессиональных заболеваний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Понятие и источники получения аудиторских доказательств. Предпосылки подготовки финансовой отчетности. Достаточность и надлежащий характер аудиторских доказательств. Методы получения аудиторских доказательств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Аудиторская оценка применимости допущения непрерывности деятельности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Оценка систем бухгалтерского учета и внутреннего контроля экономического субъекта как неотъемлемая составляющая аудиторской проверки.</w:t>
      </w:r>
    </w:p>
    <w:p w:rsidR="00524DB8" w:rsidRPr="00524DB8" w:rsidRDefault="00524DB8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Понятия и взаимосвязь аудиторского риска, неотъемлемого риска, риска средств контроля и риска необнаружения. Методы определения величин аудиторского риска и его составляющих. Способы снижения аудиторского риска.</w:t>
      </w:r>
    </w:p>
    <w:p w:rsidR="00524DB8" w:rsidRPr="00524DB8" w:rsidRDefault="00524DB8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Основные принципы, задачи и этапы планирования аудиторской проверки. Получение информации о деятельности аудируемого лица. Порядок подготовки и содержание плана и программы аудита</w:t>
      </w:r>
    </w:p>
    <w:p w:rsidR="000505CF" w:rsidRPr="00524DB8" w:rsidRDefault="000505CF" w:rsidP="00524D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75C" w:rsidRPr="00524DB8" w:rsidSect="000505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FF" w:rsidRDefault="002555FF" w:rsidP="00995B1D">
      <w:pPr>
        <w:spacing w:after="0" w:line="240" w:lineRule="auto"/>
      </w:pPr>
      <w:r>
        <w:separator/>
      </w:r>
    </w:p>
  </w:endnote>
  <w:endnote w:type="continuationSeparator" w:id="0">
    <w:p w:rsidR="002555FF" w:rsidRDefault="002555FF" w:rsidP="0099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FF" w:rsidRDefault="002555FF" w:rsidP="00995B1D">
      <w:pPr>
        <w:spacing w:after="0" w:line="240" w:lineRule="auto"/>
      </w:pPr>
      <w:r>
        <w:separator/>
      </w:r>
    </w:p>
  </w:footnote>
  <w:footnote w:type="continuationSeparator" w:id="0">
    <w:p w:rsidR="002555FF" w:rsidRDefault="002555FF" w:rsidP="0099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1D" w:rsidRPr="00541EA1" w:rsidRDefault="00995B1D" w:rsidP="00995B1D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41EA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41EA1">
        <w:rPr>
          <w:rStyle w:val="ac"/>
          <w:b/>
          <w:color w:val="FF0000"/>
          <w:sz w:val="32"/>
          <w:szCs w:val="32"/>
        </w:rPr>
        <w:t>ДЦО.РФ</w:t>
      </w:r>
    </w:hyperlink>
  </w:p>
  <w:p w:rsidR="00995B1D" w:rsidRPr="00541EA1" w:rsidRDefault="00995B1D" w:rsidP="00995B1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41EA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95B1D" w:rsidRPr="00541EA1" w:rsidRDefault="00995B1D" w:rsidP="00995B1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41EA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95B1D" w:rsidRPr="00541EA1" w:rsidRDefault="00995B1D" w:rsidP="00995B1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41EA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41EA1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95B1D" w:rsidRDefault="00995B1D">
    <w:pPr>
      <w:pStyle w:val="a6"/>
    </w:pPr>
  </w:p>
  <w:p w:rsidR="00995B1D" w:rsidRDefault="00995B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A6"/>
    <w:multiLevelType w:val="hybridMultilevel"/>
    <w:tmpl w:val="3194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0805"/>
    <w:multiLevelType w:val="hybridMultilevel"/>
    <w:tmpl w:val="BC6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75C"/>
    <w:rsid w:val="000505CF"/>
    <w:rsid w:val="0009675C"/>
    <w:rsid w:val="00115F88"/>
    <w:rsid w:val="001512DA"/>
    <w:rsid w:val="00250FC0"/>
    <w:rsid w:val="002555FF"/>
    <w:rsid w:val="00293E3E"/>
    <w:rsid w:val="002E33B8"/>
    <w:rsid w:val="004F33D1"/>
    <w:rsid w:val="00524DB8"/>
    <w:rsid w:val="00541EA1"/>
    <w:rsid w:val="00782BE6"/>
    <w:rsid w:val="00995B1D"/>
    <w:rsid w:val="00B27612"/>
    <w:rsid w:val="00CC435C"/>
    <w:rsid w:val="00D404AD"/>
    <w:rsid w:val="00D909B6"/>
    <w:rsid w:val="00E31299"/>
    <w:rsid w:val="00F2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CF"/>
  </w:style>
  <w:style w:type="paragraph" w:styleId="3">
    <w:name w:val="heading 3"/>
    <w:basedOn w:val="a"/>
    <w:link w:val="30"/>
    <w:uiPriority w:val="9"/>
    <w:semiHidden/>
    <w:unhideWhenUsed/>
    <w:qFormat/>
    <w:rsid w:val="00995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95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5C"/>
    <w:pPr>
      <w:ind w:left="720"/>
      <w:contextualSpacing/>
    </w:pPr>
  </w:style>
  <w:style w:type="paragraph" w:styleId="a4">
    <w:name w:val="Body Text"/>
    <w:basedOn w:val="a"/>
    <w:link w:val="a5"/>
    <w:rsid w:val="000967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67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B1D"/>
  </w:style>
  <w:style w:type="paragraph" w:styleId="a8">
    <w:name w:val="footer"/>
    <w:basedOn w:val="a"/>
    <w:link w:val="a9"/>
    <w:uiPriority w:val="99"/>
    <w:semiHidden/>
    <w:unhideWhenUsed/>
    <w:rsid w:val="0099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B1D"/>
  </w:style>
  <w:style w:type="paragraph" w:styleId="aa">
    <w:name w:val="Balloon Text"/>
    <w:basedOn w:val="a"/>
    <w:link w:val="ab"/>
    <w:uiPriority w:val="99"/>
    <w:semiHidden/>
    <w:unhideWhenUsed/>
    <w:rsid w:val="009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5B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95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5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95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10</cp:revision>
  <dcterms:created xsi:type="dcterms:W3CDTF">2015-09-24T04:55:00Z</dcterms:created>
  <dcterms:modified xsi:type="dcterms:W3CDTF">2019-09-27T09:35:00Z</dcterms:modified>
</cp:coreProperties>
</file>