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3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Таблица 1</w:t>
      </w:r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Состав основных фондов АО «Иркутскэнергоремонт»</w:t>
      </w:r>
    </w:p>
    <w:p w:rsidR="00BB7EB8" w:rsidRPr="00202C5B" w:rsidRDefault="00BB7EB8" w:rsidP="00202C5B">
      <w:pPr>
        <w:jc w:val="right"/>
        <w:rPr>
          <w:sz w:val="28"/>
          <w:szCs w:val="28"/>
        </w:rPr>
      </w:pPr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noProof/>
          <w:sz w:val="28"/>
          <w:szCs w:val="28"/>
        </w:rPr>
        <w:drawing>
          <wp:inline distT="0" distB="0" distL="0" distR="0">
            <wp:extent cx="5936615" cy="358394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B8" w:rsidRPr="00202C5B" w:rsidRDefault="00BB7EB8" w:rsidP="00202C5B">
      <w:pPr>
        <w:jc w:val="right"/>
        <w:rPr>
          <w:sz w:val="28"/>
          <w:szCs w:val="28"/>
        </w:rPr>
      </w:pPr>
    </w:p>
    <w:p w:rsidR="00BB7EB8" w:rsidRPr="00202C5B" w:rsidRDefault="00BB7EB8" w:rsidP="00202C5B">
      <w:pPr>
        <w:jc w:val="right"/>
        <w:rPr>
          <w:sz w:val="28"/>
          <w:szCs w:val="28"/>
        </w:rPr>
      </w:pPr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Рисунок 1</w:t>
      </w:r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Анализ эффективности использования основных средств АО «Иркутскэнергоремонт»</w:t>
      </w:r>
    </w:p>
    <w:p w:rsidR="00BB7EB8" w:rsidRDefault="00510A0B" w:rsidP="00202C5B">
      <w:pPr>
        <w:jc w:val="right"/>
        <w:rPr>
          <w:sz w:val="28"/>
          <w:szCs w:val="28"/>
        </w:rPr>
      </w:pPr>
      <w:r w:rsidRPr="00510A0B">
        <w:rPr>
          <w:noProof/>
          <w:sz w:val="28"/>
          <w:szCs w:val="28"/>
        </w:rPr>
        <w:lastRenderedPageBreak/>
        <w:drawing>
          <wp:inline distT="0" distB="0" distL="0" distR="0">
            <wp:extent cx="5936615" cy="3616256"/>
            <wp:effectExtent l="0" t="0" r="32385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A0B" w:rsidRPr="00202C5B" w:rsidRDefault="00510A0B" w:rsidP="00202C5B">
      <w:pPr>
        <w:jc w:val="right"/>
        <w:rPr>
          <w:sz w:val="28"/>
          <w:szCs w:val="28"/>
        </w:rPr>
      </w:pPr>
      <w:bookmarkStart w:id="0" w:name="_GoBack"/>
      <w:bookmarkEnd w:id="0"/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Рисунок 2</w:t>
      </w:r>
    </w:p>
    <w:p w:rsidR="00BB7EB8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Дебиторская задолженность, денежные средства и денежные эквиваленты АО «Иркутскэнергоремонт»</w:t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BB7EB8" w:rsidRPr="00202C5B" w:rsidRDefault="00202C5B" w:rsidP="00202C5B">
      <w:pPr>
        <w:jc w:val="right"/>
        <w:rPr>
          <w:sz w:val="28"/>
          <w:szCs w:val="28"/>
        </w:rPr>
      </w:pPr>
      <w:r w:rsidRPr="00202C5B">
        <w:rPr>
          <w:noProof/>
          <w:sz w:val="28"/>
          <w:szCs w:val="28"/>
        </w:rPr>
        <w:lastRenderedPageBreak/>
        <w:drawing>
          <wp:inline distT="0" distB="0" distL="0" distR="0">
            <wp:extent cx="5936615" cy="3616256"/>
            <wp:effectExtent l="0" t="0" r="3238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Рисунок 3</w:t>
      </w:r>
    </w:p>
    <w:p w:rsidR="00BB7EB8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Среднесписочная численность работников управления АО «Иркутскэнергоремонт»</w:t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202C5B" w:rsidRDefault="00202C5B" w:rsidP="00202C5B">
      <w:pPr>
        <w:jc w:val="right"/>
        <w:rPr>
          <w:sz w:val="28"/>
          <w:szCs w:val="28"/>
        </w:rPr>
      </w:pPr>
      <w:r w:rsidRPr="00202C5B">
        <w:rPr>
          <w:noProof/>
          <w:sz w:val="28"/>
          <w:szCs w:val="28"/>
        </w:rPr>
        <w:lastRenderedPageBreak/>
        <w:drawing>
          <wp:inline distT="0" distB="0" distL="0" distR="0">
            <wp:extent cx="5936615" cy="3678555"/>
            <wp:effectExtent l="0" t="0" r="32385" b="298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Рисунок 4</w:t>
      </w:r>
    </w:p>
    <w:p w:rsidR="00BB7EB8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Фонд оплаты труда работников управления  АО «Иркутскэнергоремонт»</w:t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BB7EB8" w:rsidRDefault="00202C5B" w:rsidP="00202C5B">
      <w:pPr>
        <w:jc w:val="right"/>
        <w:rPr>
          <w:sz w:val="28"/>
          <w:szCs w:val="28"/>
        </w:rPr>
      </w:pPr>
      <w:r w:rsidRPr="00202C5B">
        <w:rPr>
          <w:noProof/>
          <w:sz w:val="28"/>
          <w:szCs w:val="28"/>
        </w:rPr>
        <w:lastRenderedPageBreak/>
        <w:drawing>
          <wp:inline distT="0" distB="0" distL="0" distR="0">
            <wp:extent cx="5936615" cy="3678753"/>
            <wp:effectExtent l="0" t="0" r="32385" b="298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BB7EB8" w:rsidRPr="00202C5B" w:rsidRDefault="00BB7EB8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Рисунок 5</w:t>
      </w:r>
    </w:p>
    <w:p w:rsidR="00BB7EB8" w:rsidRDefault="00202C5B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Общий оклад работников управления  АО «Иркутскэнергоремонт»</w:t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202C5B" w:rsidRDefault="00202C5B" w:rsidP="00202C5B">
      <w:pPr>
        <w:jc w:val="right"/>
        <w:rPr>
          <w:sz w:val="28"/>
          <w:szCs w:val="28"/>
        </w:rPr>
      </w:pPr>
      <w:r w:rsidRPr="00202C5B">
        <w:rPr>
          <w:noProof/>
          <w:sz w:val="28"/>
          <w:szCs w:val="28"/>
        </w:rPr>
        <w:lastRenderedPageBreak/>
        <w:drawing>
          <wp:inline distT="0" distB="0" distL="0" distR="0">
            <wp:extent cx="5936615" cy="3678753"/>
            <wp:effectExtent l="0" t="0" r="32385" b="298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202C5B" w:rsidRPr="00202C5B" w:rsidRDefault="00202C5B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Рисунок 6</w:t>
      </w:r>
    </w:p>
    <w:p w:rsidR="00202C5B" w:rsidRDefault="00202C5B" w:rsidP="00202C5B">
      <w:pPr>
        <w:jc w:val="right"/>
        <w:rPr>
          <w:sz w:val="28"/>
          <w:szCs w:val="28"/>
        </w:rPr>
      </w:pPr>
      <w:r w:rsidRPr="00202C5B">
        <w:rPr>
          <w:sz w:val="28"/>
          <w:szCs w:val="28"/>
        </w:rPr>
        <w:t>Средемесячная заработная плата работников управления  АО «Иркутскэнергоремонт»</w:t>
      </w:r>
    </w:p>
    <w:p w:rsidR="00202C5B" w:rsidRPr="00202C5B" w:rsidRDefault="00202C5B" w:rsidP="00202C5B">
      <w:pPr>
        <w:jc w:val="right"/>
        <w:rPr>
          <w:sz w:val="28"/>
          <w:szCs w:val="28"/>
        </w:rPr>
      </w:pPr>
    </w:p>
    <w:p w:rsidR="00202C5B" w:rsidRPr="00202C5B" w:rsidRDefault="00202C5B" w:rsidP="00202C5B">
      <w:pPr>
        <w:jc w:val="right"/>
        <w:rPr>
          <w:sz w:val="28"/>
          <w:szCs w:val="28"/>
        </w:rPr>
      </w:pPr>
      <w:r w:rsidRPr="00202C5B">
        <w:rPr>
          <w:noProof/>
          <w:sz w:val="28"/>
          <w:szCs w:val="28"/>
        </w:rPr>
        <w:lastRenderedPageBreak/>
        <w:drawing>
          <wp:inline distT="0" distB="0" distL="0" distR="0">
            <wp:extent cx="5936615" cy="3678753"/>
            <wp:effectExtent l="0" t="0" r="32385" b="298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202C5B" w:rsidRPr="00202C5B" w:rsidSect="00C544E0">
      <w:head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F0" w:rsidRDefault="00A94CF0" w:rsidP="005E15C6">
      <w:r>
        <w:separator/>
      </w:r>
    </w:p>
  </w:endnote>
  <w:endnote w:type="continuationSeparator" w:id="0">
    <w:p w:rsidR="00A94CF0" w:rsidRDefault="00A94CF0" w:rsidP="005E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F0" w:rsidRDefault="00A94CF0" w:rsidP="005E15C6">
      <w:r>
        <w:separator/>
      </w:r>
    </w:p>
  </w:footnote>
  <w:footnote w:type="continuationSeparator" w:id="0">
    <w:p w:rsidR="00A94CF0" w:rsidRDefault="00A94CF0" w:rsidP="005E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C6" w:rsidRDefault="005E15C6" w:rsidP="005E15C6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</w:rPr>
        <w:t>ДЦО.РФ</w:t>
      </w:r>
    </w:hyperlink>
  </w:p>
  <w:p w:rsidR="005E15C6" w:rsidRDefault="005E15C6" w:rsidP="005E15C6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E15C6" w:rsidRDefault="005E15C6" w:rsidP="005E15C6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5E15C6" w:rsidRDefault="005E15C6" w:rsidP="005E15C6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E15C6" w:rsidRDefault="005E15C6">
    <w:pPr>
      <w:pStyle w:val="a5"/>
    </w:pPr>
  </w:p>
  <w:p w:rsidR="005E15C6" w:rsidRDefault="005E15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4D29"/>
    <w:rsid w:val="00202C5B"/>
    <w:rsid w:val="00333A13"/>
    <w:rsid w:val="00510A0B"/>
    <w:rsid w:val="00566770"/>
    <w:rsid w:val="00567117"/>
    <w:rsid w:val="005E15C6"/>
    <w:rsid w:val="00660750"/>
    <w:rsid w:val="00714D29"/>
    <w:rsid w:val="00885EA2"/>
    <w:rsid w:val="00A94CF0"/>
    <w:rsid w:val="00BB7EB8"/>
    <w:rsid w:val="00C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50"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B7EB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B8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5C6"/>
  </w:style>
  <w:style w:type="paragraph" w:styleId="a7">
    <w:name w:val="footer"/>
    <w:basedOn w:val="a"/>
    <w:link w:val="a8"/>
    <w:uiPriority w:val="99"/>
    <w:semiHidden/>
    <w:unhideWhenUsed/>
    <w:rsid w:val="005E1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5C6"/>
  </w:style>
  <w:style w:type="character" w:customStyle="1" w:styleId="30">
    <w:name w:val="Заголовок 3 Знак"/>
    <w:basedOn w:val="a0"/>
    <w:link w:val="3"/>
    <w:uiPriority w:val="9"/>
    <w:semiHidden/>
    <w:rsid w:val="005E1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1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5E1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B7EB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B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 (тыс.руб.)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1197725</c:v>
                </c:pt>
                <c:pt idx="1">
                  <c:v>1339939</c:v>
                </c:pt>
                <c:pt idx="2">
                  <c:v>1424785</c:v>
                </c:pt>
                <c:pt idx="3">
                  <c:v>1269024</c:v>
                </c:pt>
                <c:pt idx="4">
                  <c:v>1410479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Среднегодовая стоимость основных средств (т.р.)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117277.5</c:v>
                </c:pt>
                <c:pt idx="1">
                  <c:v>139319</c:v>
                </c:pt>
                <c:pt idx="2">
                  <c:v>157278</c:v>
                </c:pt>
                <c:pt idx="3">
                  <c:v>201166.5</c:v>
                </c:pt>
                <c:pt idx="4">
                  <c:v>241228</c:v>
                </c:pt>
              </c:numCache>
            </c:numRef>
          </c:val>
        </c:ser>
        <c:dLbls>
          <c:showVal val="1"/>
        </c:dLbls>
        <c:marker val="1"/>
        <c:axId val="70675072"/>
        <c:axId val="70754688"/>
      </c:lineChart>
      <c:catAx>
        <c:axId val="70675072"/>
        <c:scaling>
          <c:orientation val="minMax"/>
        </c:scaling>
        <c:axPos val="b"/>
        <c:numFmt formatCode="General" sourceLinked="1"/>
        <c:tickLblPos val="nextTo"/>
        <c:crossAx val="70754688"/>
        <c:crosses val="autoZero"/>
        <c:auto val="1"/>
        <c:lblAlgn val="ctr"/>
        <c:lblOffset val="100"/>
      </c:catAx>
      <c:valAx>
        <c:axId val="70754688"/>
        <c:scaling>
          <c:orientation val="minMax"/>
        </c:scaling>
        <c:axPos val="l"/>
        <c:majorGridlines/>
        <c:numFmt formatCode="General" sourceLinked="1"/>
        <c:tickLblPos val="nextTo"/>
        <c:crossAx val="70675072"/>
        <c:crosses val="autoZero"/>
        <c:crossBetween val="between"/>
      </c:valAx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229544</c:v>
                </c:pt>
                <c:pt idx="1">
                  <c:v>286536</c:v>
                </c:pt>
                <c:pt idx="2">
                  <c:v>254633</c:v>
                </c:pt>
                <c:pt idx="3">
                  <c:v>440442</c:v>
                </c:pt>
                <c:pt idx="4">
                  <c:v>769325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Денежные средства и денежные эквиваленты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10253</c:v>
                </c:pt>
                <c:pt idx="1">
                  <c:v>2853</c:v>
                </c:pt>
                <c:pt idx="2">
                  <c:v>151</c:v>
                </c:pt>
                <c:pt idx="3">
                  <c:v>2634</c:v>
                </c:pt>
                <c:pt idx="4">
                  <c:v>996</c:v>
                </c:pt>
              </c:numCache>
            </c:numRef>
          </c:val>
        </c:ser>
        <c:dLbls>
          <c:showVal val="1"/>
        </c:dLbls>
        <c:marker val="1"/>
        <c:axId val="89095168"/>
        <c:axId val="89994368"/>
      </c:lineChart>
      <c:catAx>
        <c:axId val="89095168"/>
        <c:scaling>
          <c:orientation val="minMax"/>
        </c:scaling>
        <c:axPos val="b"/>
        <c:numFmt formatCode="General" sourceLinked="1"/>
        <c:tickLblPos val="nextTo"/>
        <c:crossAx val="89994368"/>
        <c:crosses val="autoZero"/>
        <c:auto val="1"/>
        <c:lblAlgn val="ctr"/>
        <c:lblOffset val="100"/>
      </c:catAx>
      <c:valAx>
        <c:axId val="89994368"/>
        <c:scaling>
          <c:orientation val="minMax"/>
        </c:scaling>
        <c:axPos val="l"/>
        <c:majorGridlines/>
        <c:numFmt formatCode="General" sourceLinked="1"/>
        <c:tickLblPos val="nextTo"/>
        <c:crossAx val="8909516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Среднесписочная численность работников</c:v>
                </c:pt>
              </c:strCache>
            </c:strRef>
          </c:tx>
          <c:dLbls>
            <c:dLblPos val="l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96</c:v>
                </c:pt>
                <c:pt idx="2">
                  <c:v>90</c:v>
                </c:pt>
                <c:pt idx="3">
                  <c:v>86</c:v>
                </c:pt>
                <c:pt idx="4">
                  <c:v>85</c:v>
                </c:pt>
              </c:numCache>
            </c:numRef>
          </c:val>
        </c:ser>
        <c:dLbls>
          <c:showVal val="1"/>
        </c:dLbls>
        <c:marker val="1"/>
        <c:axId val="91804800"/>
        <c:axId val="99996032"/>
      </c:lineChart>
      <c:catAx>
        <c:axId val="91804800"/>
        <c:scaling>
          <c:orientation val="minMax"/>
        </c:scaling>
        <c:axPos val="b"/>
        <c:numFmt formatCode="General" sourceLinked="1"/>
        <c:tickLblPos val="nextTo"/>
        <c:crossAx val="99996032"/>
        <c:crosses val="autoZero"/>
        <c:auto val="1"/>
        <c:lblAlgn val="ctr"/>
        <c:lblOffset val="100"/>
      </c:catAx>
      <c:valAx>
        <c:axId val="99996032"/>
        <c:scaling>
          <c:orientation val="minMax"/>
        </c:scaling>
        <c:axPos val="l"/>
        <c:majorGridlines/>
        <c:numFmt formatCode="General" sourceLinked="1"/>
        <c:tickLblPos val="nextTo"/>
        <c:crossAx val="918048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 оплаты труда (тыс.руб.)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1784924</c:v>
                </c:pt>
                <c:pt idx="1">
                  <c:v>1795440</c:v>
                </c:pt>
                <c:pt idx="2">
                  <c:v>1835640</c:v>
                </c:pt>
                <c:pt idx="3">
                  <c:v>2015399.9999999998</c:v>
                </c:pt>
                <c:pt idx="4">
                  <c:v>2105434.0000000005</c:v>
                </c:pt>
              </c:numCache>
            </c:numRef>
          </c:val>
        </c:ser>
        <c:dLbls>
          <c:showVal val="1"/>
        </c:dLbls>
        <c:marker val="1"/>
        <c:axId val="100261888"/>
        <c:axId val="100263424"/>
      </c:lineChart>
      <c:catAx>
        <c:axId val="100261888"/>
        <c:scaling>
          <c:orientation val="minMax"/>
        </c:scaling>
        <c:axPos val="b"/>
        <c:numFmt formatCode="General" sourceLinked="1"/>
        <c:tickLblPos val="nextTo"/>
        <c:crossAx val="100263424"/>
        <c:crosses val="autoZero"/>
        <c:auto val="1"/>
        <c:lblAlgn val="ctr"/>
        <c:lblOffset val="100"/>
      </c:catAx>
      <c:valAx>
        <c:axId val="100263424"/>
        <c:scaling>
          <c:orientation val="minMax"/>
        </c:scaling>
        <c:axPos val="l"/>
        <c:majorGridlines/>
        <c:numFmt formatCode="General" sourceLinked="1"/>
        <c:tickLblPos val="nextTo"/>
        <c:crossAx val="1002618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оклад работников (тыс.руб.)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1113329</c:v>
                </c:pt>
                <c:pt idx="1">
                  <c:v>1113000</c:v>
                </c:pt>
                <c:pt idx="2">
                  <c:v>1155736</c:v>
                </c:pt>
                <c:pt idx="3">
                  <c:v>1234735</c:v>
                </c:pt>
                <c:pt idx="4">
                  <c:v>1245634</c:v>
                </c:pt>
              </c:numCache>
            </c:numRef>
          </c:val>
        </c:ser>
        <c:dLbls>
          <c:showVal val="1"/>
        </c:dLbls>
        <c:axId val="101340288"/>
        <c:axId val="101341824"/>
      </c:barChart>
      <c:catAx>
        <c:axId val="101340288"/>
        <c:scaling>
          <c:orientation val="minMax"/>
        </c:scaling>
        <c:axPos val="l"/>
        <c:numFmt formatCode="General" sourceLinked="1"/>
        <c:tickLblPos val="nextTo"/>
        <c:crossAx val="101341824"/>
        <c:crosses val="autoZero"/>
        <c:auto val="1"/>
        <c:lblAlgn val="ctr"/>
        <c:lblOffset val="100"/>
      </c:catAx>
      <c:valAx>
        <c:axId val="101341824"/>
        <c:scaling>
          <c:orientation val="minMax"/>
        </c:scaling>
        <c:axPos val="b"/>
        <c:majorGridlines/>
        <c:numFmt formatCode="General" sourceLinked="1"/>
        <c:tickLblPos val="nextTo"/>
        <c:crossAx val="1013402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(тыс.руб.)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11597.17</c:v>
                </c:pt>
                <c:pt idx="1">
                  <c:v>11593.75</c:v>
                </c:pt>
                <c:pt idx="2">
                  <c:v>12841.51</c:v>
                </c:pt>
                <c:pt idx="3">
                  <c:v>14357.38</c:v>
                </c:pt>
                <c:pt idx="4">
                  <c:v>14654.52</c:v>
                </c:pt>
              </c:numCache>
            </c:numRef>
          </c:val>
        </c:ser>
        <c:dLbls>
          <c:showVal val="1"/>
        </c:dLbls>
        <c:axId val="101378304"/>
        <c:axId val="101429248"/>
      </c:barChart>
      <c:catAx>
        <c:axId val="101378304"/>
        <c:scaling>
          <c:orientation val="minMax"/>
        </c:scaling>
        <c:axPos val="l"/>
        <c:numFmt formatCode="General" sourceLinked="1"/>
        <c:tickLblPos val="nextTo"/>
        <c:crossAx val="101429248"/>
        <c:crosses val="autoZero"/>
        <c:auto val="1"/>
        <c:lblAlgn val="ctr"/>
        <c:lblOffset val="100"/>
      </c:catAx>
      <c:valAx>
        <c:axId val="101429248"/>
        <c:scaling>
          <c:orientation val="minMax"/>
        </c:scaling>
        <c:axPos val="b"/>
        <c:majorGridlines/>
        <c:numFmt formatCode="General" sourceLinked="1"/>
        <c:tickLblPos val="nextTo"/>
        <c:crossAx val="1013783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Базовая">
    <a:maj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Базовая">
    <a:maj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Базовая">
    <a:maj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Базовая">
    <a:maj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саша</cp:lastModifiedBy>
  <cp:revision>10</cp:revision>
  <dcterms:created xsi:type="dcterms:W3CDTF">2016-06-17T00:15:00Z</dcterms:created>
  <dcterms:modified xsi:type="dcterms:W3CDTF">2019-04-17T09:50:00Z</dcterms:modified>
</cp:coreProperties>
</file>