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9C" w:rsidRPr="00B273C7" w:rsidRDefault="0022419C" w:rsidP="00F8303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A67E6" w:rsidRPr="00F83039" w:rsidRDefault="003A67E6" w:rsidP="00F83039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83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Маржинальный доход. Операционный рычаг. Расчет точки безубыточности.</w:t>
      </w:r>
    </w:p>
    <w:p w:rsidR="0022419C" w:rsidRPr="00616622" w:rsidRDefault="0022419C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2419C" w:rsidRPr="00616622" w:rsidRDefault="0022419C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166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Маржинальный доход на единицу продукции – это разница между ценой и переменными издержками на нее. Он включает постоянные затраты и прибыль. Маржинальный анализ помогает обосновать выбор вариантов изменения агентских сетей, перспективной стратегии ведения бизнеса. Анализируя взаимосвязь «затраты – объем продаж – прибыль», можно просчитать различные варианты производственной программы, ответить на вопрос, когда фирма получит прибыль, а когда ее деятельность будет убыточной. Основное преимущество маржинального метода учета состоит в том, что в себестоимость продукции включают не все затраты предприятия, а только их часть – производственные. Остальные затраты, отнесенные к периодическим, списываются непосредственно на уменьшение прибыли от реализации продукции.Безубыточность – такое состояние бизнеса, когда он не приносит ни прибыли, ни убытков. Разница между фактическим количеством и безубыточным объемом продаж – это зона безопасности организации (зона</w:t>
      </w:r>
      <w:r w:rsidRPr="00616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166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прибыли). Расчет данного показателя базируется на взаимосвязи показателей «затраты – объем продаж – прибыль».</w:t>
      </w:r>
    </w:p>
    <w:p w:rsidR="0022419C" w:rsidRPr="00616622" w:rsidRDefault="0022419C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166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Экономический смысл показателя операционного рычага довольно прост – он показывает степень чувствительности прибыли организации к изменению объема производства. В организации с высоким уровнем эффекта операционного рычага незначительное изменение объема производства может привести к существенному изменению прибыли. Эффект операционного рычага можно определять как отношение маржинального дохода (разницы между объемом продукции и переменными затратами) к прибыли.</w:t>
      </w:r>
    </w:p>
    <w:p w:rsidR="0022419C" w:rsidRPr="00616622" w:rsidRDefault="0022419C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166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431800"/>
            <wp:effectExtent l="0" t="0" r="0" b="6350"/>
            <wp:docPr id="1" name="Рисунок 1" descr="http://www.tinlib.ru/shpargalki/shpargalka_po_yekonomicheskomu_analizu/i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nlib.ru/shpargalki/shpargalka_po_yekonomicheskomu_analizu/i_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9C" w:rsidRPr="00616622" w:rsidRDefault="0022419C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166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где Р – прибыль;</w:t>
      </w:r>
    </w:p>
    <w:p w:rsidR="0022419C" w:rsidRPr="00616622" w:rsidRDefault="0022419C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166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N – объем продукции;</w:t>
      </w:r>
    </w:p>
    <w:p w:rsidR="0022419C" w:rsidRDefault="0022419C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6166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D– маржинальный доход. Значение этого показателя зависит от базового уровня объема производства, от которого идет отсчет. В частности, наибольшие значения показатель имеет в случаях, когда изменение объема производства происходит с уровней, незначительно превышающих критический объем продаж. Тогда даже незначительное изменение объема производства приводит к существенному относительному изменению прибыли. Причина подобного положения состоит в том, что базовое значение прибыли при этом близко к нулю. Пространственные сравнения уровней эффекта операционного рычага (левериджа) возможны лишь для организаций, имеющих одинаковый базовый уровень выпуска. Более высокое значение этого показателя обычно характерно для организаций с более высоким уровнем технической оснащенности. Точнее, чем выше </w:t>
      </w:r>
      <w:r w:rsidRPr="006166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уровень условно-постоянных расходов по отношению к уровню переменных расходов, тем выше эффект операционного рычага. Таким образом, организация (предприятие), повышающая свой технический уровень с целью снижения удельных переменных расходов, одновременно увеличивает и эффект операционного рычага.</w:t>
      </w:r>
    </w:p>
    <w:p w:rsidR="00F83039" w:rsidRPr="00F83039" w:rsidRDefault="00F83039" w:rsidP="00F8303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Точка безубыточности — объём производства и реализации продукции, при котором расходы будут компенсированы доходами, а при производстве и реализации каждой последующей единицы продукции предприятие начинает получать прибыль. Точку безубыточности можно определить в единицах продукции, в денежном выражении или с учё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том ожидаемого размера прибыли.</w:t>
      </w:r>
    </w:p>
    <w:p w:rsidR="00F83039" w:rsidRPr="00F83039" w:rsidRDefault="00F83039" w:rsidP="00F8303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Синонимы: критическая точка, 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CVP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-точка.</w:t>
      </w:r>
    </w:p>
    <w:p w:rsidR="00F83039" w:rsidRPr="00F83039" w:rsidRDefault="00F83039" w:rsidP="00F8303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 путать с точкой окупаемости (проекта). Она рассчитывается для определения времени, когда доходы от проекта превысят затраты на него потраченные, это та же точка безубыточности, только измеряется не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штуках, а в месяцах и годах.</w:t>
      </w:r>
    </w:p>
    <w:p w:rsidR="00F83039" w:rsidRPr="00F83039" w:rsidRDefault="00F83039" w:rsidP="00F8303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Точка безубыточности в денежном выражении — такая минимальная величина дохода, при которой полностью окупаются все издержки (прибыль при этом равна нулю):</w:t>
      </w:r>
    </w:p>
    <w:p w:rsidR="00616622" w:rsidRDefault="00F83039" w:rsidP="00F83039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095500" cy="482600"/>
            <wp:effectExtent l="0" t="0" r="0" b="0"/>
            <wp:docPr id="4" name="Рисунок 4" descr="BEP = \frac{TFC}{\frac{C}{P}} = \frac{TFC}{\frac{(P - AVC)}{P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P = \frac{TFC}{\frac{C}{P}} = \frac{TFC}{\frac{(P - AVC)}{P}}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39" w:rsidRPr="00F83039" w:rsidRDefault="00F83039" w:rsidP="00F8303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BEP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(англ. 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break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even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point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— точка безубыточности,</w:t>
      </w:r>
    </w:p>
    <w:p w:rsidR="00F83039" w:rsidRPr="00F83039" w:rsidRDefault="00F83039" w:rsidP="00F8303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TFC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(англ. 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total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fixed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costs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— величина постоянных издержек,</w:t>
      </w:r>
    </w:p>
    <w:p w:rsidR="00F83039" w:rsidRPr="00F83039" w:rsidRDefault="00F83039" w:rsidP="00F8303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AVC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(англ. 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unit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average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variable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costs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— величина переменных издержек на единицу продукции,</w:t>
      </w:r>
    </w:p>
    <w:p w:rsidR="00F83039" w:rsidRPr="00F83039" w:rsidRDefault="00F83039" w:rsidP="00F8303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(англ. 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unit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sale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price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— стоимость единицы продукции (реализация),</w:t>
      </w:r>
    </w:p>
    <w:p w:rsidR="00F83039" w:rsidRPr="00F83039" w:rsidRDefault="00F83039" w:rsidP="00F8303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C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(англ. 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unit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contribution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margin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— прибыль с единицы продукции без учёта доли постоянных издержек (разница между стоимостью продукции (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и переменными издержками на единицу продукции (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VC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)).</w:t>
      </w:r>
    </w:p>
    <w:p w:rsidR="00F83039" w:rsidRPr="00F83039" w:rsidRDefault="00F83039" w:rsidP="00F8303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Можно заметить, что выражение  \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frac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{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C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}{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</w:t>
      </w:r>
      <w:r w:rsidRPr="00F83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} численно равно отношению валовой маржи к выручке.</w:t>
      </w:r>
    </w:p>
    <w:p w:rsidR="0022419C" w:rsidRPr="00616622" w:rsidRDefault="0022419C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3969" w:rsidRPr="00616622" w:rsidRDefault="00A264C2" w:rsidP="00F83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16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  <w:r w:rsidRPr="00616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БЛОК</w:t>
      </w:r>
      <w:r w:rsidR="003B6AEB" w:rsidRPr="00616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2. (из этого блока в экзаменационное задание войдет ДВА вопроса)</w:t>
      </w:r>
    </w:p>
    <w:p w:rsidR="0021445A" w:rsidRPr="00616622" w:rsidRDefault="00AD781E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16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Финансовый учет и отчетность </w:t>
      </w:r>
    </w:p>
    <w:p w:rsidR="00083C9B" w:rsidRPr="00616622" w:rsidRDefault="00083C9B" w:rsidP="00616622">
      <w:pPr>
        <w:pStyle w:val="a3"/>
        <w:numPr>
          <w:ilvl w:val="0"/>
          <w:numId w:val="12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6166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Необходимость вариативности способов амортизации внеоборотных активов. Критерии выбора и влияние на финансовый результат.</w:t>
      </w:r>
    </w:p>
    <w:p w:rsidR="005B5548" w:rsidRDefault="005B5548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16622" w:rsidRPr="00616622" w:rsidRDefault="00616622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166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Амортизация внеоборотных активов является наиболее типичным видом калькуляционных затрат. Организация эти расходы в данном отчетном периоде не несет, а только возмещает произведенные затраты по их приобретению. Методы начисления амортизации, длительность периода возмещения в системе У</w:t>
      </w:r>
      <w:r w:rsid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правленческого </w:t>
      </w:r>
      <w:r w:rsidRPr="006166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r w:rsid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учета</w:t>
      </w:r>
      <w:r w:rsidRPr="006166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организация определяет сама. При этом следует исходить из того, что начисляя амортизацию необходима не только возместить первоначально затраченные средства на покупку внеоборотных активов, но и обеспечить покрытие их обесценения из-за инфляции. Также следует иметь в виду, что машины и оборудования обычно становятся более совершенными и следовательно стоят больше своих предшественников, аналогичных по назначению. Поэтому амортизация одних и тех же объектов в УУ может быть выше той, что начисляется в Ф</w:t>
      </w:r>
      <w:r w:rsid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инансовом </w:t>
      </w:r>
      <w:r w:rsidRPr="006166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r w:rsid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чете</w:t>
      </w:r>
      <w:r w:rsidRPr="006166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налоговом учете (т.к. сумма начисленной амортизации не должна превышать балансовую сумму объектов).</w:t>
      </w:r>
    </w:p>
    <w:p w:rsidR="00616622" w:rsidRPr="00616622" w:rsidRDefault="00616622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166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У</w:t>
      </w:r>
      <w:r w:rsid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правленческом учете</w:t>
      </w:r>
      <w:r w:rsidRPr="006166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выделяется несколько методов начисления амортизации:</w:t>
      </w:r>
    </w:p>
    <w:p w:rsidR="00616622" w:rsidRPr="00616622" w:rsidRDefault="00616622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166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линейный метод</w:t>
      </w:r>
    </w:p>
    <w:p w:rsidR="00616622" w:rsidRPr="00616622" w:rsidRDefault="00616622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166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метод убывающих (дегрессивных) и возрастающих сумм амортизаций</w:t>
      </w:r>
    </w:p>
    <w:p w:rsidR="00616622" w:rsidRPr="00616622" w:rsidRDefault="00616622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166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метод начисления в зависимости от объема выпуска продукции, </w:t>
      </w:r>
      <w:r w:rsid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расчетов и условий</w:t>
      </w:r>
      <w:r w:rsidRPr="006166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616622" w:rsidRPr="00616622" w:rsidRDefault="00616622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166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Линейный метод обеспечивает постепенное начисление амортизации в течение всего </w:t>
      </w:r>
      <w:r w:rsid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Срока Полезного Использования</w:t>
      </w:r>
      <w:r w:rsidRPr="006166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объекта и годовая сумма амортизации определяется путем деления первоначальной стоимости объекта на число лет его полезного использования.</w:t>
      </w:r>
    </w:p>
    <w:p w:rsidR="00616622" w:rsidRPr="00616622" w:rsidRDefault="00616622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166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Убывающая (возрастающая) амортизация может быть арифметически убывающей (возрастающей) и геометрически убывающей (возрастающей)</w:t>
      </w:r>
    </w:p>
    <w:p w:rsidR="00616622" w:rsidRPr="00616622" w:rsidRDefault="00616622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166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Арифметически убывающая амортизация уменьшается из года в год на одну и тужу сумму (величина дигрессии)</w:t>
      </w:r>
    </w:p>
    <w:p w:rsidR="00616622" w:rsidRPr="00616622" w:rsidRDefault="00616622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166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 геометрически убывающей амортизации, ее величина снижается ежегодно на определенный коэффициент.</w:t>
      </w:r>
    </w:p>
    <w:p w:rsidR="00B273C7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Cрок полезного использования – ожидаемый срок использования амортизируемого имущества (основных средств и нематериальных активов).</w:t>
      </w:r>
    </w:p>
    <w:p w:rsidR="00B273C7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Термин «срок полезного использования» на английском языке - Useful life.</w:t>
      </w:r>
    </w:p>
    <w:p w:rsidR="00B273C7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Понятие «срок полезного использования» применяется как в бухгалтерском учете, так и для целей определения налога на прибыль. Срок полезного использования объекта </w:t>
      </w: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влияет на сумму амортизации. Чем срок полезного использования  меньше, тем быстрее стоимость объекта списывается на расходы. </w:t>
      </w:r>
    </w:p>
    <w:p w:rsidR="00B273C7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УУ-управленческий учет.</w:t>
      </w:r>
    </w:p>
    <w:p w:rsidR="00616622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ФУ-финансовый учет.</w:t>
      </w:r>
    </w:p>
    <w:p w:rsidR="00616622" w:rsidRDefault="00616622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16622" w:rsidRDefault="00616622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16622" w:rsidRDefault="00616622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16622" w:rsidRPr="00616622" w:rsidRDefault="00616622" w:rsidP="0061662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83C9B" w:rsidRPr="00F83039" w:rsidRDefault="00083C9B" w:rsidP="00F83039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83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Отражение затрат на производство в финансовом учете и способы влияния на прибыль. Взаимодействие финансового и управленческого учета.</w:t>
      </w:r>
    </w:p>
    <w:p w:rsidR="00B273C7" w:rsidRPr="00B273C7" w:rsidRDefault="00B273C7" w:rsidP="00B273C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Расчет фактических расходов организации в разрезе экономических элементов может вестись на следующих специальных счетах:</w:t>
      </w:r>
    </w:p>
    <w:p w:rsidR="00B273C7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- 30 «Материальные затраты»;</w:t>
      </w:r>
    </w:p>
    <w:p w:rsidR="00B273C7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- 31 «Затраты на оплату труда»;</w:t>
      </w:r>
    </w:p>
    <w:p w:rsidR="00B273C7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- 32 «Отчисления на социальные нужды»;</w:t>
      </w:r>
    </w:p>
    <w:p w:rsidR="00B273C7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- 33 «Амортизация»;</w:t>
      </w:r>
    </w:p>
    <w:p w:rsidR="00B273C7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- 34 «Прочие затраты».</w:t>
      </w:r>
    </w:p>
    <w:p w:rsidR="00B273C7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Они открываются в системе управленческого учета, а по окончании отчетного месяца закрываются отражающими счетами (счетами-экранами, зеркальными счетами). Эту задачу выполняют счета, оставшиеся не занятыми счетами экономических элементов и выбираемые самой организацией: счета 35, 36, 37, 38, 39.</w:t>
      </w:r>
    </w:p>
    <w:p w:rsidR="00B273C7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Счета учета затрат на производство по экономическим элементам (счета 30-34) корреспондируют со счетами учета материально-производственных запасов, расчетов по оплате труда, расчетов по внебюджетным платежам, амортизации, другими счетами для отражения расходов, включаемых в их состав при группировке по экономическим элементам.</w:t>
      </w:r>
    </w:p>
    <w:p w:rsidR="00B273C7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дебету счета 30 «Материальные затраты» собирается сумма фактических расходов материальных ценностей на производство продукции, работ, услуг в корреспонденции со счетами видов и компонентов поступивших ценностей: Д-т сч. 30 «Материальные затраты», К-т сч. 10 «Материалы», 16 «Отклонение в стоимости материальных ценностей, 60 «Расчеты с поставщиками и подрядчиками», 71 «Расчеты с подотчетными лицами», 76 «Расчеты с разными дебиторами и кредиторами» и др.</w:t>
      </w:r>
    </w:p>
    <w:p w:rsidR="00B273C7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счете 31 «Затраты на оплату труда» собираются суммы начисленной заработной платы работникам организации, компенсирующих и стимулирующих выплат в результате следующей корреспонденции счетов: Д-т сч. 31 «Затраты на оплату труда», К-т сч. 70 «Расчеты с персоналом по оплате труда», 96 «Резервы предстоящих расходов».</w:t>
      </w:r>
    </w:p>
    <w:p w:rsidR="00B273C7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Начисления на счете 31 «Затраты на оплату труда» производятся также на суммы резервов предстоящей оплаты отпусков работникам организации и выплату вознаграждений за выслугу лет.</w:t>
      </w:r>
    </w:p>
    <w:p w:rsidR="00B273C7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Счет 32 «Отчисления на социальные нужды» используется для учета сумм отчислений ЕСН в соответствии с нормами Налогового кодекса РФ и на обязательное страхование от несчастных случаев на производстве и профессиональных заболеваний, что отражается следующей корреспонденцией: Д-т сч. 32 «Отчисления на социальные нужды», К-т сч. 69 «Расчеты по социальному страхованию и обеспечению».</w:t>
      </w:r>
    </w:p>
    <w:p w:rsidR="00B273C7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дебету счета 33 «Амортизация» ведется учет сумм амортизации основных средств и нематериальных активов, рассчитанных в соответствии с методами, принятыми в учетной политике организации и нормами амортизационных отчислений. Суммы начисленной амортизации внеоборотных активов учитываются бухгалтерской записью: Д-т сч. 33 «Амортизация», К-т сч. 02 «Амортизация основных средств», 05 «Амортизация нематериальных активов», 04 «Нематериальные активы».</w:t>
      </w:r>
    </w:p>
    <w:p w:rsidR="00B273C7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Счет 04 «Нематериальные активы» кредитуется в том случае, если в учетной политике принят вариант учета амортизации нематериальных активов без использования счета 05 «Амортизация нематериальных активов».</w:t>
      </w:r>
    </w:p>
    <w:p w:rsidR="00B273C7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Счет 34 «Прочие расходы» используется для формирования затрат по экономическим элементам, если они не нашли отражения в составе других элементов. По дебету счета 34 «Прочие расходы» обычно ведется учет расходов в корреспонденции с кредитом следующих счетов:</w:t>
      </w:r>
    </w:p>
    <w:p w:rsidR="00B273C7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- 60 «Расчеты с поставщиками и подрядчиками»;</w:t>
      </w:r>
    </w:p>
    <w:p w:rsidR="00B273C7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- 71 «Расчеты с подотчетными лицами»;</w:t>
      </w:r>
    </w:p>
    <w:p w:rsidR="00B273C7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- 76 «Расчеты с разными дебиторами и кредиторами»;</w:t>
      </w:r>
    </w:p>
    <w:p w:rsidR="00B273C7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- 79 «Внутрихозяйственные расчеты»</w:t>
      </w:r>
    </w:p>
    <w:p w:rsidR="00B273C7" w:rsidRPr="00B273C7" w:rsidRDefault="00B273C7" w:rsidP="00B273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7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- 66 «Расчеты по краткосрочным кредитам и займам» и др.</w:t>
      </w: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Default="00B273C7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3C7" w:rsidRPr="00616622" w:rsidRDefault="00B273C7" w:rsidP="00B273C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3518D" w:rsidRPr="00616622" w:rsidRDefault="00EC3258" w:rsidP="00F83039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16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Ценность представляемой информации в соответствии с МСФО для пользователей. Структура и содержание компонентов финансовой отчетности в соответствии с МСФО</w:t>
      </w:r>
      <w:r w:rsidR="000A3139" w:rsidRPr="00616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616622" w:rsidRPr="00616622" w:rsidRDefault="00616622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E7FC9" w:rsidRPr="00EE7FC9" w:rsidRDefault="00EE7FC9" w:rsidP="00EE7FC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7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МСФО применяются только в отношении финансовой отчетности и не распространяют свое действие на прочую информацию, представленную в годовом отчете или другом документе. Таким образом, важно, чтобы пользователи могли отличить информацию, подготовленную в соответствии с МСФО (IFRS), от прочей информации, которая может оказаться полезной для пользователей, но не подчиняется требованиям этих стандартов.</w:t>
      </w:r>
    </w:p>
    <w:p w:rsidR="00EE7FC9" w:rsidRPr="00EE7FC9" w:rsidRDefault="00EE7FC9" w:rsidP="00EE7FC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7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Предприятие должно четко обозначить каждый компонент финансовой отчетности. Кроме того, предприятие должно четко выделять и повторять следующие данные, если это необходимо для правильного понимания представленной информации:</w:t>
      </w:r>
    </w:p>
    <w:p w:rsidR="00EE7FC9" w:rsidRPr="00EE7FC9" w:rsidRDefault="00EE7FC9" w:rsidP="00EE7FC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7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(a) наименование отчитывающегося предприятия или иные способы его обозначения, а также любое изменение в этих данных по сравнению с предыдущим отчетным периодом;</w:t>
      </w:r>
      <w:bookmarkStart w:id="0" w:name="_GoBack"/>
      <w:bookmarkEnd w:id="0"/>
    </w:p>
    <w:p w:rsidR="00EE7FC9" w:rsidRPr="00EE7FC9" w:rsidRDefault="00EE7FC9" w:rsidP="00EE7FC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7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(b) относится ли финансовая отчетность к отдельному предприятию или группе предприятий;</w:t>
      </w:r>
    </w:p>
    <w:p w:rsidR="00EE7FC9" w:rsidRPr="00EE7FC9" w:rsidRDefault="00EE7FC9" w:rsidP="00EE7FC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7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(c) дата окончания отчетного периода или период, охватываемый финансовой отчетностью или примечаниями;</w:t>
      </w:r>
    </w:p>
    <w:p w:rsidR="00EE7FC9" w:rsidRPr="00EE7FC9" w:rsidRDefault="00EE7FC9" w:rsidP="00EE7FC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7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(d) валюта представления отчетности в значении, определенном в МСФО (IAS) 21; и</w:t>
      </w:r>
    </w:p>
    <w:p w:rsidR="00616622" w:rsidRDefault="00EE7FC9" w:rsidP="00EE7FC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7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(e) степень округления, используемая при представлении сумм в финансовой отчетности.</w:t>
      </w:r>
    </w:p>
    <w:p w:rsidR="00EE7FC9" w:rsidRPr="00EE7FC9" w:rsidRDefault="00EE7FC9" w:rsidP="00EE7FC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E7FC9" w:rsidRPr="00EE7FC9" w:rsidRDefault="00EE7FC9" w:rsidP="00EE7F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 финансовой отчетности   по МСФО и российскому законодательству.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28"/>
        <w:gridCol w:w="6617"/>
      </w:tblGrid>
      <w:tr w:rsidR="00EE7FC9" w:rsidRPr="00EE7FC9" w:rsidTr="00EE7F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FC9" w:rsidRPr="00EE7FC9" w:rsidRDefault="00EE7FC9" w:rsidP="00EE7F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МСФО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FC9" w:rsidRPr="00EE7FC9" w:rsidRDefault="00EE7FC9" w:rsidP="00EE7F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Российское законодательство</w:t>
            </w:r>
          </w:p>
        </w:tc>
      </w:tr>
      <w:tr w:rsidR="00EE7FC9" w:rsidRPr="00EE7FC9" w:rsidTr="00EE7F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FC9" w:rsidRPr="00EE7FC9" w:rsidRDefault="00EE7FC9" w:rsidP="00EE7F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баланс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FC9" w:rsidRPr="00EE7FC9" w:rsidRDefault="00EE7FC9" w:rsidP="00EE7F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баланс (форма №1)</w:t>
            </w:r>
          </w:p>
        </w:tc>
      </w:tr>
      <w:tr w:rsidR="00EE7FC9" w:rsidRPr="00EE7FC9" w:rsidTr="00EE7F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FC9" w:rsidRPr="00EE7FC9" w:rsidRDefault="00EE7FC9" w:rsidP="00EE7F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прибылях и убытках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FC9" w:rsidRPr="00EE7FC9" w:rsidRDefault="00EE7FC9" w:rsidP="00EE7F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прибылях и убытках (форма № 2)</w:t>
            </w:r>
          </w:p>
        </w:tc>
      </w:tr>
      <w:tr w:rsidR="00EE7FC9" w:rsidRPr="00EE7FC9" w:rsidTr="00EE7F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FC9" w:rsidRPr="00EE7FC9" w:rsidRDefault="00EE7FC9" w:rsidP="00EE7F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движении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FC9" w:rsidRPr="00EE7FC9" w:rsidRDefault="00EE7FC9" w:rsidP="00EE7F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об изменениях капитала (форма №3)</w:t>
            </w:r>
          </w:p>
        </w:tc>
      </w:tr>
      <w:tr w:rsidR="00EE7FC9" w:rsidRPr="00EE7FC9" w:rsidTr="00EE7F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FC9" w:rsidRPr="00EE7FC9" w:rsidRDefault="00EE7FC9" w:rsidP="00EE7F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движении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FC9" w:rsidRPr="00EE7FC9" w:rsidRDefault="00EE7FC9" w:rsidP="00EE7F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движении денежных средств (форма № 4)</w:t>
            </w:r>
          </w:p>
        </w:tc>
      </w:tr>
      <w:tr w:rsidR="00EE7FC9" w:rsidRPr="00EE7FC9" w:rsidTr="00EE7F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FC9" w:rsidRPr="00EE7FC9" w:rsidRDefault="00EE7FC9" w:rsidP="00EE7F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FC9" w:rsidRPr="00EE7FC9" w:rsidRDefault="00EE7FC9" w:rsidP="00EE7F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бухгалтерскому балансу (форма №5)</w:t>
            </w:r>
          </w:p>
        </w:tc>
      </w:tr>
      <w:tr w:rsidR="00EE7FC9" w:rsidRPr="00EE7FC9" w:rsidTr="00EE7F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FC9" w:rsidRPr="00EE7FC9" w:rsidRDefault="00EE7FC9" w:rsidP="00EE7F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FC9" w:rsidRPr="00EE7FC9" w:rsidRDefault="00EE7FC9" w:rsidP="00EE7F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целевом использовании полученных средств (форма № 6)</w:t>
            </w:r>
          </w:p>
        </w:tc>
      </w:tr>
      <w:tr w:rsidR="00EE7FC9" w:rsidRPr="00EE7FC9" w:rsidTr="00EE7F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FC9" w:rsidRPr="00EE7FC9" w:rsidRDefault="00EE7FC9" w:rsidP="00EE7F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Учётная политика и пояснительная записка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FC9" w:rsidRPr="00EE7FC9" w:rsidRDefault="00EE7FC9" w:rsidP="00EE7F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EE7FC9" w:rsidRPr="00EE7FC9" w:rsidTr="00EE7F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FC9" w:rsidRPr="00EE7FC9" w:rsidRDefault="00EE7FC9" w:rsidP="00EE7F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FC9" w:rsidRPr="00EE7FC9" w:rsidRDefault="00EE7FC9" w:rsidP="00EE7F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Аудиторское заключение, подтверждающее достоверность бухгалтерской отчётности, если она подлежит обязательному аудиту</w:t>
            </w:r>
          </w:p>
        </w:tc>
      </w:tr>
    </w:tbl>
    <w:p w:rsidR="00EE7FC9" w:rsidRPr="00EE7FC9" w:rsidRDefault="00EE7FC9" w:rsidP="00EE7F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отчетности по российскому законодательству приведен в соответствии с нормативными актами Министерства финансов РФ. Следует отметить, что Федеральный закон «О бухгалтерском учете» предусматривает следующий состав бухгалтерской отчетности:</w:t>
      </w:r>
    </w:p>
    <w:p w:rsidR="00EE7FC9" w:rsidRPr="00EE7FC9" w:rsidRDefault="00EE7FC9" w:rsidP="00EE7FC9">
      <w:pPr>
        <w:numPr>
          <w:ilvl w:val="0"/>
          <w:numId w:val="23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баланс;</w:t>
      </w:r>
    </w:p>
    <w:p w:rsidR="00EE7FC9" w:rsidRPr="00EE7FC9" w:rsidRDefault="00EE7FC9" w:rsidP="00EE7FC9">
      <w:pPr>
        <w:numPr>
          <w:ilvl w:val="0"/>
          <w:numId w:val="23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прибылях и убытках;</w:t>
      </w:r>
    </w:p>
    <w:p w:rsidR="00EE7FC9" w:rsidRPr="00EE7FC9" w:rsidRDefault="00EE7FC9" w:rsidP="00EE7FC9">
      <w:pPr>
        <w:numPr>
          <w:ilvl w:val="0"/>
          <w:numId w:val="23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ним, предусмотренные нормативными актами;</w:t>
      </w:r>
    </w:p>
    <w:p w:rsidR="00EE7FC9" w:rsidRPr="00EE7FC9" w:rsidRDefault="00EE7FC9" w:rsidP="00EE7FC9">
      <w:pPr>
        <w:numPr>
          <w:ilvl w:val="0"/>
          <w:numId w:val="23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C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аудиторское заключение, подтверждающее достоверность бухгалтерской отчетности организации, если она в соответствии с федеральными законами подлежит обязательному аудиту;</w:t>
      </w:r>
    </w:p>
    <w:p w:rsidR="00EE7FC9" w:rsidRPr="00EE7FC9" w:rsidRDefault="00EE7FC9" w:rsidP="00EE7FC9">
      <w:pPr>
        <w:numPr>
          <w:ilvl w:val="0"/>
          <w:numId w:val="23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616622" w:rsidRDefault="00616622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16622" w:rsidRDefault="00616622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16622" w:rsidRDefault="00616622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16622" w:rsidRDefault="00616622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16622" w:rsidRDefault="00616622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16622" w:rsidRDefault="00616622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16622" w:rsidRPr="00616622" w:rsidRDefault="00616622" w:rsidP="006166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3518D" w:rsidRPr="00616622" w:rsidRDefault="00E3518D" w:rsidP="00616622">
      <w:pPr>
        <w:tabs>
          <w:tab w:val="left" w:pos="693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E3518D" w:rsidRPr="00616622" w:rsidSect="00355C00">
      <w:headerReference w:type="default" r:id="rId10"/>
      <w:foot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AE" w:rsidRDefault="00F74EAE" w:rsidP="008A3969">
      <w:pPr>
        <w:spacing w:after="0" w:line="240" w:lineRule="auto"/>
      </w:pPr>
      <w:r>
        <w:separator/>
      </w:r>
    </w:p>
  </w:endnote>
  <w:endnote w:type="continuationSeparator" w:id="0">
    <w:p w:rsidR="00F74EAE" w:rsidRDefault="00F74EAE" w:rsidP="008A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936621"/>
      <w:docPartObj>
        <w:docPartGallery w:val="Page Numbers (Bottom of Page)"/>
        <w:docPartUnique/>
      </w:docPartObj>
    </w:sdtPr>
    <w:sdtContent>
      <w:p w:rsidR="00DE5149" w:rsidRDefault="00A81DC7">
        <w:pPr>
          <w:pStyle w:val="a7"/>
          <w:jc w:val="right"/>
        </w:pPr>
        <w:r>
          <w:fldChar w:fldCharType="begin"/>
        </w:r>
        <w:r w:rsidR="00DE5149">
          <w:instrText>PAGE   \* MERGEFORMAT</w:instrText>
        </w:r>
        <w:r>
          <w:fldChar w:fldCharType="separate"/>
        </w:r>
        <w:r w:rsidR="007E1528">
          <w:rPr>
            <w:noProof/>
          </w:rPr>
          <w:t>8</w:t>
        </w:r>
        <w:r>
          <w:fldChar w:fldCharType="end"/>
        </w:r>
      </w:p>
    </w:sdtContent>
  </w:sdt>
  <w:p w:rsidR="00DE5149" w:rsidRDefault="00DE51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AE" w:rsidRDefault="00F74EAE" w:rsidP="008A3969">
      <w:pPr>
        <w:spacing w:after="0" w:line="240" w:lineRule="auto"/>
      </w:pPr>
      <w:r>
        <w:separator/>
      </w:r>
    </w:p>
  </w:footnote>
  <w:footnote w:type="continuationSeparator" w:id="0">
    <w:p w:rsidR="00F74EAE" w:rsidRDefault="00F74EAE" w:rsidP="008A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E8" w:rsidRPr="007E1528" w:rsidRDefault="008C71E8" w:rsidP="008C71E8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7E1528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7E1528">
        <w:rPr>
          <w:rStyle w:val="af0"/>
          <w:b/>
          <w:color w:val="FF0000"/>
          <w:sz w:val="32"/>
          <w:szCs w:val="32"/>
        </w:rPr>
        <w:t>ДЦО.РФ</w:t>
      </w:r>
    </w:hyperlink>
  </w:p>
  <w:p w:rsidR="008C71E8" w:rsidRPr="007E1528" w:rsidRDefault="008C71E8" w:rsidP="008C71E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E1528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8C71E8" w:rsidRPr="007E1528" w:rsidRDefault="008C71E8" w:rsidP="008C71E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E1528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8C71E8" w:rsidRPr="007E1528" w:rsidRDefault="008C71E8" w:rsidP="008C71E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E1528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7E1528">
        <w:rPr>
          <w:rStyle w:val="af0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C71E8" w:rsidRDefault="008C71E8">
    <w:pPr>
      <w:pStyle w:val="a5"/>
    </w:pPr>
  </w:p>
  <w:p w:rsidR="008C71E8" w:rsidRDefault="008C71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426"/>
        </w:tabs>
        <w:ind w:left="294" w:hanging="360"/>
      </w:pPr>
      <w:rPr>
        <w:rFonts w:cs="Calibri"/>
        <w:shd w:val="clear" w:color="auto" w:fill="00FF00"/>
      </w:rPr>
    </w:lvl>
  </w:abstractNum>
  <w:abstractNum w:abstractNumId="1">
    <w:nsid w:val="01A83FE2"/>
    <w:multiLevelType w:val="hybridMultilevel"/>
    <w:tmpl w:val="E5DA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05138"/>
    <w:multiLevelType w:val="hybridMultilevel"/>
    <w:tmpl w:val="1B305E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967C1"/>
    <w:multiLevelType w:val="multilevel"/>
    <w:tmpl w:val="52EC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2565CE"/>
    <w:multiLevelType w:val="hybridMultilevel"/>
    <w:tmpl w:val="EF38D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36F2C"/>
    <w:multiLevelType w:val="multilevel"/>
    <w:tmpl w:val="63C8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21E21"/>
    <w:multiLevelType w:val="hybridMultilevel"/>
    <w:tmpl w:val="A476C4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56A40"/>
    <w:multiLevelType w:val="hybridMultilevel"/>
    <w:tmpl w:val="71449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372845"/>
    <w:multiLevelType w:val="hybridMultilevel"/>
    <w:tmpl w:val="185C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6EE"/>
    <w:multiLevelType w:val="hybridMultilevel"/>
    <w:tmpl w:val="C4EA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A7A21"/>
    <w:multiLevelType w:val="hybridMultilevel"/>
    <w:tmpl w:val="3960A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03E9D"/>
    <w:multiLevelType w:val="hybridMultilevel"/>
    <w:tmpl w:val="9108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13AAD"/>
    <w:multiLevelType w:val="hybridMultilevel"/>
    <w:tmpl w:val="7AE8B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1725A"/>
    <w:multiLevelType w:val="hybridMultilevel"/>
    <w:tmpl w:val="F618A9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10D85"/>
    <w:multiLevelType w:val="hybridMultilevel"/>
    <w:tmpl w:val="B724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54BFA"/>
    <w:multiLevelType w:val="hybridMultilevel"/>
    <w:tmpl w:val="133C4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EA3927"/>
    <w:multiLevelType w:val="hybridMultilevel"/>
    <w:tmpl w:val="24C865C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6CCB"/>
    <w:multiLevelType w:val="hybridMultilevel"/>
    <w:tmpl w:val="FF5E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8620A"/>
    <w:multiLevelType w:val="hybridMultilevel"/>
    <w:tmpl w:val="21A410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623DA6"/>
    <w:multiLevelType w:val="hybridMultilevel"/>
    <w:tmpl w:val="4DBCA8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374C8A"/>
    <w:multiLevelType w:val="hybridMultilevel"/>
    <w:tmpl w:val="55BC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53AE9"/>
    <w:multiLevelType w:val="hybridMultilevel"/>
    <w:tmpl w:val="93686D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BF84597"/>
    <w:multiLevelType w:val="hybridMultilevel"/>
    <w:tmpl w:val="DF4C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21"/>
  </w:num>
  <w:num w:numId="9">
    <w:abstractNumId w:val="8"/>
  </w:num>
  <w:num w:numId="10">
    <w:abstractNumId w:val="22"/>
  </w:num>
  <w:num w:numId="11">
    <w:abstractNumId w:val="12"/>
  </w:num>
  <w:num w:numId="12">
    <w:abstractNumId w:val="15"/>
  </w:num>
  <w:num w:numId="13">
    <w:abstractNumId w:val="11"/>
  </w:num>
  <w:num w:numId="14">
    <w:abstractNumId w:val="14"/>
  </w:num>
  <w:num w:numId="15">
    <w:abstractNumId w:val="19"/>
  </w:num>
  <w:num w:numId="16">
    <w:abstractNumId w:val="10"/>
  </w:num>
  <w:num w:numId="17">
    <w:abstractNumId w:val="20"/>
  </w:num>
  <w:num w:numId="18">
    <w:abstractNumId w:val="6"/>
  </w:num>
  <w:num w:numId="19">
    <w:abstractNumId w:val="18"/>
  </w:num>
  <w:num w:numId="20">
    <w:abstractNumId w:val="7"/>
  </w:num>
  <w:num w:numId="21">
    <w:abstractNumId w:val="16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F1F"/>
    <w:rsid w:val="000520B6"/>
    <w:rsid w:val="00083C9B"/>
    <w:rsid w:val="000A3139"/>
    <w:rsid w:val="000A6419"/>
    <w:rsid w:val="000B26A0"/>
    <w:rsid w:val="000F4186"/>
    <w:rsid w:val="000F4AF7"/>
    <w:rsid w:val="00122933"/>
    <w:rsid w:val="00145AAA"/>
    <w:rsid w:val="00172C61"/>
    <w:rsid w:val="001A1988"/>
    <w:rsid w:val="00201206"/>
    <w:rsid w:val="002024BB"/>
    <w:rsid w:val="0021445A"/>
    <w:rsid w:val="00215591"/>
    <w:rsid w:val="0022419C"/>
    <w:rsid w:val="00355C00"/>
    <w:rsid w:val="00371626"/>
    <w:rsid w:val="003A67E6"/>
    <w:rsid w:val="003B6AEB"/>
    <w:rsid w:val="003D0384"/>
    <w:rsid w:val="003D60C4"/>
    <w:rsid w:val="00483DDD"/>
    <w:rsid w:val="004A4B25"/>
    <w:rsid w:val="00527C2B"/>
    <w:rsid w:val="0054369A"/>
    <w:rsid w:val="00577A30"/>
    <w:rsid w:val="005A1F2F"/>
    <w:rsid w:val="005A2087"/>
    <w:rsid w:val="005B5548"/>
    <w:rsid w:val="005E5FF2"/>
    <w:rsid w:val="00616622"/>
    <w:rsid w:val="00667D3F"/>
    <w:rsid w:val="00676A48"/>
    <w:rsid w:val="00696ED0"/>
    <w:rsid w:val="00715FC4"/>
    <w:rsid w:val="00732050"/>
    <w:rsid w:val="007402A5"/>
    <w:rsid w:val="0074678C"/>
    <w:rsid w:val="00753E18"/>
    <w:rsid w:val="007A4BD1"/>
    <w:rsid w:val="007E1528"/>
    <w:rsid w:val="008069E0"/>
    <w:rsid w:val="008175DA"/>
    <w:rsid w:val="00823AA3"/>
    <w:rsid w:val="00840C9E"/>
    <w:rsid w:val="008A3969"/>
    <w:rsid w:val="008C71E8"/>
    <w:rsid w:val="008F3A41"/>
    <w:rsid w:val="009603D8"/>
    <w:rsid w:val="009765A0"/>
    <w:rsid w:val="009B4DF5"/>
    <w:rsid w:val="009C23E7"/>
    <w:rsid w:val="009E1672"/>
    <w:rsid w:val="00A22585"/>
    <w:rsid w:val="00A264C2"/>
    <w:rsid w:val="00A81DC7"/>
    <w:rsid w:val="00AD781E"/>
    <w:rsid w:val="00B273C7"/>
    <w:rsid w:val="00B34AF4"/>
    <w:rsid w:val="00BB1A89"/>
    <w:rsid w:val="00BB1EE8"/>
    <w:rsid w:val="00BF4285"/>
    <w:rsid w:val="00C11F16"/>
    <w:rsid w:val="00C147F7"/>
    <w:rsid w:val="00C70FC9"/>
    <w:rsid w:val="00C7338A"/>
    <w:rsid w:val="00C80A8D"/>
    <w:rsid w:val="00DB1BD8"/>
    <w:rsid w:val="00DB7F14"/>
    <w:rsid w:val="00DE4758"/>
    <w:rsid w:val="00DE5149"/>
    <w:rsid w:val="00DF5F1F"/>
    <w:rsid w:val="00E3518D"/>
    <w:rsid w:val="00EC3258"/>
    <w:rsid w:val="00EE7FC9"/>
    <w:rsid w:val="00F72B59"/>
    <w:rsid w:val="00F74EAE"/>
    <w:rsid w:val="00F83039"/>
    <w:rsid w:val="00FB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33"/>
  </w:style>
  <w:style w:type="paragraph" w:styleId="3">
    <w:name w:val="heading 3"/>
    <w:basedOn w:val="a"/>
    <w:link w:val="30"/>
    <w:uiPriority w:val="9"/>
    <w:semiHidden/>
    <w:unhideWhenUsed/>
    <w:qFormat/>
    <w:rsid w:val="008C7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C71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969"/>
  </w:style>
  <w:style w:type="paragraph" w:styleId="a7">
    <w:name w:val="footer"/>
    <w:basedOn w:val="a"/>
    <w:link w:val="a8"/>
    <w:uiPriority w:val="99"/>
    <w:unhideWhenUsed/>
    <w:rsid w:val="008A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969"/>
  </w:style>
  <w:style w:type="paragraph" w:styleId="a9">
    <w:name w:val="Balloon Text"/>
    <w:basedOn w:val="a"/>
    <w:link w:val="aa"/>
    <w:uiPriority w:val="99"/>
    <w:semiHidden/>
    <w:unhideWhenUsed/>
    <w:rsid w:val="0008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C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419C"/>
  </w:style>
  <w:style w:type="character" w:styleId="ab">
    <w:name w:val="footnote reference"/>
    <w:basedOn w:val="a0"/>
    <w:semiHidden/>
    <w:rsid w:val="000F4186"/>
    <w:rPr>
      <w:vertAlign w:val="superscript"/>
    </w:rPr>
  </w:style>
  <w:style w:type="paragraph" w:styleId="31">
    <w:name w:val="Body Text 3"/>
    <w:basedOn w:val="a"/>
    <w:link w:val="32"/>
    <w:semiHidden/>
    <w:rsid w:val="000F4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41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0F418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F4186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616622"/>
    <w:rPr>
      <w:b/>
      <w:bCs/>
    </w:rPr>
  </w:style>
  <w:style w:type="table" w:styleId="af">
    <w:name w:val="Table Grid"/>
    <w:basedOn w:val="a1"/>
    <w:uiPriority w:val="59"/>
    <w:rsid w:val="006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C71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71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8C7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969"/>
  </w:style>
  <w:style w:type="paragraph" w:styleId="a7">
    <w:name w:val="footer"/>
    <w:basedOn w:val="a"/>
    <w:link w:val="a8"/>
    <w:uiPriority w:val="99"/>
    <w:unhideWhenUsed/>
    <w:rsid w:val="008A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969"/>
  </w:style>
  <w:style w:type="paragraph" w:styleId="a9">
    <w:name w:val="Balloon Text"/>
    <w:basedOn w:val="a"/>
    <w:link w:val="aa"/>
    <w:uiPriority w:val="99"/>
    <w:semiHidden/>
    <w:unhideWhenUsed/>
    <w:rsid w:val="0008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C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419C"/>
  </w:style>
  <w:style w:type="character" w:styleId="ab">
    <w:name w:val="footnote reference"/>
    <w:basedOn w:val="a0"/>
    <w:semiHidden/>
    <w:rsid w:val="000F4186"/>
    <w:rPr>
      <w:vertAlign w:val="superscript"/>
    </w:rPr>
  </w:style>
  <w:style w:type="paragraph" w:styleId="3">
    <w:name w:val="Body Text 3"/>
    <w:basedOn w:val="a"/>
    <w:link w:val="30"/>
    <w:semiHidden/>
    <w:rsid w:val="000F4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F41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0F418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F4186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616622"/>
    <w:rPr>
      <w:b/>
      <w:bCs/>
    </w:rPr>
  </w:style>
  <w:style w:type="table" w:styleId="af">
    <w:name w:val="Table Grid"/>
    <w:basedOn w:val="a1"/>
    <w:uiPriority w:val="59"/>
    <w:rsid w:val="006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837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952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812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5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0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5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34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64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98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138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41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972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114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144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6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949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1696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295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2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43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2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23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4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44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2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47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726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68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03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5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8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5DE5-21C9-47E0-AEC6-BB64C603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саша</cp:lastModifiedBy>
  <cp:revision>6</cp:revision>
  <cp:lastPrinted>2015-04-03T15:38:00Z</cp:lastPrinted>
  <dcterms:created xsi:type="dcterms:W3CDTF">2015-04-07T12:49:00Z</dcterms:created>
  <dcterms:modified xsi:type="dcterms:W3CDTF">2019-09-27T11:43:00Z</dcterms:modified>
</cp:coreProperties>
</file>