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E8" w:rsidRPr="00744366" w:rsidRDefault="00CF28E8" w:rsidP="00744366">
      <w:pPr>
        <w:spacing w:after="0" w:line="360" w:lineRule="auto"/>
        <w:jc w:val="both"/>
        <w:textAlignment w:val="baseline"/>
        <w:rPr>
          <w:rFonts w:ascii="Times New Roman" w:eastAsia="Times New Roman" w:hAnsi="Times New Roman" w:cs="Times New Roman"/>
          <w:caps/>
          <w:color w:val="02032F"/>
          <w:kern w:val="36"/>
          <w:sz w:val="28"/>
          <w:szCs w:val="28"/>
          <w:lang w:eastAsia="ru-RU"/>
        </w:rPr>
      </w:pPr>
      <w:r w:rsidRPr="00744366">
        <w:rPr>
          <w:rFonts w:ascii="Times New Roman" w:eastAsia="Times New Roman" w:hAnsi="Times New Roman" w:cs="Times New Roman"/>
          <w:caps/>
          <w:color w:val="02032F"/>
          <w:kern w:val="36"/>
          <w:sz w:val="28"/>
          <w:szCs w:val="28"/>
          <w:lang w:eastAsia="ru-RU"/>
        </w:rPr>
        <w:t>АДМИНИСТРИРОВАНИЕ НАЛОГОВОЙ НАГРУЗКИ (ОРГАНИЗАЦИЙ) ЖЕЛЕЗНОДОРОЖНОГО ТРАНСПОРТА</w:t>
      </w:r>
    </w:p>
    <w:p w:rsidR="00EB72FD" w:rsidRPr="00744366" w:rsidRDefault="00EB72FD" w:rsidP="00744366">
      <w:pPr>
        <w:spacing w:after="0" w:line="360" w:lineRule="auto"/>
        <w:jc w:val="both"/>
        <w:rPr>
          <w:rFonts w:ascii="Times New Roman" w:hAnsi="Times New Roman" w:cs="Times New Roman"/>
          <w:sz w:val="28"/>
          <w:szCs w:val="28"/>
        </w:rPr>
      </w:pPr>
    </w:p>
    <w:p w:rsidR="00744366" w:rsidRPr="00744366" w:rsidRDefault="00A6506D" w:rsidP="003007B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Глава 1.</w:t>
      </w:r>
      <w:r w:rsidR="00744366" w:rsidRPr="00744366">
        <w:rPr>
          <w:rFonts w:ascii="Times New Roman" w:hAnsi="Times New Roman" w:cs="Times New Roman"/>
          <w:b/>
          <w:bCs/>
          <w:sz w:val="28"/>
          <w:szCs w:val="28"/>
        </w:rPr>
        <w:t xml:space="preserve"> Теоретические основы управления налоговой нагрузкой организации</w:t>
      </w:r>
    </w:p>
    <w:p w:rsidR="00744366" w:rsidRPr="00744366" w:rsidRDefault="00744366" w:rsidP="003007BF">
      <w:pPr>
        <w:spacing w:after="0" w:line="360" w:lineRule="auto"/>
        <w:jc w:val="center"/>
        <w:rPr>
          <w:rFonts w:ascii="Times New Roman" w:hAnsi="Times New Roman" w:cs="Times New Roman"/>
          <w:sz w:val="28"/>
          <w:szCs w:val="28"/>
        </w:rPr>
      </w:pPr>
      <w:r w:rsidRPr="00744366">
        <w:rPr>
          <w:rFonts w:ascii="Times New Roman" w:hAnsi="Times New Roman" w:cs="Times New Roman"/>
          <w:b/>
          <w:bCs/>
          <w:sz w:val="28"/>
          <w:szCs w:val="28"/>
        </w:rPr>
        <w:t>1.1 Налоговая нагрузка: понятие, сущность, роль и значение показателя</w:t>
      </w:r>
    </w:p>
    <w:p w:rsidR="00744366" w:rsidRPr="00744366" w:rsidRDefault="00744366" w:rsidP="00744366">
      <w:pPr>
        <w:spacing w:after="0" w:line="360" w:lineRule="auto"/>
        <w:jc w:val="both"/>
        <w:rPr>
          <w:rFonts w:ascii="Times New Roman" w:hAnsi="Times New Roman" w:cs="Times New Roman"/>
          <w:sz w:val="28"/>
          <w:szCs w:val="28"/>
        </w:rPr>
      </w:pP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Оценка налоговой нагрузки является одним из основных аспектов функционирования налоговой системы. Правильно построенная система налогообложения приводит к эффективному функ</w:t>
      </w:r>
      <w:r w:rsidR="003007BF">
        <w:rPr>
          <w:rFonts w:ascii="Times New Roman" w:hAnsi="Times New Roman" w:cs="Times New Roman"/>
          <w:sz w:val="28"/>
          <w:szCs w:val="28"/>
        </w:rPr>
        <w:t>ционированию всей экономики</w:t>
      </w:r>
      <w:r w:rsidR="003007BF">
        <w:rPr>
          <w:rStyle w:val="a7"/>
          <w:rFonts w:ascii="Times New Roman" w:hAnsi="Times New Roman" w:cs="Times New Roman"/>
          <w:sz w:val="28"/>
          <w:szCs w:val="28"/>
        </w:rPr>
        <w:footnoteReference w:id="1"/>
      </w:r>
      <w:r w:rsidRPr="00744366">
        <w:rPr>
          <w:rFonts w:ascii="Times New Roman" w:hAnsi="Times New Roman" w:cs="Times New Roman"/>
          <w:sz w:val="28"/>
          <w:szCs w:val="28"/>
        </w:rPr>
        <w:t>.</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Единство</w:t>
      </w:r>
      <w:r w:rsidR="003E4D1A">
        <w:rPr>
          <w:rFonts w:ascii="Times New Roman" w:hAnsi="Times New Roman" w:cs="Times New Roman"/>
          <w:sz w:val="28"/>
          <w:szCs w:val="28"/>
        </w:rPr>
        <w:t xml:space="preserve"> авторов в определении </w:t>
      </w:r>
      <w:r w:rsidRPr="00744366">
        <w:rPr>
          <w:rFonts w:ascii="Times New Roman" w:hAnsi="Times New Roman" w:cs="Times New Roman"/>
          <w:sz w:val="28"/>
          <w:szCs w:val="28"/>
        </w:rPr>
        <w:t>понятия</w:t>
      </w:r>
      <w:r w:rsidR="003E4D1A">
        <w:rPr>
          <w:rFonts w:ascii="Times New Roman" w:hAnsi="Times New Roman" w:cs="Times New Roman"/>
          <w:sz w:val="28"/>
          <w:szCs w:val="28"/>
        </w:rPr>
        <w:t xml:space="preserve"> </w:t>
      </w:r>
      <w:r w:rsidRPr="00744366">
        <w:rPr>
          <w:rFonts w:ascii="Times New Roman" w:hAnsi="Times New Roman" w:cs="Times New Roman"/>
          <w:sz w:val="28"/>
          <w:szCs w:val="28"/>
        </w:rPr>
        <w:t>«налоговая</w:t>
      </w:r>
      <w:r w:rsidR="003E4D1A">
        <w:rPr>
          <w:rFonts w:ascii="Times New Roman" w:hAnsi="Times New Roman" w:cs="Times New Roman"/>
          <w:sz w:val="28"/>
          <w:szCs w:val="28"/>
        </w:rPr>
        <w:t xml:space="preserve"> </w:t>
      </w:r>
      <w:r w:rsidRPr="00744366">
        <w:rPr>
          <w:rFonts w:ascii="Times New Roman" w:hAnsi="Times New Roman" w:cs="Times New Roman"/>
          <w:sz w:val="28"/>
          <w:szCs w:val="28"/>
        </w:rPr>
        <w:t>нагрузка»</w:t>
      </w:r>
      <w:r w:rsidR="003E4D1A">
        <w:rPr>
          <w:rFonts w:ascii="Times New Roman" w:hAnsi="Times New Roman" w:cs="Times New Roman"/>
          <w:sz w:val="28"/>
          <w:szCs w:val="28"/>
        </w:rPr>
        <w:t xml:space="preserve"> </w:t>
      </w:r>
      <w:r w:rsidRPr="00744366">
        <w:rPr>
          <w:rFonts w:ascii="Times New Roman" w:hAnsi="Times New Roman" w:cs="Times New Roman"/>
          <w:sz w:val="28"/>
          <w:szCs w:val="28"/>
        </w:rPr>
        <w:t>отсутствует, в силу несовершенства понятийного аппарата. С определением «налоговая нагрузка» достаточно часто применяются такие понятия, как «налоговое бремя», «тяжесть налогообложения», «налоговое давление», «налоговое изъятие», «налоговый пресс». В литературе для определения</w:t>
      </w:r>
      <w:r w:rsidR="003E4D1A">
        <w:rPr>
          <w:rFonts w:ascii="Times New Roman" w:hAnsi="Times New Roman" w:cs="Times New Roman"/>
          <w:sz w:val="28"/>
          <w:szCs w:val="28"/>
        </w:rPr>
        <w:t xml:space="preserve"> </w:t>
      </w:r>
      <w:r w:rsidRPr="00744366">
        <w:rPr>
          <w:rFonts w:ascii="Times New Roman" w:hAnsi="Times New Roman" w:cs="Times New Roman"/>
          <w:sz w:val="28"/>
          <w:szCs w:val="28"/>
        </w:rPr>
        <w:t>влияния налогов чаще всего используют понятия «налоговая нагрузка» и «налоговое бремя».</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Определению и расчету налоговой нагрузки как на микроуровне, так и на макроуровне посвящено множество работ современных экономистов. На макроэкономическом уровне налоговая нагрузка определяется отношением общей суммы налоговых доходов в бюджет к объему внутреннего валового</w:t>
      </w:r>
      <w:r w:rsidR="003E4D1A">
        <w:rPr>
          <w:rFonts w:ascii="Times New Roman" w:hAnsi="Times New Roman" w:cs="Times New Roman"/>
          <w:sz w:val="28"/>
          <w:szCs w:val="28"/>
        </w:rPr>
        <w:t xml:space="preserve"> продукта. Также на макроэкономическом </w:t>
      </w:r>
      <w:r w:rsidRPr="00744366">
        <w:rPr>
          <w:rFonts w:ascii="Times New Roman" w:hAnsi="Times New Roman" w:cs="Times New Roman"/>
          <w:sz w:val="28"/>
          <w:szCs w:val="28"/>
        </w:rPr>
        <w:t>уровне</w:t>
      </w:r>
      <w:r w:rsidR="003E4D1A">
        <w:rPr>
          <w:rFonts w:ascii="Times New Roman" w:hAnsi="Times New Roman" w:cs="Times New Roman"/>
          <w:sz w:val="28"/>
          <w:szCs w:val="28"/>
        </w:rPr>
        <w:t xml:space="preserve"> налоговая </w:t>
      </w:r>
      <w:r w:rsidRPr="00744366">
        <w:rPr>
          <w:rFonts w:ascii="Times New Roman" w:hAnsi="Times New Roman" w:cs="Times New Roman"/>
          <w:sz w:val="28"/>
          <w:szCs w:val="28"/>
        </w:rPr>
        <w:t>нагрузка</w:t>
      </w:r>
      <w:r w:rsidR="003E4D1A">
        <w:rPr>
          <w:rFonts w:ascii="Times New Roman" w:hAnsi="Times New Roman" w:cs="Times New Roman"/>
          <w:sz w:val="28"/>
          <w:szCs w:val="28"/>
        </w:rPr>
        <w:t xml:space="preserve"> </w:t>
      </w:r>
      <w:r w:rsidRPr="00744366">
        <w:rPr>
          <w:rFonts w:ascii="Times New Roman" w:hAnsi="Times New Roman" w:cs="Times New Roman"/>
          <w:sz w:val="28"/>
          <w:szCs w:val="28"/>
        </w:rPr>
        <w:t xml:space="preserve">трактуется </w:t>
      </w:r>
      <w:r w:rsidRPr="00744366">
        <w:rPr>
          <w:rFonts w:ascii="Times New Roman" w:hAnsi="Times New Roman" w:cs="Times New Roman"/>
          <w:sz w:val="28"/>
          <w:szCs w:val="28"/>
        </w:rPr>
        <w:lastRenderedPageBreak/>
        <w:t>как «совокупность инструментов государства, позволяющих ему конкретизировать общее бюджетное решение о совокупном объеме доходов,</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обеспечивающих необходимые расходы общественного сектора» и определяется отношением суммы всех налогов и сборов, поступивших в бюджет страны, к ва</w:t>
      </w:r>
      <w:r w:rsidR="003007BF">
        <w:rPr>
          <w:rFonts w:ascii="Times New Roman" w:hAnsi="Times New Roman" w:cs="Times New Roman"/>
          <w:sz w:val="28"/>
          <w:szCs w:val="28"/>
        </w:rPr>
        <w:t>ловому внутреннему продукту</w:t>
      </w:r>
      <w:r w:rsidRPr="00744366">
        <w:rPr>
          <w:rFonts w:ascii="Times New Roman" w:hAnsi="Times New Roman" w:cs="Times New Roman"/>
          <w:sz w:val="28"/>
          <w:szCs w:val="28"/>
        </w:rPr>
        <w:t>.</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На микроэкономическом уровне показатель налоговой нагрузки отображает долю совокупного дохода плательщика налога изымаемую в</w:t>
      </w:r>
      <w:r w:rsidR="003E4D1A">
        <w:rPr>
          <w:rFonts w:ascii="Times New Roman" w:hAnsi="Times New Roman" w:cs="Times New Roman"/>
          <w:sz w:val="28"/>
          <w:szCs w:val="28"/>
        </w:rPr>
        <w:t xml:space="preserve"> </w:t>
      </w:r>
      <w:r w:rsidRPr="00744366">
        <w:rPr>
          <w:rFonts w:ascii="Times New Roman" w:hAnsi="Times New Roman" w:cs="Times New Roman"/>
          <w:sz w:val="28"/>
          <w:szCs w:val="28"/>
        </w:rPr>
        <w:t>бюджетную систему. В тоже время, стоит отметить, что единого подхода к определению налоговой нагрузки на микроэкономическом уровне нет.</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Следует подчеркнуть, что на законодательном уровне налоговая нагрузка упоминается в Письме ФНС России «О работе комиссий налоговых органов по легализации налоговой базы» от 21.03.2017 № ЕД-4-15/5183. Данное письмо содержит формулы расчета налоговой нагрузки к налоговым режимам и</w:t>
      </w:r>
      <w:r w:rsidR="003007BF">
        <w:rPr>
          <w:rFonts w:ascii="Times New Roman" w:hAnsi="Times New Roman" w:cs="Times New Roman"/>
          <w:sz w:val="28"/>
          <w:szCs w:val="28"/>
        </w:rPr>
        <w:t xml:space="preserve"> </w:t>
      </w:r>
      <w:r w:rsidRPr="00744366">
        <w:rPr>
          <w:rFonts w:ascii="Times New Roman" w:hAnsi="Times New Roman" w:cs="Times New Roman"/>
          <w:sz w:val="28"/>
          <w:szCs w:val="28"/>
        </w:rPr>
        <w:t>некоторым конкретным налогам. Также Приказом ФНС России «Об утверждении Концепции системы планирования выездных налоговых проверок» от 30.05.2007 № ММ-3-06/333 отражаются показатели совокупной налоговой нагрузки по отраслям экономики.</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Исходя из формул расчета, которые содержаться в обоих документах, следует предположить, что налоговой нагрузкой называется отношение суммы налогов и сборов к выручке от продажи продукции и товаров, а также поступлениям, связанным с выполнением работ и оказанием услуг</w:t>
      </w:r>
      <w:r w:rsidR="00A6506D">
        <w:rPr>
          <w:rStyle w:val="a7"/>
          <w:rFonts w:ascii="Times New Roman" w:hAnsi="Times New Roman" w:cs="Times New Roman"/>
          <w:sz w:val="28"/>
          <w:szCs w:val="28"/>
        </w:rPr>
        <w:footnoteReference w:id="2"/>
      </w:r>
      <w:r w:rsidRPr="00744366">
        <w:rPr>
          <w:rFonts w:ascii="Times New Roman" w:hAnsi="Times New Roman" w:cs="Times New Roman"/>
          <w:sz w:val="28"/>
          <w:szCs w:val="28"/>
        </w:rPr>
        <w:t>.</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Таким образом, если обобщить понятие «налоговая нагрузка» можно охарактеризовать его как обобщенную количественную и качественную </w:t>
      </w:r>
      <w:r w:rsidRPr="00744366">
        <w:rPr>
          <w:rFonts w:ascii="Times New Roman" w:hAnsi="Times New Roman" w:cs="Times New Roman"/>
          <w:sz w:val="28"/>
          <w:szCs w:val="28"/>
        </w:rPr>
        <w:lastRenderedPageBreak/>
        <w:t>характеристику влияния обязательных платежей в бюджет на финансовое состояние организаций, и как требования по регулярным выплатам хозяйствующих субъек</w:t>
      </w:r>
      <w:r w:rsidR="003007BF">
        <w:rPr>
          <w:rFonts w:ascii="Times New Roman" w:hAnsi="Times New Roman" w:cs="Times New Roman"/>
          <w:sz w:val="28"/>
          <w:szCs w:val="28"/>
        </w:rPr>
        <w:t>тов в государственные фонды</w:t>
      </w:r>
      <w:r w:rsidR="003007BF">
        <w:rPr>
          <w:rStyle w:val="a7"/>
          <w:rFonts w:ascii="Times New Roman" w:hAnsi="Times New Roman" w:cs="Times New Roman"/>
          <w:sz w:val="28"/>
          <w:szCs w:val="28"/>
        </w:rPr>
        <w:footnoteReference w:id="3"/>
      </w:r>
      <w:r w:rsidRPr="00744366">
        <w:rPr>
          <w:rFonts w:ascii="Times New Roman" w:hAnsi="Times New Roman" w:cs="Times New Roman"/>
          <w:sz w:val="28"/>
          <w:szCs w:val="28"/>
        </w:rPr>
        <w:t>, которые рассматриваются как совокупность инструментов государства.</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Исследователь И. Селиверстова, рассматривая налоговую нагрузку на экономический субъект, выделяет 4 направления, представленные на рисунке 1, через которые р</w:t>
      </w:r>
      <w:r w:rsidR="003007BF">
        <w:rPr>
          <w:rFonts w:ascii="Times New Roman" w:hAnsi="Times New Roman" w:cs="Times New Roman"/>
          <w:sz w:val="28"/>
          <w:szCs w:val="28"/>
        </w:rPr>
        <w:t>еализуется налоговая нагрузка</w:t>
      </w:r>
      <w:r w:rsidR="003007BF">
        <w:rPr>
          <w:rStyle w:val="a7"/>
          <w:rFonts w:ascii="Times New Roman" w:hAnsi="Times New Roman" w:cs="Times New Roman"/>
          <w:sz w:val="28"/>
          <w:szCs w:val="28"/>
        </w:rPr>
        <w:footnoteReference w:id="4"/>
      </w:r>
      <w:r w:rsidRPr="00744366">
        <w:rPr>
          <w:rFonts w:ascii="Times New Roman" w:hAnsi="Times New Roman" w:cs="Times New Roman"/>
          <w:sz w:val="28"/>
          <w:szCs w:val="28"/>
        </w:rPr>
        <w:t>.</w:t>
      </w:r>
    </w:p>
    <w:p w:rsidR="00744366" w:rsidRPr="00744366" w:rsidRDefault="00744366" w:rsidP="00744366">
      <w:pPr>
        <w:spacing w:after="0" w:line="360" w:lineRule="auto"/>
        <w:jc w:val="both"/>
        <w:rPr>
          <w:rFonts w:ascii="Times New Roman" w:hAnsi="Times New Roman" w:cs="Times New Roman"/>
          <w:sz w:val="28"/>
          <w:szCs w:val="28"/>
        </w:rPr>
      </w:pPr>
      <w:r w:rsidRPr="00744366">
        <w:rPr>
          <w:rFonts w:ascii="Times New Roman" w:hAnsi="Times New Roman" w:cs="Times New Roman"/>
          <w:noProof/>
          <w:sz w:val="28"/>
          <w:szCs w:val="28"/>
          <w:lang w:eastAsia="ru-RU"/>
        </w:rPr>
        <w:drawing>
          <wp:inline distT="0" distB="0" distL="0" distR="0">
            <wp:extent cx="6019800" cy="3505200"/>
            <wp:effectExtent l="19050" t="0" r="0" b="0"/>
            <wp:docPr id="1" name="Рисунок 1" descr="C:\Users\user\Desktop\2018-04-18_20-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4-18_20-57-41.png"/>
                    <pic:cNvPicPr>
                      <a:picLocks noChangeAspect="1" noChangeArrowheads="1"/>
                    </pic:cNvPicPr>
                  </pic:nvPicPr>
                  <pic:blipFill>
                    <a:blip r:embed="rId8" cstate="print"/>
                    <a:srcRect/>
                    <a:stretch>
                      <a:fillRect/>
                    </a:stretch>
                  </pic:blipFill>
                  <pic:spPr bwMode="auto">
                    <a:xfrm>
                      <a:off x="0" y="0"/>
                      <a:ext cx="6019800" cy="3505200"/>
                    </a:xfrm>
                    <a:prstGeom prst="rect">
                      <a:avLst/>
                    </a:prstGeom>
                    <a:noFill/>
                    <a:ln w="9525">
                      <a:noFill/>
                      <a:miter lim="800000"/>
                      <a:headEnd/>
                      <a:tailEnd/>
                    </a:ln>
                  </pic:spPr>
                </pic:pic>
              </a:graphicData>
            </a:graphic>
          </wp:inline>
        </w:drawing>
      </w:r>
    </w:p>
    <w:p w:rsidR="00744366" w:rsidRPr="00744366" w:rsidRDefault="00744366" w:rsidP="00744366">
      <w:pPr>
        <w:spacing w:after="0" w:line="360" w:lineRule="auto"/>
        <w:jc w:val="both"/>
        <w:rPr>
          <w:rFonts w:ascii="Times New Roman" w:hAnsi="Times New Roman" w:cs="Times New Roman"/>
          <w:sz w:val="28"/>
          <w:szCs w:val="28"/>
        </w:rPr>
      </w:pPr>
      <w:r w:rsidRPr="00744366">
        <w:rPr>
          <w:rFonts w:ascii="Times New Roman" w:hAnsi="Times New Roman" w:cs="Times New Roman"/>
          <w:sz w:val="28"/>
          <w:szCs w:val="28"/>
        </w:rPr>
        <w:t>Рисунок 1 – Направления реализации налоговой нагрузки</w:t>
      </w:r>
    </w:p>
    <w:p w:rsidR="00744366" w:rsidRPr="00744366" w:rsidRDefault="00744366" w:rsidP="00744366">
      <w:pPr>
        <w:spacing w:after="0" w:line="360" w:lineRule="auto"/>
        <w:jc w:val="both"/>
        <w:rPr>
          <w:rFonts w:ascii="Times New Roman" w:hAnsi="Times New Roman" w:cs="Times New Roman"/>
          <w:sz w:val="28"/>
          <w:szCs w:val="28"/>
        </w:rPr>
      </w:pPr>
    </w:p>
    <w:p w:rsidR="00744366" w:rsidRPr="003E4D1A" w:rsidRDefault="003E4D1A" w:rsidP="007B27CC">
      <w:pPr>
        <w:tabs>
          <w:tab w:val="left" w:pos="134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744366" w:rsidRPr="00744366">
        <w:rPr>
          <w:rFonts w:ascii="Times New Roman" w:eastAsia="Times New Roman" w:hAnsi="Times New Roman" w:cs="Times New Roman"/>
          <w:sz w:val="28"/>
          <w:szCs w:val="28"/>
        </w:rPr>
        <w:t xml:space="preserve">таким подходом сложно не согласиться, потому что в процессе деятельности организации ощущают на себе влияние каждого из перечисленных направлений. Стоит отметить, что сила их влияния будет </w:t>
      </w:r>
      <w:r w:rsidR="00744366" w:rsidRPr="00744366">
        <w:rPr>
          <w:rFonts w:ascii="Times New Roman" w:eastAsia="Times New Roman" w:hAnsi="Times New Roman" w:cs="Times New Roman"/>
          <w:sz w:val="28"/>
          <w:szCs w:val="28"/>
        </w:rPr>
        <w:lastRenderedPageBreak/>
        <w:t>отличаться в зависимости от системы налогообложения, которую выбрала организация: традиционная система или специальные налоговые режимы,</w:t>
      </w:r>
      <w:r>
        <w:rPr>
          <w:rFonts w:ascii="Times New Roman" w:eastAsia="Times New Roman" w:hAnsi="Times New Roman" w:cs="Times New Roman"/>
          <w:sz w:val="28"/>
          <w:szCs w:val="28"/>
        </w:rPr>
        <w:t xml:space="preserve"> </w:t>
      </w:r>
      <w:r w:rsidR="00744366" w:rsidRPr="00744366">
        <w:rPr>
          <w:rFonts w:ascii="Times New Roman" w:eastAsia="Times New Roman" w:hAnsi="Times New Roman" w:cs="Times New Roman"/>
          <w:sz w:val="28"/>
          <w:szCs w:val="28"/>
        </w:rPr>
        <w:t>которые также дают выбор и возможности дня снижения налоговой нагрузки. Не случайно, что изучению налоговой нагрузки посвящено множество</w:t>
      </w:r>
      <w:r>
        <w:rPr>
          <w:rFonts w:ascii="Times New Roman" w:eastAsia="Times New Roman" w:hAnsi="Times New Roman" w:cs="Times New Roman"/>
          <w:sz w:val="28"/>
          <w:szCs w:val="28"/>
        </w:rPr>
        <w:t xml:space="preserve"> </w:t>
      </w:r>
      <w:r w:rsidR="00744366" w:rsidRPr="00744366">
        <w:rPr>
          <w:rFonts w:ascii="Times New Roman" w:eastAsia="Times New Roman" w:hAnsi="Times New Roman" w:cs="Times New Roman"/>
          <w:sz w:val="28"/>
          <w:szCs w:val="28"/>
        </w:rPr>
        <w:t>работ экономистов, так как оптимизация налоговой нагрузки играет важную роль в создании и улучшении налоговой системы государства. На рисунке 2 представлены основные направления применения показателя налоговой нагрузки.</w:t>
      </w:r>
    </w:p>
    <w:p w:rsidR="00744366" w:rsidRPr="00744366" w:rsidRDefault="00744366" w:rsidP="00744366">
      <w:pPr>
        <w:spacing w:after="0" w:line="360" w:lineRule="auto"/>
        <w:jc w:val="both"/>
        <w:rPr>
          <w:rFonts w:ascii="Times New Roman" w:hAnsi="Times New Roman" w:cs="Times New Roman"/>
          <w:sz w:val="28"/>
          <w:szCs w:val="28"/>
        </w:rPr>
      </w:pPr>
      <w:r w:rsidRPr="00744366">
        <w:rPr>
          <w:rFonts w:ascii="Times New Roman" w:hAnsi="Times New Roman" w:cs="Times New Roman"/>
          <w:noProof/>
          <w:sz w:val="28"/>
          <w:szCs w:val="28"/>
          <w:lang w:eastAsia="ru-RU"/>
        </w:rPr>
        <w:drawing>
          <wp:anchor distT="0" distB="0" distL="114300" distR="114300" simplePos="0" relativeHeight="251663360" behindDoc="1" locked="0" layoutInCell="0" allowOverlap="1">
            <wp:simplePos x="0" y="0"/>
            <wp:positionH relativeFrom="column">
              <wp:posOffset>548640</wp:posOffset>
            </wp:positionH>
            <wp:positionV relativeFrom="paragraph">
              <wp:posOffset>12701</wp:posOffset>
            </wp:positionV>
            <wp:extent cx="5676900" cy="17716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5673090" cy="1770461"/>
                    </a:xfrm>
                    <a:prstGeom prst="rect">
                      <a:avLst/>
                    </a:prstGeom>
                    <a:noFill/>
                  </pic:spPr>
                </pic:pic>
              </a:graphicData>
            </a:graphic>
          </wp:anchor>
        </w:drawing>
      </w:r>
    </w:p>
    <w:p w:rsidR="00744366" w:rsidRPr="00744366" w:rsidRDefault="00744366" w:rsidP="00744366">
      <w:pPr>
        <w:spacing w:after="0" w:line="360" w:lineRule="auto"/>
        <w:jc w:val="both"/>
        <w:rPr>
          <w:rFonts w:ascii="Times New Roman" w:hAnsi="Times New Roman" w:cs="Times New Roman"/>
          <w:sz w:val="28"/>
          <w:szCs w:val="28"/>
        </w:rPr>
      </w:pPr>
    </w:p>
    <w:p w:rsidR="00744366" w:rsidRPr="00744366" w:rsidRDefault="00744366" w:rsidP="00744366">
      <w:pPr>
        <w:spacing w:after="0" w:line="360" w:lineRule="auto"/>
        <w:jc w:val="both"/>
        <w:rPr>
          <w:rFonts w:ascii="Times New Roman" w:hAnsi="Times New Roman" w:cs="Times New Roman"/>
          <w:sz w:val="28"/>
          <w:szCs w:val="28"/>
        </w:rPr>
      </w:pPr>
    </w:p>
    <w:p w:rsidR="00744366" w:rsidRPr="00744366" w:rsidRDefault="00744366" w:rsidP="00744366">
      <w:pPr>
        <w:spacing w:after="0" w:line="360" w:lineRule="auto"/>
        <w:jc w:val="both"/>
        <w:rPr>
          <w:rFonts w:ascii="Times New Roman" w:hAnsi="Times New Roman" w:cs="Times New Roman"/>
          <w:sz w:val="28"/>
          <w:szCs w:val="28"/>
        </w:rPr>
      </w:pPr>
    </w:p>
    <w:p w:rsidR="003007BF" w:rsidRDefault="003007BF" w:rsidP="00744366">
      <w:pPr>
        <w:spacing w:after="0" w:line="360" w:lineRule="auto"/>
        <w:jc w:val="both"/>
        <w:rPr>
          <w:rFonts w:ascii="Times New Roman" w:hAnsi="Times New Roman" w:cs="Times New Roman"/>
          <w:sz w:val="28"/>
          <w:szCs w:val="28"/>
        </w:rPr>
      </w:pPr>
    </w:p>
    <w:p w:rsidR="00744366" w:rsidRPr="00744366" w:rsidRDefault="00744366" w:rsidP="00744366">
      <w:pPr>
        <w:spacing w:after="0" w:line="360" w:lineRule="auto"/>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Рисунок 2 — Основные направления применения показателя налоговой нагрузки</w:t>
      </w:r>
    </w:p>
    <w:p w:rsidR="003E4D1A" w:rsidRDefault="003E4D1A" w:rsidP="00744366">
      <w:pPr>
        <w:spacing w:after="0" w:line="360" w:lineRule="auto"/>
        <w:jc w:val="both"/>
        <w:rPr>
          <w:rFonts w:ascii="Times New Roman" w:hAnsi="Times New Roman" w:cs="Times New Roman"/>
          <w:sz w:val="28"/>
          <w:szCs w:val="28"/>
        </w:rPr>
      </w:pPr>
    </w:p>
    <w:p w:rsidR="003E4D1A"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Роль и значение показателя налоговой нагрузки заключается в следующем:</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когда вводятся новые налоги и изменяются старые путем уменьшения или увеличения налоговых ставок и налоговых льгот, государство должно определить, где находятся предельно допустимые уровни давления на народное хозяйство, за границами которых возможны негативные экономические</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процессы. Также стоит отметить, что показатель налоговой нагрузки может использоваться для прогноза доходов бюджета;</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lastRenderedPageBreak/>
        <w:t>— показатель налоговой нагрузки служит для изучения влияния налоговой системы на развитие социальной политики государства. Изучение справедливости налогообложения касательно живущих граждан государства,</w:t>
      </w:r>
      <w:r w:rsidR="003E4D1A">
        <w:rPr>
          <w:rFonts w:ascii="Times New Roman" w:hAnsi="Times New Roman" w:cs="Times New Roman"/>
          <w:sz w:val="28"/>
          <w:szCs w:val="28"/>
        </w:rPr>
        <w:t xml:space="preserve"> </w:t>
      </w:r>
      <w:r w:rsidRPr="00744366">
        <w:rPr>
          <w:rFonts w:ascii="Times New Roman" w:eastAsia="Times New Roman" w:hAnsi="Times New Roman" w:cs="Times New Roman"/>
          <w:sz w:val="28"/>
          <w:szCs w:val="28"/>
        </w:rPr>
        <w:t>тяжести налогообложения между различными социальными группами, дает возможность государству более справедливо распределять тяготы налогообложения между разными социальными группами для стабилизации социально-экономической ситуации в стране;</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показатель налоговой нагрузки используется в качестве указателя на то, как поведут себя организации. В большей мере от налоговой нагрузки зависит принятие хозяйствующими субъектами решений о вложении собственных финансовых ресурсов в развитие того или иного производства, в ту или иную отрасль экономики. От этого показателя также зависит финансовое положение ка</w:t>
      </w:r>
      <w:r w:rsidR="001A489C">
        <w:rPr>
          <w:rFonts w:ascii="Times New Roman" w:eastAsia="Times New Roman" w:hAnsi="Times New Roman" w:cs="Times New Roman"/>
          <w:sz w:val="28"/>
          <w:szCs w:val="28"/>
        </w:rPr>
        <w:t>ждой конкретной организации</w:t>
      </w:r>
      <w:r w:rsidR="001A489C">
        <w:rPr>
          <w:rStyle w:val="a7"/>
          <w:rFonts w:ascii="Times New Roman" w:eastAsia="Times New Roman" w:hAnsi="Times New Roman" w:cs="Times New Roman"/>
          <w:sz w:val="28"/>
          <w:szCs w:val="28"/>
        </w:rPr>
        <w:footnoteReference w:id="5"/>
      </w:r>
      <w:r w:rsidRPr="00744366">
        <w:rPr>
          <w:rFonts w:ascii="Times New Roman" w:eastAsia="Times New Roman" w:hAnsi="Times New Roman" w:cs="Times New Roman"/>
          <w:sz w:val="28"/>
          <w:szCs w:val="28"/>
        </w:rPr>
        <w:t>;</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с точки зрения организации показатель налоговой нагрузки служит для того чтобы понять, как к их деятельности и выплате налогов относится налоговая служба. Расчет показателя налоговой нагрузки поможет предостеречь от проведения проверки в организации;</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показатель налоговой нагрузки определяет налоговое бремя на следующий период, что может послужить основой для принятия обоснованных управ</w:t>
      </w:r>
      <w:r w:rsidR="001A489C">
        <w:rPr>
          <w:rFonts w:ascii="Times New Roman" w:eastAsia="Times New Roman" w:hAnsi="Times New Roman" w:cs="Times New Roman"/>
          <w:sz w:val="28"/>
          <w:szCs w:val="28"/>
        </w:rPr>
        <w:t>ленческих решений в будущем</w:t>
      </w:r>
      <w:r w:rsidR="001A489C">
        <w:rPr>
          <w:rStyle w:val="a7"/>
          <w:rFonts w:ascii="Times New Roman" w:eastAsia="Times New Roman" w:hAnsi="Times New Roman" w:cs="Times New Roman"/>
          <w:sz w:val="28"/>
          <w:szCs w:val="28"/>
        </w:rPr>
        <w:footnoteReference w:id="6"/>
      </w:r>
      <w:r w:rsidRPr="00744366">
        <w:rPr>
          <w:rFonts w:ascii="Times New Roman" w:eastAsia="Times New Roman" w:hAnsi="Times New Roman" w:cs="Times New Roman"/>
          <w:sz w:val="28"/>
          <w:szCs w:val="28"/>
        </w:rPr>
        <w:t>.</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Таким образом, можно сделать вывод, что исчисление налоговой нагрузки может осуществляться на двух уровнях: макроуровень и микроуровень.</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lastRenderedPageBreak/>
        <w:t>Применяя те или иные, методы и приемы налогового планирования, налогоплательщику надлежит придерживаться основных принципов, которые позволят ему добиться своих целей при минимальных усилиях и без нарушения законодательства. Принципы налогового планирования можно разделить на несколько основных групп:</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принцип законности соблюдение всех налоговых норм при расчете и оплате налоговых платежей. Именно этот принцип и являетсяосновополагающим, он позволяет дистанцировать налоговое планирование от обвинений в уклонении от уплаты налогов;</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принцип оперативности подразумевает произведение своевременного налогового планирования. Это означает, что утвержденные учетная и налоговая политики компании должны вовремя пересматриваться для быстрого реагирования на изменение норм налогового законодательства, позволяющих снизить бремя по уплате налогов. Также изменения должны своевременно вноситься и в случае появления нового направления деятельности, расширения или другого переформатирования бизнеса;</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принцип оптимальности, предполагающий использование таких механизмов, которые бы привели к уменьшению налоговой нагрузки без ущерба для бизнес-целей и интересов владельцев предприятия. Бизнесменам потребуется достичь равновесия между величиной налоговой нагрузки и размером ожидаемой прибыли, которая могла быть направлена на расширение бизнеса. Аналитикам необходимо заранее просчитывать, какой экономический эффект следует ожидать от внедрения того или иного метода налогового планирования, не покроют ли затраты на его внедрение всей ожидаемой доходности как в краткосрочной, так и в долгосрочной перспективе.</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lastRenderedPageBreak/>
        <w:t>Необходимо своевременно просчитать, не приведет ли сокращение одного налога к росту других обязательных платежей;</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принцип обоснованности предполагает, что налогоплательщик заранее подготовил необходимые аргументы для объяснения перед налоговыми инспекторами и защиты своей позиции в суде в случае применения непопулярных или спорных методов налогового планирования;</w:t>
      </w:r>
    </w:p>
    <w:p w:rsidR="00744366" w:rsidRPr="003E4D1A"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принцип комплексности, который обозначает, что при налоговом планировании учитываются не только нормы налогового законодательства, но</w:t>
      </w:r>
      <w:r w:rsidR="003E4D1A">
        <w:rPr>
          <w:rFonts w:ascii="Times New Roman" w:hAnsi="Times New Roman" w:cs="Times New Roman"/>
          <w:sz w:val="28"/>
          <w:szCs w:val="28"/>
        </w:rPr>
        <w:t xml:space="preserve"> и </w:t>
      </w:r>
      <w:r w:rsidRPr="00744366">
        <w:rPr>
          <w:rFonts w:ascii="Times New Roman" w:eastAsia="Times New Roman" w:hAnsi="Times New Roman" w:cs="Times New Roman"/>
          <w:sz w:val="28"/>
          <w:szCs w:val="28"/>
        </w:rPr>
        <w:t>других правовых отраслей, особенно гражданского законодательства;</w:t>
      </w:r>
    </w:p>
    <w:p w:rsidR="00744366" w:rsidRPr="003E4D1A" w:rsidRDefault="00744366" w:rsidP="007B27CC">
      <w:pPr>
        <w:spacing w:after="0" w:line="360" w:lineRule="auto"/>
        <w:ind w:firstLine="709"/>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 принцип профессионализма, который говорит о том, что к такой деятельности нужно привлекать квалифицированных специалистов, что означает грамотное составление первичных документов, договоров, регистров,</w:t>
      </w:r>
      <w:r w:rsidR="003E4D1A">
        <w:rPr>
          <w:rFonts w:ascii="Times New Roman" w:eastAsia="Times New Roman" w:hAnsi="Times New Roman" w:cs="Times New Roman"/>
          <w:sz w:val="28"/>
          <w:szCs w:val="28"/>
        </w:rPr>
        <w:t xml:space="preserve"> </w:t>
      </w:r>
      <w:r w:rsidRPr="00744366">
        <w:rPr>
          <w:rFonts w:ascii="Times New Roman" w:eastAsia="Times New Roman" w:hAnsi="Times New Roman" w:cs="Times New Roman"/>
          <w:sz w:val="28"/>
          <w:szCs w:val="28"/>
        </w:rPr>
        <w:t>отчетности;</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принцип конфиденциальности, означающий, что налогоплательщик не должен афишировать посторонним лицам применяемые на предприятии мет</w:t>
      </w:r>
      <w:r w:rsidR="001A489C">
        <w:rPr>
          <w:rFonts w:ascii="Times New Roman" w:eastAsia="Times New Roman" w:hAnsi="Times New Roman" w:cs="Times New Roman"/>
          <w:sz w:val="28"/>
          <w:szCs w:val="28"/>
        </w:rPr>
        <w:t>оды налогового планирования</w:t>
      </w:r>
      <w:r w:rsidR="001A489C">
        <w:rPr>
          <w:rStyle w:val="a7"/>
          <w:rFonts w:ascii="Times New Roman" w:eastAsia="Times New Roman" w:hAnsi="Times New Roman" w:cs="Times New Roman"/>
          <w:sz w:val="28"/>
          <w:szCs w:val="28"/>
        </w:rPr>
        <w:footnoteReference w:id="7"/>
      </w:r>
      <w:r w:rsidRPr="00744366">
        <w:rPr>
          <w:rFonts w:ascii="Times New Roman" w:eastAsia="Times New Roman" w:hAnsi="Times New Roman" w:cs="Times New Roman"/>
          <w:sz w:val="28"/>
          <w:szCs w:val="28"/>
        </w:rPr>
        <w:t>.</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Таким образом, на основании вышеизложенного материала приходим к выводу, что налоговая нагрузка представляется одним из важнейших</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оценочных критериев для государства и является неотъемлемой частью управления в финансово-хозяйственной деятельности любого предприятия.</w:t>
      </w:r>
    </w:p>
    <w:p w:rsidR="00744366"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Под налоговой нагрузкой будем понимать совокупность показателей характеризующих влияние обязательных платежей налогового характера на финансовое положение хозяйствующего субъекта.</w:t>
      </w:r>
    </w:p>
    <w:p w:rsidR="00744366" w:rsidRPr="00744366" w:rsidRDefault="00744366" w:rsidP="00744366">
      <w:pPr>
        <w:spacing w:after="0" w:line="360" w:lineRule="auto"/>
        <w:jc w:val="both"/>
        <w:rPr>
          <w:rFonts w:ascii="Times New Roman" w:hAnsi="Times New Roman" w:cs="Times New Roman"/>
          <w:sz w:val="28"/>
          <w:szCs w:val="28"/>
        </w:rPr>
      </w:pPr>
    </w:p>
    <w:p w:rsidR="001A489C" w:rsidRDefault="001A489C" w:rsidP="003E4D1A">
      <w:pPr>
        <w:spacing w:after="0" w:line="360" w:lineRule="auto"/>
        <w:jc w:val="center"/>
        <w:rPr>
          <w:rFonts w:ascii="Times New Roman" w:hAnsi="Times New Roman" w:cs="Times New Roman"/>
          <w:b/>
          <w:sz w:val="28"/>
          <w:szCs w:val="28"/>
        </w:rPr>
      </w:pPr>
    </w:p>
    <w:p w:rsidR="001A489C" w:rsidRDefault="001A489C" w:rsidP="003E4D1A">
      <w:pPr>
        <w:spacing w:after="0" w:line="360" w:lineRule="auto"/>
        <w:jc w:val="center"/>
        <w:rPr>
          <w:rFonts w:ascii="Times New Roman" w:hAnsi="Times New Roman" w:cs="Times New Roman"/>
          <w:b/>
          <w:sz w:val="28"/>
          <w:szCs w:val="28"/>
        </w:rPr>
      </w:pPr>
    </w:p>
    <w:p w:rsidR="00CF28E8" w:rsidRPr="003E4D1A" w:rsidRDefault="00CF28E8" w:rsidP="003E4D1A">
      <w:pPr>
        <w:spacing w:after="0" w:line="360" w:lineRule="auto"/>
        <w:jc w:val="center"/>
        <w:rPr>
          <w:rFonts w:ascii="Times New Roman" w:hAnsi="Times New Roman" w:cs="Times New Roman"/>
          <w:b/>
          <w:sz w:val="28"/>
          <w:szCs w:val="28"/>
        </w:rPr>
      </w:pPr>
      <w:r w:rsidRPr="003E4D1A">
        <w:rPr>
          <w:rFonts w:ascii="Times New Roman" w:hAnsi="Times New Roman" w:cs="Times New Roman"/>
          <w:b/>
          <w:sz w:val="28"/>
          <w:szCs w:val="28"/>
        </w:rPr>
        <w:t xml:space="preserve">1.2 </w:t>
      </w:r>
      <w:r w:rsidR="00951FCA" w:rsidRPr="003E4D1A">
        <w:rPr>
          <w:rFonts w:ascii="Times New Roman" w:hAnsi="Times New Roman" w:cs="Times New Roman"/>
          <w:b/>
          <w:sz w:val="28"/>
          <w:szCs w:val="28"/>
        </w:rPr>
        <w:t xml:space="preserve">Методы оптимизации и расчета налоговой нагрузки </w:t>
      </w:r>
      <w:r w:rsidR="00744366" w:rsidRPr="003E4D1A">
        <w:rPr>
          <w:rFonts w:ascii="Times New Roman" w:hAnsi="Times New Roman" w:cs="Times New Roman"/>
          <w:b/>
          <w:sz w:val="28"/>
          <w:szCs w:val="28"/>
        </w:rPr>
        <w:t>для железнодорожного транспорта</w:t>
      </w:r>
    </w:p>
    <w:p w:rsidR="00CF28E8" w:rsidRPr="00744366" w:rsidRDefault="00CF28E8" w:rsidP="00744366">
      <w:pPr>
        <w:spacing w:after="0" w:line="360" w:lineRule="auto"/>
        <w:jc w:val="both"/>
        <w:rPr>
          <w:rFonts w:ascii="Times New Roman" w:hAnsi="Times New Roman" w:cs="Times New Roman"/>
          <w:sz w:val="28"/>
          <w:szCs w:val="28"/>
        </w:rPr>
      </w:pPr>
    </w:p>
    <w:p w:rsidR="00CF28E8"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В </w:t>
      </w:r>
      <w:r w:rsidR="00CF28E8" w:rsidRPr="00744366">
        <w:rPr>
          <w:rFonts w:ascii="Times New Roman" w:hAnsi="Times New Roman" w:cs="Times New Roman"/>
          <w:sz w:val="28"/>
          <w:szCs w:val="28"/>
        </w:rPr>
        <w:t>современных условиях хозяйствования среди мер, включаемых в антикризисные планы компаний существенное место должны занимать меры, направленные на разумную оптимизацию налоговой нагрузки, минимизацию налоговых рисков на основе построения эффективной системы управления налоговыми обязательствами, основанной на использовании элементов налогового планирования.</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Как свидетельствует практика и результаты научных исследований, повсеместно налоговое планир</w:t>
      </w:r>
      <w:r w:rsidR="001A489C">
        <w:rPr>
          <w:rFonts w:ascii="Times New Roman" w:hAnsi="Times New Roman" w:cs="Times New Roman"/>
          <w:sz w:val="28"/>
          <w:szCs w:val="28"/>
        </w:rPr>
        <w:t>ование не используется компания</w:t>
      </w:r>
      <w:r w:rsidRPr="00744366">
        <w:rPr>
          <w:rFonts w:ascii="Times New Roman" w:hAnsi="Times New Roman" w:cs="Times New Roman"/>
          <w:sz w:val="28"/>
          <w:szCs w:val="28"/>
        </w:rPr>
        <w:t>ми в полной мере и носит формальных характер. Как правило, оно сводится к обобщению данных бухгалтерского учета по налоговым обязательствам, срокам их уплаты. В лучшем случае в компаниях параллельно осуществляется плани</w:t>
      </w:r>
      <w:r w:rsidR="003007BF">
        <w:rPr>
          <w:rFonts w:ascii="Times New Roman" w:hAnsi="Times New Roman" w:cs="Times New Roman"/>
          <w:sz w:val="28"/>
          <w:szCs w:val="28"/>
        </w:rPr>
        <w:t>рование платежей в виде формиро</w:t>
      </w:r>
      <w:r w:rsidRPr="00744366">
        <w:rPr>
          <w:rFonts w:ascii="Times New Roman" w:hAnsi="Times New Roman" w:cs="Times New Roman"/>
          <w:sz w:val="28"/>
          <w:szCs w:val="28"/>
        </w:rPr>
        <w:t>вания налоговых бюджетов. Достаточно часто налоговое планирование рассматривается лишь в рамках отдельных сделок</w:t>
      </w:r>
      <w:r w:rsidR="00A6506D">
        <w:rPr>
          <w:rStyle w:val="a7"/>
          <w:rFonts w:ascii="Times New Roman" w:hAnsi="Times New Roman" w:cs="Times New Roman"/>
          <w:sz w:val="28"/>
          <w:szCs w:val="28"/>
        </w:rPr>
        <w:footnoteReference w:id="8"/>
      </w:r>
      <w:r w:rsidRPr="00744366">
        <w:rPr>
          <w:rFonts w:ascii="Times New Roman" w:hAnsi="Times New Roman" w:cs="Times New Roman"/>
          <w:sz w:val="28"/>
          <w:szCs w:val="28"/>
        </w:rPr>
        <w:t>.</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Следует отметить, что отсутствие налогового планирования в компаниях или его неэффективная организация обычно приводит ко многим негативным последствиям. Среди них можно выделить бесконтрольное повышение налоговой нагрузки, негативное влияние налоговых платежей на финансовое состояние организации, и, в первую очередь, на его платежеспособность, величину чистых активов, структуру баланса и финансовые результаты.</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lastRenderedPageBreak/>
        <w:t>Как показывает практика и теоретические исследования по налоговому планированию, важное место в организации планирования занимают обоснование и правильный выбор системы показателей определения налоговой нагрузки и методов их расчета.</w:t>
      </w:r>
    </w:p>
    <w:p w:rsidR="00CF28E8"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В </w:t>
      </w:r>
      <w:r w:rsidR="00CF28E8" w:rsidRPr="00744366">
        <w:rPr>
          <w:rFonts w:ascii="Times New Roman" w:hAnsi="Times New Roman" w:cs="Times New Roman"/>
          <w:sz w:val="28"/>
          <w:szCs w:val="28"/>
        </w:rPr>
        <w:t>настоящее время в экономической литературе существует множество различных методик определ</w:t>
      </w:r>
      <w:r w:rsidR="003007BF">
        <w:rPr>
          <w:rFonts w:ascii="Times New Roman" w:hAnsi="Times New Roman" w:cs="Times New Roman"/>
          <w:sz w:val="28"/>
          <w:szCs w:val="28"/>
        </w:rPr>
        <w:t>ения налоговой нагрузки на пред</w:t>
      </w:r>
      <w:r w:rsidR="00CF28E8" w:rsidRPr="00744366">
        <w:rPr>
          <w:rFonts w:ascii="Times New Roman" w:hAnsi="Times New Roman" w:cs="Times New Roman"/>
          <w:sz w:val="28"/>
          <w:szCs w:val="28"/>
        </w:rPr>
        <w:t xml:space="preserve">приятие. Общим и основным в этих методиках является то, </w:t>
      </w:r>
      <w:r w:rsidR="003007BF">
        <w:rPr>
          <w:rFonts w:ascii="Times New Roman" w:hAnsi="Times New Roman" w:cs="Times New Roman"/>
          <w:sz w:val="28"/>
          <w:szCs w:val="28"/>
        </w:rPr>
        <w:t>что каждый автор предлагает сде</w:t>
      </w:r>
      <w:r w:rsidR="00CF28E8" w:rsidRPr="00744366">
        <w:rPr>
          <w:rFonts w:ascii="Times New Roman" w:hAnsi="Times New Roman" w:cs="Times New Roman"/>
          <w:sz w:val="28"/>
          <w:szCs w:val="28"/>
        </w:rPr>
        <w:t>лать показ</w:t>
      </w:r>
      <w:r w:rsidR="003007BF">
        <w:rPr>
          <w:rFonts w:ascii="Times New Roman" w:hAnsi="Times New Roman" w:cs="Times New Roman"/>
          <w:sz w:val="28"/>
          <w:szCs w:val="28"/>
        </w:rPr>
        <w:t>атель налоговой нагрузки универсальным, подходящим для срав</w:t>
      </w:r>
      <w:r w:rsidR="00CF28E8" w:rsidRPr="00744366">
        <w:rPr>
          <w:rFonts w:ascii="Times New Roman" w:hAnsi="Times New Roman" w:cs="Times New Roman"/>
          <w:sz w:val="28"/>
          <w:szCs w:val="28"/>
        </w:rPr>
        <w:t>нения уровня налоговой нагрузки в разли</w:t>
      </w:r>
      <w:r w:rsidR="003007BF">
        <w:rPr>
          <w:rFonts w:ascii="Times New Roman" w:hAnsi="Times New Roman" w:cs="Times New Roman"/>
          <w:sz w:val="28"/>
          <w:szCs w:val="28"/>
        </w:rPr>
        <w:t>чных отраслях. Различия в основ</w:t>
      </w:r>
      <w:r w:rsidR="00CF28E8" w:rsidRPr="00744366">
        <w:rPr>
          <w:rFonts w:ascii="Times New Roman" w:hAnsi="Times New Roman" w:cs="Times New Roman"/>
          <w:sz w:val="28"/>
          <w:szCs w:val="28"/>
        </w:rPr>
        <w:t>ном проявляются в способе расчета показател</w:t>
      </w:r>
      <w:r w:rsidR="003007BF">
        <w:rPr>
          <w:rFonts w:ascii="Times New Roman" w:hAnsi="Times New Roman" w:cs="Times New Roman"/>
          <w:sz w:val="28"/>
          <w:szCs w:val="28"/>
        </w:rPr>
        <w:t>я налоговой нагрузки - в ис</w:t>
      </w:r>
      <w:r w:rsidR="00CF28E8" w:rsidRPr="00744366">
        <w:rPr>
          <w:rFonts w:ascii="Times New Roman" w:hAnsi="Times New Roman" w:cs="Times New Roman"/>
          <w:sz w:val="28"/>
          <w:szCs w:val="28"/>
        </w:rPr>
        <w:t>пользовании того или иного количества на</w:t>
      </w:r>
      <w:r w:rsidR="003007BF">
        <w:rPr>
          <w:rFonts w:ascii="Times New Roman" w:hAnsi="Times New Roman" w:cs="Times New Roman"/>
          <w:sz w:val="28"/>
          <w:szCs w:val="28"/>
        </w:rPr>
        <w:t>логов, а также в определении показателей дея</w:t>
      </w:r>
      <w:r w:rsidR="00CF28E8" w:rsidRPr="00744366">
        <w:rPr>
          <w:rFonts w:ascii="Times New Roman" w:hAnsi="Times New Roman" w:cs="Times New Roman"/>
          <w:sz w:val="28"/>
          <w:szCs w:val="28"/>
        </w:rPr>
        <w:t>тельности экономического субъекта, с которыми соотносится общая совокупность налоговых платежей за период.</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Большинство авторов придерживаются мнения о том, что для определения налоговой нагрузки необходимо соотноси</w:t>
      </w:r>
      <w:r w:rsidR="003007BF">
        <w:rPr>
          <w:rFonts w:ascii="Times New Roman" w:hAnsi="Times New Roman" w:cs="Times New Roman"/>
          <w:sz w:val="28"/>
          <w:szCs w:val="28"/>
        </w:rPr>
        <w:t>ть налоговые платежи с добавлен</w:t>
      </w:r>
      <w:r w:rsidRPr="00744366">
        <w:rPr>
          <w:rFonts w:ascii="Times New Roman" w:hAnsi="Times New Roman" w:cs="Times New Roman"/>
          <w:sz w:val="28"/>
          <w:szCs w:val="28"/>
        </w:rPr>
        <w:t>ной стоимостью, т.к. считается, что добавленная стоимость, созданная на конкретн</w:t>
      </w:r>
      <w:r w:rsidR="003007BF">
        <w:rPr>
          <w:rFonts w:ascii="Times New Roman" w:hAnsi="Times New Roman" w:cs="Times New Roman"/>
          <w:sz w:val="28"/>
          <w:szCs w:val="28"/>
        </w:rPr>
        <w:t>ом предприятии является источни</w:t>
      </w:r>
      <w:r w:rsidRPr="00744366">
        <w:rPr>
          <w:rFonts w:ascii="Times New Roman" w:hAnsi="Times New Roman" w:cs="Times New Roman"/>
          <w:sz w:val="28"/>
          <w:szCs w:val="28"/>
        </w:rPr>
        <w:t>ком доходов и, соответственно, источником уплаты всех налогов. Кроме того, в качестве показателя деятельности принимаются выручка от реализации про</w:t>
      </w:r>
      <w:r w:rsidR="003007BF">
        <w:rPr>
          <w:rFonts w:ascii="Times New Roman" w:hAnsi="Times New Roman" w:cs="Times New Roman"/>
          <w:sz w:val="28"/>
          <w:szCs w:val="28"/>
        </w:rPr>
        <w:t>дукции, объем производства, чис</w:t>
      </w:r>
      <w:r w:rsidRPr="00744366">
        <w:rPr>
          <w:rFonts w:ascii="Times New Roman" w:hAnsi="Times New Roman" w:cs="Times New Roman"/>
          <w:sz w:val="28"/>
          <w:szCs w:val="28"/>
        </w:rPr>
        <w:t>тая прибыль, финансовые ресурсы, среднегодовая сумма валюты баланса, прибыль до налогообложения. При определении налоговой нагрузки как коэффициента денежного изъятия в качестве такого показателя принимаются реально полученные организацией денежны</w:t>
      </w:r>
      <w:r w:rsidR="003007BF">
        <w:rPr>
          <w:rFonts w:ascii="Times New Roman" w:hAnsi="Times New Roman" w:cs="Times New Roman"/>
          <w:sz w:val="28"/>
          <w:szCs w:val="28"/>
        </w:rPr>
        <w:t>е средства за реализованную про</w:t>
      </w:r>
      <w:r w:rsidRPr="00744366">
        <w:rPr>
          <w:rFonts w:ascii="Times New Roman" w:hAnsi="Times New Roman" w:cs="Times New Roman"/>
          <w:sz w:val="28"/>
          <w:szCs w:val="28"/>
        </w:rPr>
        <w:t>дукцию.</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lastRenderedPageBreak/>
        <w:t xml:space="preserve">Различен и состав налогов, принимаемых при расчете налоговой нагрузки. </w:t>
      </w:r>
      <w:r w:rsidR="001A489C">
        <w:rPr>
          <w:rFonts w:ascii="Times New Roman" w:hAnsi="Times New Roman" w:cs="Times New Roman"/>
          <w:sz w:val="28"/>
          <w:szCs w:val="28"/>
        </w:rPr>
        <w:t>П</w:t>
      </w:r>
      <w:r w:rsidRPr="00744366">
        <w:rPr>
          <w:rFonts w:ascii="Times New Roman" w:hAnsi="Times New Roman" w:cs="Times New Roman"/>
          <w:sz w:val="28"/>
          <w:szCs w:val="28"/>
        </w:rPr>
        <w:t>редлага</w:t>
      </w:r>
      <w:r w:rsidR="001A489C">
        <w:rPr>
          <w:rFonts w:ascii="Times New Roman" w:hAnsi="Times New Roman" w:cs="Times New Roman"/>
          <w:sz w:val="28"/>
          <w:szCs w:val="28"/>
        </w:rPr>
        <w:t>ем необходимым</w:t>
      </w:r>
      <w:r w:rsidRPr="00744366">
        <w:rPr>
          <w:rFonts w:ascii="Times New Roman" w:hAnsi="Times New Roman" w:cs="Times New Roman"/>
          <w:sz w:val="28"/>
          <w:szCs w:val="28"/>
        </w:rPr>
        <w:t xml:space="preserve"> учитывать общую сумму налоговых платежей, включая все виды налогов, или отмечают, что из совокупности налогов необходимо вычесть НДФЛ, т.к. организация в данном случае выступает только в качестве налогового агента. Встречаются и методики, которые не принимают во внимание косвенные налоги предприятия (НДС, акцизы), но в этом случае можно говорить только об определении влияния прямых налогов на финансовое состояние предприятия</w:t>
      </w:r>
      <w:r w:rsidR="00A6506D">
        <w:rPr>
          <w:rStyle w:val="a7"/>
          <w:rFonts w:ascii="Times New Roman" w:hAnsi="Times New Roman" w:cs="Times New Roman"/>
          <w:sz w:val="28"/>
          <w:szCs w:val="28"/>
        </w:rPr>
        <w:footnoteReference w:id="9"/>
      </w:r>
      <w:r w:rsidRPr="00744366">
        <w:rPr>
          <w:rFonts w:ascii="Times New Roman" w:hAnsi="Times New Roman" w:cs="Times New Roman"/>
          <w:sz w:val="28"/>
          <w:szCs w:val="28"/>
        </w:rPr>
        <w:t>.</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Анализ методических подходов к оп</w:t>
      </w:r>
      <w:r w:rsidR="003007BF">
        <w:rPr>
          <w:rFonts w:ascii="Times New Roman" w:hAnsi="Times New Roman" w:cs="Times New Roman"/>
          <w:sz w:val="28"/>
          <w:szCs w:val="28"/>
        </w:rPr>
        <w:t>ределению налоговой нагрузки по</w:t>
      </w:r>
      <w:r w:rsidRPr="00744366">
        <w:rPr>
          <w:rFonts w:ascii="Times New Roman" w:hAnsi="Times New Roman" w:cs="Times New Roman"/>
          <w:sz w:val="28"/>
          <w:szCs w:val="28"/>
        </w:rPr>
        <w:t xml:space="preserve">зволил сделать вывод, что каждый из предлагаемых подходов имеет право на применение. Изучение особенностей налогообложения и налогового планирования на </w:t>
      </w:r>
      <w:r w:rsidR="003007BF">
        <w:rPr>
          <w:rFonts w:ascii="Times New Roman" w:hAnsi="Times New Roman" w:cs="Times New Roman"/>
          <w:sz w:val="28"/>
          <w:szCs w:val="28"/>
        </w:rPr>
        <w:t>железнодорожном транспорте, так</w:t>
      </w:r>
      <w:r w:rsidRPr="00744366">
        <w:rPr>
          <w:rFonts w:ascii="Times New Roman" w:hAnsi="Times New Roman" w:cs="Times New Roman"/>
          <w:sz w:val="28"/>
          <w:szCs w:val="28"/>
        </w:rPr>
        <w:t>же подтверждает, что общепринятые методы расчета и система показателей оценки налоговой нагрузки,</w:t>
      </w:r>
      <w:r w:rsidR="003007BF">
        <w:rPr>
          <w:rFonts w:ascii="Times New Roman" w:hAnsi="Times New Roman" w:cs="Times New Roman"/>
          <w:sz w:val="28"/>
          <w:szCs w:val="28"/>
        </w:rPr>
        <w:t xml:space="preserve"> могут быть использованы в орга</w:t>
      </w:r>
      <w:r w:rsidRPr="00744366">
        <w:rPr>
          <w:rFonts w:ascii="Times New Roman" w:hAnsi="Times New Roman" w:cs="Times New Roman"/>
          <w:sz w:val="28"/>
          <w:szCs w:val="28"/>
        </w:rPr>
        <w:t>низациях железнодорожного транспорта. Это связано с тем, что общий подход к количественной и ка</w:t>
      </w:r>
      <w:r w:rsidR="003007BF">
        <w:rPr>
          <w:rFonts w:ascii="Times New Roman" w:hAnsi="Times New Roman" w:cs="Times New Roman"/>
          <w:sz w:val="28"/>
          <w:szCs w:val="28"/>
        </w:rPr>
        <w:t>чественной оценке влияния обяза</w:t>
      </w:r>
      <w:r w:rsidRPr="00744366">
        <w:rPr>
          <w:rFonts w:ascii="Times New Roman" w:hAnsi="Times New Roman" w:cs="Times New Roman"/>
          <w:sz w:val="28"/>
          <w:szCs w:val="28"/>
        </w:rPr>
        <w:t>тельных налоговых и приравненных к ним платежей на финансовое состояние компании в целом, ее дочерних и зависимых обществ, а также производственных единиц приемлем для данной отрасли.</w:t>
      </w:r>
    </w:p>
    <w:p w:rsidR="00CF28E8"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В </w:t>
      </w:r>
      <w:r w:rsidR="00CF28E8" w:rsidRPr="00744366">
        <w:rPr>
          <w:rFonts w:ascii="Times New Roman" w:hAnsi="Times New Roman" w:cs="Times New Roman"/>
          <w:sz w:val="28"/>
          <w:szCs w:val="28"/>
        </w:rPr>
        <w:t xml:space="preserve">тоже время, мы считаем, что система должна учитывать реально существующее многообразие видов и масштабов деятельности бизнес-единиц железнодорожного транспорта, ее условия и характер, территориальную разрозненность и отраслевую специфику. Это послужило основанием для </w:t>
      </w:r>
      <w:r w:rsidR="00CF28E8" w:rsidRPr="00744366">
        <w:rPr>
          <w:rFonts w:ascii="Times New Roman" w:hAnsi="Times New Roman" w:cs="Times New Roman"/>
          <w:sz w:val="28"/>
          <w:szCs w:val="28"/>
        </w:rPr>
        <w:lastRenderedPageBreak/>
        <w:t>проведения исследований по данному вопросу с целью формирования методических подходов и определения системы показателей расчета налоговой нагрузки и оценки эффективности налогового планирования в условиях холдинговой структуры управления железнодорожным транспортом.</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Решение данной проблемы предполагает исследование вопроса на всех уровнях корпоративной ие</w:t>
      </w:r>
      <w:r w:rsidR="003007BF">
        <w:rPr>
          <w:rFonts w:ascii="Times New Roman" w:hAnsi="Times New Roman" w:cs="Times New Roman"/>
          <w:sz w:val="28"/>
          <w:szCs w:val="28"/>
        </w:rPr>
        <w:t>рархии с учетом объективно скла</w:t>
      </w:r>
      <w:r w:rsidRPr="00744366">
        <w:rPr>
          <w:rFonts w:ascii="Times New Roman" w:hAnsi="Times New Roman" w:cs="Times New Roman"/>
          <w:sz w:val="28"/>
          <w:szCs w:val="28"/>
        </w:rPr>
        <w:t>дывающихся финансово-экономических отношений внутри холдинга, отношений с государством и другими юридическими лицами и затрагивает обширный перечень вопросов.</w:t>
      </w:r>
    </w:p>
    <w:p w:rsidR="00CF28E8"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В </w:t>
      </w:r>
      <w:r w:rsidR="00CF28E8" w:rsidRPr="00744366">
        <w:rPr>
          <w:rFonts w:ascii="Times New Roman" w:hAnsi="Times New Roman" w:cs="Times New Roman"/>
          <w:sz w:val="28"/>
          <w:szCs w:val="28"/>
        </w:rPr>
        <w:t>данно</w:t>
      </w:r>
      <w:r w:rsidRPr="00744366">
        <w:rPr>
          <w:rFonts w:ascii="Times New Roman" w:hAnsi="Times New Roman" w:cs="Times New Roman"/>
          <w:sz w:val="28"/>
          <w:szCs w:val="28"/>
        </w:rPr>
        <w:t>м</w:t>
      </w:r>
      <w:r w:rsidR="00CF28E8" w:rsidRPr="00744366">
        <w:rPr>
          <w:rFonts w:ascii="Times New Roman" w:hAnsi="Times New Roman" w:cs="Times New Roman"/>
          <w:sz w:val="28"/>
          <w:szCs w:val="28"/>
        </w:rPr>
        <w:t xml:space="preserve"> </w:t>
      </w:r>
      <w:r w:rsidRPr="00744366">
        <w:rPr>
          <w:rFonts w:ascii="Times New Roman" w:hAnsi="Times New Roman" w:cs="Times New Roman"/>
          <w:sz w:val="28"/>
          <w:szCs w:val="28"/>
        </w:rPr>
        <w:t>разделе</w:t>
      </w:r>
      <w:r w:rsidR="00CF28E8" w:rsidRPr="00744366">
        <w:rPr>
          <w:rFonts w:ascii="Times New Roman" w:hAnsi="Times New Roman" w:cs="Times New Roman"/>
          <w:sz w:val="28"/>
          <w:szCs w:val="28"/>
        </w:rPr>
        <w:t xml:space="preserve"> рассмотрены некоторые вопросы рассматриваемой проблемы, в частности определение показателе</w:t>
      </w:r>
      <w:r w:rsidR="003007BF">
        <w:rPr>
          <w:rFonts w:ascii="Times New Roman" w:hAnsi="Times New Roman" w:cs="Times New Roman"/>
          <w:sz w:val="28"/>
          <w:szCs w:val="28"/>
        </w:rPr>
        <w:t>й налоговой наг</w:t>
      </w:r>
      <w:r w:rsidR="00CF28E8" w:rsidRPr="00744366">
        <w:rPr>
          <w:rFonts w:ascii="Times New Roman" w:hAnsi="Times New Roman" w:cs="Times New Roman"/>
          <w:sz w:val="28"/>
          <w:szCs w:val="28"/>
        </w:rPr>
        <w:t xml:space="preserve">рузки на уровне </w:t>
      </w:r>
      <w:r w:rsidR="001A489C">
        <w:rPr>
          <w:rFonts w:ascii="Times New Roman" w:hAnsi="Times New Roman" w:cs="Times New Roman"/>
          <w:sz w:val="28"/>
          <w:szCs w:val="28"/>
        </w:rPr>
        <w:t>железнодорожного транспорта</w:t>
      </w:r>
      <w:r w:rsidR="00CF28E8" w:rsidRPr="00744366">
        <w:rPr>
          <w:rFonts w:ascii="Times New Roman" w:hAnsi="Times New Roman" w:cs="Times New Roman"/>
          <w:sz w:val="28"/>
          <w:szCs w:val="28"/>
        </w:rPr>
        <w:t xml:space="preserve"> и</w:t>
      </w:r>
      <w:r w:rsidR="003007BF">
        <w:rPr>
          <w:rFonts w:ascii="Times New Roman" w:hAnsi="Times New Roman" w:cs="Times New Roman"/>
          <w:sz w:val="28"/>
          <w:szCs w:val="28"/>
        </w:rPr>
        <w:t xml:space="preserve"> юридически обоснованных бизнес-</w:t>
      </w:r>
      <w:r w:rsidR="00CF28E8" w:rsidRPr="00744366">
        <w:rPr>
          <w:rFonts w:ascii="Times New Roman" w:hAnsi="Times New Roman" w:cs="Times New Roman"/>
          <w:sz w:val="28"/>
          <w:szCs w:val="28"/>
        </w:rPr>
        <w:t>единиц.</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Прежде всего, нам потребовалось уточнить понятие налоговой нагрузки, т.к. в современной литерат</w:t>
      </w:r>
      <w:r w:rsidR="003007BF">
        <w:rPr>
          <w:rFonts w:ascii="Times New Roman" w:hAnsi="Times New Roman" w:cs="Times New Roman"/>
          <w:sz w:val="28"/>
          <w:szCs w:val="28"/>
        </w:rPr>
        <w:t>уре параллельно с понятием нало</w:t>
      </w:r>
      <w:r w:rsidRPr="00744366">
        <w:rPr>
          <w:rFonts w:ascii="Times New Roman" w:hAnsi="Times New Roman" w:cs="Times New Roman"/>
          <w:sz w:val="28"/>
          <w:szCs w:val="28"/>
        </w:rPr>
        <w:t>говой нагрузки часто рассматривается понятие налогового бремени, при этом большинство авторов отождествляют их. Автор данной статьи придерживается мнения о разграничении понятий налогового бремени и налоговой нагрузки.</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Налоговое бремя – это отношение, отражающее воздействие государства на экономику хозяйствующего субъекта, основанное на исполнении обязательств налогоплательщика и связанное с изъятием части его дохода. Налоговая нагруз</w:t>
      </w:r>
      <w:r w:rsidR="003007BF">
        <w:rPr>
          <w:rFonts w:ascii="Times New Roman" w:hAnsi="Times New Roman" w:cs="Times New Roman"/>
          <w:sz w:val="28"/>
          <w:szCs w:val="28"/>
        </w:rPr>
        <w:t>ка характеризует влияние налого</w:t>
      </w:r>
      <w:r w:rsidRPr="00744366">
        <w:rPr>
          <w:rFonts w:ascii="Times New Roman" w:hAnsi="Times New Roman" w:cs="Times New Roman"/>
          <w:sz w:val="28"/>
          <w:szCs w:val="28"/>
        </w:rPr>
        <w:t>вых платежей на основные показатели финансово-хозяйственной деятельности, такие как прибыль, затр</w:t>
      </w:r>
      <w:r w:rsidR="003007BF">
        <w:rPr>
          <w:rFonts w:ascii="Times New Roman" w:hAnsi="Times New Roman" w:cs="Times New Roman"/>
          <w:sz w:val="28"/>
          <w:szCs w:val="28"/>
        </w:rPr>
        <w:t>аты, добавленная и вновь создан</w:t>
      </w:r>
      <w:r w:rsidRPr="00744366">
        <w:rPr>
          <w:rFonts w:ascii="Times New Roman" w:hAnsi="Times New Roman" w:cs="Times New Roman"/>
          <w:sz w:val="28"/>
          <w:szCs w:val="28"/>
        </w:rPr>
        <w:t>ная стоимости, фонд оплаты труда и др.</w:t>
      </w:r>
    </w:p>
    <w:p w:rsidR="00CF28E8"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В </w:t>
      </w:r>
      <w:r w:rsidR="00CF28E8" w:rsidRPr="00744366">
        <w:rPr>
          <w:rFonts w:ascii="Times New Roman" w:hAnsi="Times New Roman" w:cs="Times New Roman"/>
          <w:sz w:val="28"/>
          <w:szCs w:val="28"/>
        </w:rPr>
        <w:t>качестве показателя налогового бремени рекомендуется использовать коэффициент, рассчитыва</w:t>
      </w:r>
      <w:r w:rsidR="003007BF">
        <w:rPr>
          <w:rFonts w:ascii="Times New Roman" w:hAnsi="Times New Roman" w:cs="Times New Roman"/>
          <w:sz w:val="28"/>
          <w:szCs w:val="28"/>
        </w:rPr>
        <w:t>емый как отношение суммы налого</w:t>
      </w:r>
      <w:r w:rsidR="00CF28E8" w:rsidRPr="00744366">
        <w:rPr>
          <w:rFonts w:ascii="Times New Roman" w:hAnsi="Times New Roman" w:cs="Times New Roman"/>
          <w:sz w:val="28"/>
          <w:szCs w:val="28"/>
        </w:rPr>
        <w:t xml:space="preserve">вых платежей, </w:t>
      </w:r>
      <w:r w:rsidR="00CF28E8" w:rsidRPr="00744366">
        <w:rPr>
          <w:rFonts w:ascii="Times New Roman" w:hAnsi="Times New Roman" w:cs="Times New Roman"/>
          <w:sz w:val="28"/>
          <w:szCs w:val="28"/>
        </w:rPr>
        <w:lastRenderedPageBreak/>
        <w:t>начисленных за определенный период к сумме доходов хозяйствующего субъекта, включающего выручку, исчисленную по методу «брутто». (т.е. с учетом косвенных налогов, в первую очередь НДС) и прочие доходы.</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Большинство авторов рекомендуют учитывать при расчете налоговой нагрузки сумму налоговых платежей по реально возникшим обязательства перед бюджетом на основании расчетов, выполненных бухгалтерскими службами. То ест</w:t>
      </w:r>
      <w:r w:rsidR="003007BF">
        <w:rPr>
          <w:rFonts w:ascii="Times New Roman" w:hAnsi="Times New Roman" w:cs="Times New Roman"/>
          <w:sz w:val="28"/>
          <w:szCs w:val="28"/>
        </w:rPr>
        <w:t>ь, при определении налогооблага</w:t>
      </w:r>
      <w:r w:rsidRPr="00744366">
        <w:rPr>
          <w:rFonts w:ascii="Times New Roman" w:hAnsi="Times New Roman" w:cs="Times New Roman"/>
          <w:sz w:val="28"/>
          <w:szCs w:val="28"/>
        </w:rPr>
        <w:t>емых баз по основным налоговым платежам в расчетах учитывают различные вычеты, уменьшающие в</w:t>
      </w:r>
      <w:r w:rsidR="003007BF">
        <w:rPr>
          <w:rFonts w:ascii="Times New Roman" w:hAnsi="Times New Roman" w:cs="Times New Roman"/>
          <w:sz w:val="28"/>
          <w:szCs w:val="28"/>
        </w:rPr>
        <w:t xml:space="preserve"> соответствии с российским зако</w:t>
      </w:r>
      <w:r w:rsidRPr="00744366">
        <w:rPr>
          <w:rFonts w:ascii="Times New Roman" w:hAnsi="Times New Roman" w:cs="Times New Roman"/>
          <w:sz w:val="28"/>
          <w:szCs w:val="28"/>
        </w:rPr>
        <w:t>нодательством величину расчетной базы (льготы по налогу на прибыль, вычеты по социальным плат</w:t>
      </w:r>
      <w:r w:rsidR="003007BF">
        <w:rPr>
          <w:rFonts w:ascii="Times New Roman" w:hAnsi="Times New Roman" w:cs="Times New Roman"/>
          <w:sz w:val="28"/>
          <w:szCs w:val="28"/>
        </w:rPr>
        <w:t>ежам, льготы по налогу на имуще</w:t>
      </w:r>
      <w:r w:rsidRPr="00744366">
        <w:rPr>
          <w:rFonts w:ascii="Times New Roman" w:hAnsi="Times New Roman" w:cs="Times New Roman"/>
          <w:sz w:val="28"/>
          <w:szCs w:val="28"/>
        </w:rPr>
        <w:t>ство) и уменьшающие обязательства по платежам (вычеты по НДС). В принципе, этот подход является оправданным, т.к. не требует дополнительных расчетов и в целом характеризует те платежи, которые должны быть перечислены бюджету.</w:t>
      </w:r>
    </w:p>
    <w:p w:rsidR="00CF28E8" w:rsidRPr="00744366" w:rsidRDefault="00744366"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В </w:t>
      </w:r>
      <w:r w:rsidR="00CF28E8" w:rsidRPr="00744366">
        <w:rPr>
          <w:rFonts w:ascii="Times New Roman" w:hAnsi="Times New Roman" w:cs="Times New Roman"/>
          <w:sz w:val="28"/>
          <w:szCs w:val="28"/>
        </w:rPr>
        <w:t>то же время, учитывая цели и задачи налогового планирования и тот факт, что с помощью рассчитываемых показателей налоговой нагрузки (бремени) должно осуществляться управление налоговыми платежами, считаем целесообразным рассчитывать и в дальнейшем сопоставлять два показателя – «реальное» и «номинальное» налоговое бремя.</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При определении «реального» налогового бремени (РНБ) предполагается использовать описанный выше порядок расчета налоговых платежей, т.е. за основу принимать начисленные суммы, формирующие задолженность хозяйствующего субъекта перед бюджетом.</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При расчете второго показателя – «номинального» налогового бремени (ННБ) рекомендуется сумму обязательств исчислять без учета вычетов, </w:t>
      </w:r>
      <w:r w:rsidRPr="00744366">
        <w:rPr>
          <w:rFonts w:ascii="Times New Roman" w:hAnsi="Times New Roman" w:cs="Times New Roman"/>
          <w:sz w:val="28"/>
          <w:szCs w:val="28"/>
        </w:rPr>
        <w:lastRenderedPageBreak/>
        <w:t>уменьшающих налоговые обязательства и налоговые базы. Определение этого показателя не</w:t>
      </w:r>
      <w:r w:rsidR="003007BF">
        <w:rPr>
          <w:rFonts w:ascii="Times New Roman" w:hAnsi="Times New Roman" w:cs="Times New Roman"/>
          <w:sz w:val="28"/>
          <w:szCs w:val="28"/>
        </w:rPr>
        <w:t xml:space="preserve"> требует проведения дополнитель</w:t>
      </w:r>
      <w:r w:rsidRPr="00744366">
        <w:rPr>
          <w:rFonts w:ascii="Times New Roman" w:hAnsi="Times New Roman" w:cs="Times New Roman"/>
          <w:sz w:val="28"/>
          <w:szCs w:val="28"/>
        </w:rPr>
        <w:t>ных расчетов, т.к. исходные данные определяются также в системе бухгалтерского учета.</w:t>
      </w:r>
    </w:p>
    <w:p w:rsidR="00CF28E8" w:rsidRP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Сопоставление этих двух величин позволит, на наш взгляд, оценить эффективность налогового планирования, т.к. разница между ними будет характеризовать, на сколько умело компания воспользовалась предоставленной российски</w:t>
      </w:r>
      <w:r w:rsidR="003007BF">
        <w:rPr>
          <w:rFonts w:ascii="Times New Roman" w:hAnsi="Times New Roman" w:cs="Times New Roman"/>
          <w:sz w:val="28"/>
          <w:szCs w:val="28"/>
        </w:rPr>
        <w:t>м законодательством возможнос</w:t>
      </w:r>
      <w:r w:rsidRPr="00744366">
        <w:rPr>
          <w:rFonts w:ascii="Times New Roman" w:hAnsi="Times New Roman" w:cs="Times New Roman"/>
          <w:sz w:val="28"/>
          <w:szCs w:val="28"/>
        </w:rPr>
        <w:t>тью снижения налоговых платежей.</w:t>
      </w:r>
    </w:p>
    <w:p w:rsidR="00744366" w:rsidRDefault="00CF28E8" w:rsidP="007B27CC">
      <w:pPr>
        <w:spacing w:after="0" w:line="360" w:lineRule="auto"/>
        <w:ind w:firstLine="709"/>
        <w:jc w:val="both"/>
        <w:rPr>
          <w:rFonts w:ascii="Times New Roman" w:hAnsi="Times New Roman" w:cs="Times New Roman"/>
          <w:sz w:val="28"/>
          <w:szCs w:val="28"/>
        </w:rPr>
      </w:pPr>
      <w:r w:rsidRPr="00744366">
        <w:rPr>
          <w:rFonts w:ascii="Times New Roman" w:hAnsi="Times New Roman" w:cs="Times New Roman"/>
          <w:sz w:val="28"/>
          <w:szCs w:val="28"/>
        </w:rPr>
        <w:t xml:space="preserve">Для количественной оценки эффективности налогового планирования рекомендуем рассчитывать </w:t>
      </w:r>
      <w:r w:rsidR="003007BF">
        <w:rPr>
          <w:rFonts w:ascii="Times New Roman" w:hAnsi="Times New Roman" w:cs="Times New Roman"/>
          <w:sz w:val="28"/>
          <w:szCs w:val="28"/>
        </w:rPr>
        <w:t>относительное отклонение «реаль</w:t>
      </w:r>
      <w:r w:rsidRPr="00744366">
        <w:rPr>
          <w:rFonts w:ascii="Times New Roman" w:hAnsi="Times New Roman" w:cs="Times New Roman"/>
          <w:sz w:val="28"/>
          <w:szCs w:val="28"/>
        </w:rPr>
        <w:t>ного» налогового бремени от «номинального», которое позволит определить, на сколько уменьшилось на</w:t>
      </w:r>
      <w:r w:rsidR="003007BF">
        <w:rPr>
          <w:rFonts w:ascii="Times New Roman" w:hAnsi="Times New Roman" w:cs="Times New Roman"/>
          <w:sz w:val="28"/>
          <w:szCs w:val="28"/>
        </w:rPr>
        <w:t>логовое бремя за счет рациональ</w:t>
      </w:r>
      <w:r w:rsidRPr="00744366">
        <w:rPr>
          <w:rFonts w:ascii="Times New Roman" w:hAnsi="Times New Roman" w:cs="Times New Roman"/>
          <w:sz w:val="28"/>
          <w:szCs w:val="28"/>
        </w:rPr>
        <w:t>ного использования предоставляемых законодательством льгот и за счет вычетов, уменьшающих налоговые обязательства. Расчет может</w:t>
      </w:r>
      <w:r w:rsidR="00744366">
        <w:rPr>
          <w:rFonts w:ascii="Times New Roman" w:hAnsi="Times New Roman" w:cs="Times New Roman"/>
          <w:sz w:val="28"/>
          <w:szCs w:val="28"/>
        </w:rPr>
        <w:t xml:space="preserve"> </w:t>
      </w:r>
      <w:r w:rsidR="00744366" w:rsidRPr="00CF28E8">
        <w:rPr>
          <w:rFonts w:ascii="Times New Roman" w:hAnsi="Times New Roman" w:cs="Times New Roman"/>
          <w:sz w:val="28"/>
          <w:szCs w:val="28"/>
        </w:rPr>
        <w:t>быть выполнен по формуле:</w:t>
      </w:r>
      <w:r w:rsidR="00744366" w:rsidRPr="00CF28E8">
        <w:rPr>
          <w:rFonts w:ascii="Times New Roman" w:hAnsi="Times New Roman" w:cs="Times New Roman"/>
          <w:sz w:val="28"/>
          <w:szCs w:val="28"/>
        </w:rPr>
        <w:tab/>
      </w:r>
    </w:p>
    <w:p w:rsidR="00744366" w:rsidRDefault="00744366" w:rsidP="007B27C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76350" cy="438150"/>
            <wp:effectExtent l="19050" t="0" r="0" b="0"/>
            <wp:docPr id="5" name="Рисунок 2" descr="C:\Users\user\Desktop\2018-04-18_21-0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8-04-18_21-02-13.png"/>
                    <pic:cNvPicPr>
                      <a:picLocks noChangeAspect="1" noChangeArrowheads="1"/>
                    </pic:cNvPicPr>
                  </pic:nvPicPr>
                  <pic:blipFill>
                    <a:blip r:embed="rId10" cstate="print"/>
                    <a:srcRect/>
                    <a:stretch>
                      <a:fillRect/>
                    </a:stretch>
                  </pic:blipFill>
                  <pic:spPr bwMode="auto">
                    <a:xfrm>
                      <a:off x="0" y="0"/>
                      <a:ext cx="1276350" cy="438150"/>
                    </a:xfrm>
                    <a:prstGeom prst="rect">
                      <a:avLst/>
                    </a:prstGeom>
                    <a:noFill/>
                    <a:ln w="9525">
                      <a:noFill/>
                      <a:miter lim="800000"/>
                      <a:headEnd/>
                      <a:tailEnd/>
                    </a:ln>
                  </pic:spPr>
                </pic:pic>
              </a:graphicData>
            </a:graphic>
          </wp:inline>
        </w:drawing>
      </w:r>
      <w:r>
        <w:rPr>
          <w:rFonts w:ascii="Times New Roman" w:hAnsi="Times New Roman" w:cs="Times New Roman"/>
          <w:sz w:val="28"/>
          <w:szCs w:val="28"/>
        </w:rPr>
        <w:t>(1)</w:t>
      </w:r>
    </w:p>
    <w:p w:rsidR="001848B7" w:rsidRPr="00744366" w:rsidRDefault="001848B7" w:rsidP="007B27CC">
      <w:pPr>
        <w:spacing w:after="0" w:line="360" w:lineRule="auto"/>
        <w:ind w:firstLine="709"/>
        <w:jc w:val="both"/>
        <w:rPr>
          <w:sz w:val="28"/>
          <w:szCs w:val="28"/>
        </w:rPr>
      </w:pPr>
      <w:r w:rsidRPr="00744366">
        <w:rPr>
          <w:rFonts w:ascii="Times New Roman" w:eastAsia="Times New Roman" w:hAnsi="Times New Roman" w:cs="Times New Roman"/>
          <w:sz w:val="28"/>
          <w:szCs w:val="28"/>
        </w:rPr>
        <w:t xml:space="preserve">При использовании подхода </w:t>
      </w:r>
      <w:r w:rsidR="003E4D1A" w:rsidRPr="00744366">
        <w:rPr>
          <w:rFonts w:ascii="Times New Roman" w:hAnsi="Times New Roman" w:cs="Times New Roman"/>
          <w:sz w:val="28"/>
          <w:szCs w:val="28"/>
        </w:rPr>
        <w:t>за с</w:t>
      </w:r>
      <w:r w:rsidR="003007BF">
        <w:rPr>
          <w:rFonts w:ascii="Times New Roman" w:hAnsi="Times New Roman" w:cs="Times New Roman"/>
          <w:sz w:val="28"/>
          <w:szCs w:val="28"/>
        </w:rPr>
        <w:t>чет использования льгот и приме</w:t>
      </w:r>
      <w:r w:rsidR="003E4D1A" w:rsidRPr="00744366">
        <w:rPr>
          <w:rFonts w:ascii="Times New Roman" w:hAnsi="Times New Roman" w:cs="Times New Roman"/>
          <w:sz w:val="28"/>
          <w:szCs w:val="28"/>
        </w:rPr>
        <w:t>нения вычетов</w:t>
      </w:r>
      <w:r w:rsidR="003E4D1A" w:rsidRPr="00744366">
        <w:rPr>
          <w:rFonts w:ascii="Times New Roman" w:eastAsia="Times New Roman" w:hAnsi="Times New Roman" w:cs="Times New Roman"/>
          <w:sz w:val="28"/>
          <w:szCs w:val="28"/>
        </w:rPr>
        <w:t xml:space="preserve"> </w:t>
      </w:r>
      <w:r w:rsidRPr="00744366">
        <w:rPr>
          <w:rFonts w:ascii="Times New Roman" w:eastAsia="Times New Roman" w:hAnsi="Times New Roman" w:cs="Times New Roman"/>
          <w:sz w:val="28"/>
          <w:szCs w:val="28"/>
        </w:rPr>
        <w:t>необходимо учитывать, что не все вычеты находятся в сфере управления и компетенции самой компании и (или) ее подразделений. Так, например, вычеты по социальным налогам, как известно</w:t>
      </w:r>
      <w:r w:rsidR="003007BF">
        <w:rPr>
          <w:rFonts w:ascii="Times New Roman" w:eastAsia="Times New Roman" w:hAnsi="Times New Roman" w:cs="Times New Roman"/>
          <w:sz w:val="28"/>
          <w:szCs w:val="28"/>
        </w:rPr>
        <w:t>, определяются составом работни</w:t>
      </w:r>
      <w:r w:rsidRPr="00744366">
        <w:rPr>
          <w:rFonts w:ascii="Times New Roman" w:eastAsia="Times New Roman" w:hAnsi="Times New Roman" w:cs="Times New Roman"/>
          <w:sz w:val="28"/>
          <w:szCs w:val="28"/>
        </w:rPr>
        <w:t>ков, а также другими характеристиками трудового персонала. Вычеты по НДС также во многом зависят от внешних факторов (система налогообложения поставщика, порядок оформления ими документов и др.). Следовательно, с целью по</w:t>
      </w:r>
      <w:r w:rsidR="003007BF">
        <w:rPr>
          <w:rFonts w:ascii="Times New Roman" w:eastAsia="Times New Roman" w:hAnsi="Times New Roman" w:cs="Times New Roman"/>
          <w:sz w:val="28"/>
          <w:szCs w:val="28"/>
        </w:rPr>
        <w:t>вышения качества указных показа</w:t>
      </w:r>
      <w:r w:rsidRPr="00744366">
        <w:rPr>
          <w:rFonts w:ascii="Times New Roman" w:eastAsia="Times New Roman" w:hAnsi="Times New Roman" w:cs="Times New Roman"/>
          <w:sz w:val="28"/>
          <w:szCs w:val="28"/>
        </w:rPr>
        <w:t>телей, было бы целесообразно обеспечить раздельный учет вычетов, зависящих и не зависящих от предприятия.</w:t>
      </w:r>
    </w:p>
    <w:p w:rsidR="001848B7" w:rsidRPr="00744366" w:rsidRDefault="001848B7" w:rsidP="007B27CC">
      <w:pPr>
        <w:spacing w:after="0" w:line="360" w:lineRule="auto"/>
        <w:ind w:firstLine="709"/>
        <w:jc w:val="both"/>
        <w:rPr>
          <w:sz w:val="28"/>
          <w:szCs w:val="28"/>
        </w:rPr>
      </w:pPr>
      <w:r w:rsidRPr="00744366">
        <w:rPr>
          <w:rFonts w:ascii="Times New Roman" w:eastAsia="Times New Roman" w:hAnsi="Times New Roman" w:cs="Times New Roman"/>
          <w:sz w:val="28"/>
          <w:szCs w:val="28"/>
        </w:rPr>
        <w:lastRenderedPageBreak/>
        <w:t>Для расчета налоговой нагрузки холдинга и юридически обособленных бизнес-единиц считаем цел</w:t>
      </w:r>
      <w:r w:rsidR="003007BF">
        <w:rPr>
          <w:rFonts w:ascii="Times New Roman" w:eastAsia="Times New Roman" w:hAnsi="Times New Roman" w:cs="Times New Roman"/>
          <w:sz w:val="28"/>
          <w:szCs w:val="28"/>
        </w:rPr>
        <w:t>есообразным согласиться с мнени</w:t>
      </w:r>
      <w:r w:rsidRPr="00744366">
        <w:rPr>
          <w:rFonts w:ascii="Times New Roman" w:eastAsia="Times New Roman" w:hAnsi="Times New Roman" w:cs="Times New Roman"/>
          <w:sz w:val="28"/>
          <w:szCs w:val="28"/>
        </w:rPr>
        <w:t>ем авторов, которые предлагают налоговые платежи соотносить с добавленной стоимостью. При этом</w:t>
      </w:r>
      <w:r w:rsidR="003007BF">
        <w:rPr>
          <w:rFonts w:ascii="Times New Roman" w:eastAsia="Times New Roman" w:hAnsi="Times New Roman" w:cs="Times New Roman"/>
          <w:sz w:val="28"/>
          <w:szCs w:val="28"/>
        </w:rPr>
        <w:t xml:space="preserve"> следует учитывать не всю добав</w:t>
      </w:r>
      <w:r w:rsidRPr="00744366">
        <w:rPr>
          <w:rFonts w:ascii="Times New Roman" w:eastAsia="Times New Roman" w:hAnsi="Times New Roman" w:cs="Times New Roman"/>
          <w:sz w:val="28"/>
          <w:szCs w:val="28"/>
        </w:rPr>
        <w:t>ленную стоимость, а ту ее часть, которая используется на уплату налоговых платежей. При этом имеется в виду, что в составе добавленной стоимости кроме затрат на оплату труда и амортизации учитывается НДС и прибыль. Расчет показателя</w:t>
      </w:r>
      <w:r w:rsidR="003007BF">
        <w:rPr>
          <w:rFonts w:ascii="Times New Roman" w:eastAsia="Times New Roman" w:hAnsi="Times New Roman" w:cs="Times New Roman"/>
          <w:sz w:val="28"/>
          <w:szCs w:val="28"/>
        </w:rPr>
        <w:t xml:space="preserve"> налоговой нагрузки на добавлен</w:t>
      </w:r>
      <w:r w:rsidRPr="00744366">
        <w:rPr>
          <w:rFonts w:ascii="Times New Roman" w:eastAsia="Times New Roman" w:hAnsi="Times New Roman" w:cs="Times New Roman"/>
          <w:sz w:val="28"/>
          <w:szCs w:val="28"/>
        </w:rPr>
        <w:t>ную стоимость рекомендуется также производить с учетом двух возможных и ранее указанных подходов.</w:t>
      </w:r>
    </w:p>
    <w:p w:rsidR="001848B7" w:rsidRPr="00744366" w:rsidRDefault="003007BF" w:rsidP="007B27CC">
      <w:pPr>
        <w:tabs>
          <w:tab w:val="left" w:pos="752"/>
        </w:tabs>
        <w:spacing w:after="0" w:line="360" w:lineRule="auto"/>
        <w:ind w:firstLine="709"/>
        <w:jc w:val="both"/>
        <w:rPr>
          <w:rFonts w:eastAsia="Times New Roman"/>
          <w:sz w:val="28"/>
          <w:szCs w:val="28"/>
        </w:rPr>
      </w:pPr>
      <w:r w:rsidRPr="003007BF">
        <w:rPr>
          <w:rFonts w:ascii="Times New Roman" w:hAnsi="Times New Roman" w:cs="Times New Roman"/>
          <w:sz w:val="28"/>
          <w:szCs w:val="28"/>
        </w:rPr>
        <w:t xml:space="preserve">В </w:t>
      </w:r>
      <w:r w:rsidR="001848B7" w:rsidRPr="003007BF">
        <w:rPr>
          <w:rFonts w:ascii="Times New Roman" w:eastAsia="Times New Roman" w:hAnsi="Times New Roman" w:cs="Times New Roman"/>
          <w:sz w:val="28"/>
          <w:szCs w:val="28"/>
        </w:rPr>
        <w:t>условиях холдинга целесообразно, что подтверждают многие авторы,</w:t>
      </w:r>
      <w:r w:rsidR="001848B7" w:rsidRPr="00744366">
        <w:rPr>
          <w:rFonts w:ascii="Times New Roman" w:eastAsia="Times New Roman" w:hAnsi="Times New Roman" w:cs="Times New Roman"/>
          <w:sz w:val="28"/>
          <w:szCs w:val="28"/>
        </w:rPr>
        <w:t xml:space="preserve"> рассчитывать налоговую н</w:t>
      </w:r>
      <w:r>
        <w:rPr>
          <w:rFonts w:ascii="Times New Roman" w:eastAsia="Times New Roman" w:hAnsi="Times New Roman" w:cs="Times New Roman"/>
          <w:sz w:val="28"/>
          <w:szCs w:val="28"/>
        </w:rPr>
        <w:t>агрузку на денежные потоки пред</w:t>
      </w:r>
      <w:r w:rsidR="001848B7" w:rsidRPr="00744366">
        <w:rPr>
          <w:rFonts w:ascii="Times New Roman" w:eastAsia="Times New Roman" w:hAnsi="Times New Roman" w:cs="Times New Roman"/>
          <w:sz w:val="28"/>
          <w:szCs w:val="28"/>
        </w:rPr>
        <w:t xml:space="preserve">приятия. Нам представляется, что более точно это влияние может быть определено путем </w:t>
      </w:r>
      <w:r w:rsidR="001848B7" w:rsidRPr="003007BF">
        <w:rPr>
          <w:rFonts w:ascii="Times New Roman" w:eastAsia="Times New Roman" w:hAnsi="Times New Roman" w:cs="Times New Roman"/>
          <w:sz w:val="28"/>
          <w:szCs w:val="28"/>
        </w:rPr>
        <w:t>сопоставления уплаченных налоговых платежей</w:t>
      </w:r>
      <w:r w:rsidRPr="003007BF">
        <w:rPr>
          <w:rFonts w:ascii="Times New Roman" w:eastAsia="Times New Roman" w:hAnsi="Times New Roman" w:cs="Times New Roman"/>
          <w:sz w:val="28"/>
          <w:szCs w:val="28"/>
        </w:rPr>
        <w:t xml:space="preserve"> с </w:t>
      </w:r>
      <w:r w:rsidR="001848B7" w:rsidRPr="003007BF">
        <w:rPr>
          <w:rFonts w:ascii="Times New Roman" w:eastAsia="Times New Roman" w:hAnsi="Times New Roman" w:cs="Times New Roman"/>
          <w:sz w:val="28"/>
          <w:szCs w:val="28"/>
        </w:rPr>
        <w:t>суммой денежных средств,</w:t>
      </w:r>
      <w:r w:rsidR="001848B7" w:rsidRPr="00744366">
        <w:rPr>
          <w:rFonts w:ascii="Times New Roman" w:eastAsia="Times New Roman" w:hAnsi="Times New Roman" w:cs="Times New Roman"/>
          <w:sz w:val="28"/>
          <w:szCs w:val="28"/>
        </w:rPr>
        <w:t xml:space="preserve"> полученных организацией в отчетном периоде, а не начисленных налоговых обязательств (с учетом или без учета вычетов).</w:t>
      </w:r>
    </w:p>
    <w:p w:rsidR="001848B7" w:rsidRPr="00744366" w:rsidRDefault="001848B7" w:rsidP="007B27CC">
      <w:pPr>
        <w:spacing w:after="0" w:line="360" w:lineRule="auto"/>
        <w:ind w:firstLine="709"/>
        <w:jc w:val="both"/>
        <w:rPr>
          <w:rFonts w:eastAsia="Times New Roman"/>
          <w:sz w:val="28"/>
          <w:szCs w:val="28"/>
        </w:rPr>
      </w:pPr>
      <w:r w:rsidRPr="00744366">
        <w:rPr>
          <w:rFonts w:ascii="Times New Roman" w:eastAsia="Times New Roman" w:hAnsi="Times New Roman" w:cs="Times New Roman"/>
          <w:sz w:val="28"/>
          <w:szCs w:val="28"/>
        </w:rPr>
        <w:t>Кроме того, при определении этого показателя, считаем обязательным учитывать не только налоги, но и суммы штрафных санкций в виде пени, штрафов, неустоек, а также недоимок по результатам налоговых проверок. Формула расчета будет иметь следующий вид:</w:t>
      </w:r>
    </w:p>
    <w:p w:rsidR="00744366" w:rsidRDefault="00744366" w:rsidP="00744366">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2314575" cy="742950"/>
            <wp:effectExtent l="19050" t="0" r="9525" b="0"/>
            <wp:docPr id="6" name="Рисунок 3" descr="C:\Users\user\Desktop\2018-04-18_21-0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18-04-18_21-04-38.png"/>
                    <pic:cNvPicPr>
                      <a:picLocks noChangeAspect="1" noChangeArrowheads="1"/>
                    </pic:cNvPicPr>
                  </pic:nvPicPr>
                  <pic:blipFill>
                    <a:blip r:embed="rId11" cstate="print"/>
                    <a:srcRect/>
                    <a:stretch>
                      <a:fillRect/>
                    </a:stretch>
                  </pic:blipFill>
                  <pic:spPr bwMode="auto">
                    <a:xfrm>
                      <a:off x="0" y="0"/>
                      <a:ext cx="2314575" cy="7429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(2)</w:t>
      </w:r>
    </w:p>
    <w:p w:rsidR="001848B7" w:rsidRPr="00744366" w:rsidRDefault="001848B7" w:rsidP="007B27CC">
      <w:pPr>
        <w:spacing w:after="0" w:line="360" w:lineRule="auto"/>
        <w:ind w:firstLine="709"/>
        <w:jc w:val="both"/>
        <w:rPr>
          <w:sz w:val="28"/>
          <w:szCs w:val="28"/>
        </w:rPr>
      </w:pPr>
      <w:r w:rsidRPr="00744366">
        <w:rPr>
          <w:rFonts w:ascii="Times New Roman" w:eastAsia="Times New Roman" w:hAnsi="Times New Roman" w:cs="Times New Roman"/>
          <w:sz w:val="28"/>
          <w:szCs w:val="28"/>
        </w:rPr>
        <w:t>Исследования, проведенные по данному вопросу, позволяют рекомендовать в к</w:t>
      </w:r>
      <w:r w:rsidR="001A489C">
        <w:rPr>
          <w:rFonts w:ascii="Times New Roman" w:eastAsia="Times New Roman" w:hAnsi="Times New Roman" w:cs="Times New Roman"/>
          <w:sz w:val="28"/>
          <w:szCs w:val="28"/>
        </w:rPr>
        <w:t>ачестве обобщающего показателя для</w:t>
      </w:r>
      <w:r w:rsidRPr="00744366">
        <w:rPr>
          <w:rFonts w:ascii="Times New Roman" w:eastAsia="Times New Roman" w:hAnsi="Times New Roman" w:cs="Times New Roman"/>
          <w:sz w:val="28"/>
          <w:szCs w:val="28"/>
        </w:rPr>
        <w:t xml:space="preserve"> </w:t>
      </w:r>
      <w:r w:rsidR="001A489C">
        <w:rPr>
          <w:rFonts w:ascii="Times New Roman" w:hAnsi="Times New Roman" w:cs="Times New Roman"/>
          <w:sz w:val="28"/>
          <w:szCs w:val="28"/>
        </w:rPr>
        <w:t>железнодорожного транспорта</w:t>
      </w:r>
      <w:r w:rsidR="001A489C" w:rsidRPr="00744366">
        <w:rPr>
          <w:rFonts w:ascii="Times New Roman" w:hAnsi="Times New Roman" w:cs="Times New Roman"/>
          <w:sz w:val="28"/>
          <w:szCs w:val="28"/>
        </w:rPr>
        <w:t xml:space="preserve"> </w:t>
      </w:r>
      <w:r w:rsidRPr="00744366">
        <w:rPr>
          <w:rFonts w:ascii="Times New Roman" w:eastAsia="Times New Roman" w:hAnsi="Times New Roman" w:cs="Times New Roman"/>
          <w:sz w:val="28"/>
          <w:szCs w:val="28"/>
        </w:rPr>
        <w:t xml:space="preserve">коэффициент, который может отразить реальные возможности </w:t>
      </w:r>
      <w:r w:rsidRPr="00744366">
        <w:rPr>
          <w:rFonts w:ascii="Times New Roman" w:eastAsia="Times New Roman" w:hAnsi="Times New Roman" w:cs="Times New Roman"/>
          <w:sz w:val="28"/>
          <w:szCs w:val="28"/>
        </w:rPr>
        <w:lastRenderedPageBreak/>
        <w:t>хозяйствующего субъекта по погашению обязательств по налоговым платежам. Для расчета этого показателя следует исходить из того, что действующий механизм хозяйствования предполагает формирование доходов экономического субъекта как совокупности доходов по обычным видам деятельности (выручка) и доходов по прочей деятельности. Указанные доходы должны возместить расходы организации по оплате труда, мат</w:t>
      </w:r>
      <w:r w:rsidR="001A489C">
        <w:rPr>
          <w:rFonts w:ascii="Times New Roman" w:eastAsia="Times New Roman" w:hAnsi="Times New Roman" w:cs="Times New Roman"/>
          <w:sz w:val="28"/>
          <w:szCs w:val="28"/>
        </w:rPr>
        <w:t>ериальные затраты, прочие расхо</w:t>
      </w:r>
      <w:r w:rsidRPr="00744366">
        <w:rPr>
          <w:rFonts w:ascii="Times New Roman" w:eastAsia="Times New Roman" w:hAnsi="Times New Roman" w:cs="Times New Roman"/>
          <w:sz w:val="28"/>
          <w:szCs w:val="28"/>
        </w:rPr>
        <w:t>ды. Амортизация не требует прямого возмещения, но она однозначно является источником покрытия расходов простого воспроизводства основных фондов. Следовательно, из всей суммы доходов на погашение обязательств по налоговым платежам в качестве источников могут быть использованы такие элементы вновь созданной стоимости как прибыль и вновь созданная стоимость по НДС (возможно и акцизов).</w:t>
      </w:r>
    </w:p>
    <w:p w:rsidR="001848B7" w:rsidRDefault="003007BF" w:rsidP="007B27C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848B7" w:rsidRPr="00744366">
        <w:rPr>
          <w:rFonts w:ascii="Times New Roman" w:eastAsia="Times New Roman" w:hAnsi="Times New Roman" w:cs="Times New Roman"/>
          <w:sz w:val="28"/>
          <w:szCs w:val="28"/>
        </w:rPr>
        <w:t>редлагае</w:t>
      </w:r>
      <w:r>
        <w:rPr>
          <w:rFonts w:ascii="Times New Roman" w:eastAsia="Times New Roman" w:hAnsi="Times New Roman" w:cs="Times New Roman"/>
          <w:sz w:val="28"/>
          <w:szCs w:val="28"/>
        </w:rPr>
        <w:t>м</w:t>
      </w:r>
      <w:r w:rsidR="001848B7" w:rsidRPr="00744366">
        <w:rPr>
          <w:rFonts w:ascii="Times New Roman" w:eastAsia="Times New Roman" w:hAnsi="Times New Roman" w:cs="Times New Roman"/>
          <w:sz w:val="28"/>
          <w:szCs w:val="28"/>
        </w:rPr>
        <w:t xml:space="preserve"> назвать этот показатель коэффициентом покрытия налоговых обязательств и рассчитывать по следующей формуле:</w:t>
      </w:r>
    </w:p>
    <w:p w:rsidR="003007BF" w:rsidRPr="003007BF" w:rsidRDefault="003007BF" w:rsidP="007B27CC">
      <w:pPr>
        <w:spacing w:after="0" w:line="360" w:lineRule="auto"/>
        <w:ind w:firstLine="709"/>
        <w:jc w:val="both"/>
        <w:rPr>
          <w:rFonts w:ascii="Times New Roman" w:hAnsi="Times New Roman" w:cs="Times New Roman"/>
          <w:sz w:val="28"/>
          <w:szCs w:val="28"/>
        </w:rPr>
      </w:pPr>
      <w:r w:rsidRPr="003007BF">
        <w:rPr>
          <w:rFonts w:ascii="Times New Roman" w:hAnsi="Times New Roman" w:cs="Times New Roman"/>
          <w:noProof/>
          <w:sz w:val="28"/>
          <w:szCs w:val="28"/>
          <w:lang w:eastAsia="ru-RU"/>
        </w:rPr>
        <w:drawing>
          <wp:inline distT="0" distB="0" distL="0" distR="0">
            <wp:extent cx="2428875" cy="704850"/>
            <wp:effectExtent l="19050" t="0" r="9525" b="0"/>
            <wp:docPr id="8" name="Рисунок 4" descr="C:\Users\user\Desktop\2018-04-18_21-1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18-04-18_21-10-37.png"/>
                    <pic:cNvPicPr>
                      <a:picLocks noChangeAspect="1" noChangeArrowheads="1"/>
                    </pic:cNvPicPr>
                  </pic:nvPicPr>
                  <pic:blipFill>
                    <a:blip r:embed="rId12" cstate="print"/>
                    <a:srcRect/>
                    <a:stretch>
                      <a:fillRect/>
                    </a:stretch>
                  </pic:blipFill>
                  <pic:spPr bwMode="auto">
                    <a:xfrm>
                      <a:off x="0" y="0"/>
                      <a:ext cx="2428875" cy="704850"/>
                    </a:xfrm>
                    <a:prstGeom prst="rect">
                      <a:avLst/>
                    </a:prstGeom>
                    <a:noFill/>
                    <a:ln w="9525">
                      <a:noFill/>
                      <a:miter lim="800000"/>
                      <a:headEnd/>
                      <a:tailEnd/>
                    </a:ln>
                  </pic:spPr>
                </pic:pic>
              </a:graphicData>
            </a:graphic>
          </wp:inline>
        </w:drawing>
      </w:r>
      <w:r w:rsidRPr="003007BF">
        <w:rPr>
          <w:rFonts w:ascii="Times New Roman" w:hAnsi="Times New Roman" w:cs="Times New Roman"/>
          <w:sz w:val="28"/>
          <w:szCs w:val="28"/>
        </w:rPr>
        <w:t>(3)</w:t>
      </w:r>
    </w:p>
    <w:p w:rsidR="001848B7" w:rsidRDefault="001848B7" w:rsidP="007B27CC">
      <w:pPr>
        <w:spacing w:after="0" w:line="360" w:lineRule="auto"/>
        <w:ind w:firstLine="709"/>
        <w:jc w:val="both"/>
        <w:rPr>
          <w:sz w:val="20"/>
          <w:szCs w:val="20"/>
        </w:rPr>
      </w:pPr>
      <w:r>
        <w:rPr>
          <w:rFonts w:ascii="Times New Roman" w:eastAsia="Times New Roman" w:hAnsi="Times New Roman" w:cs="Times New Roman"/>
          <w:sz w:val="16"/>
          <w:szCs w:val="16"/>
        </w:rPr>
        <w:t xml:space="preserve">где, </w:t>
      </w:r>
      <w:r>
        <w:rPr>
          <w:rFonts w:ascii="Gabriola" w:eastAsia="Gabriola" w:hAnsi="Gabriola" w:cs="Gabriola"/>
          <w:sz w:val="24"/>
          <w:szCs w:val="24"/>
        </w:rPr>
        <w:t>ИП</w:t>
      </w:r>
      <w:r>
        <w:rPr>
          <w:rFonts w:ascii="Times New Roman" w:eastAsia="Times New Roman" w:hAnsi="Times New Roman" w:cs="Times New Roman"/>
          <w:sz w:val="16"/>
          <w:szCs w:val="16"/>
        </w:rPr>
        <w:t xml:space="preserve"> </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Symbol" w:eastAsia="Symbol" w:hAnsi="Symbol" w:cs="Symbol"/>
          <w:sz w:val="31"/>
          <w:szCs w:val="31"/>
        </w:rPr>
        <w:t></w:t>
      </w:r>
      <w:r>
        <w:rPr>
          <w:rFonts w:ascii="Gabriola" w:eastAsia="Gabriola" w:hAnsi="Gabriola" w:cs="Gabriola"/>
          <w:sz w:val="24"/>
          <w:szCs w:val="24"/>
        </w:rPr>
        <w:t>В</w:t>
      </w:r>
      <w:r>
        <w:rPr>
          <w:rFonts w:ascii="Times New Roman" w:eastAsia="Times New Roman" w:hAnsi="Times New Roman" w:cs="Times New Roman"/>
          <w:sz w:val="16"/>
          <w:szCs w:val="16"/>
        </w:rPr>
        <w:t xml:space="preserve"> </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Gabriola" w:eastAsia="Gabriola" w:hAnsi="Gabriola" w:cs="Gabriola"/>
          <w:sz w:val="24"/>
          <w:szCs w:val="24"/>
        </w:rPr>
        <w:t>Д</w:t>
      </w:r>
      <w:r>
        <w:rPr>
          <w:rFonts w:ascii="Times New Roman" w:eastAsia="Times New Roman" w:hAnsi="Times New Roman" w:cs="Times New Roman"/>
          <w:sz w:val="16"/>
          <w:szCs w:val="16"/>
        </w:rPr>
        <w:t xml:space="preserve"> </w:t>
      </w:r>
      <w:r>
        <w:rPr>
          <w:rFonts w:ascii="Gabriola" w:eastAsia="Gabriola" w:hAnsi="Gabriola" w:cs="Gabriola"/>
          <w:sz w:val="27"/>
          <w:szCs w:val="27"/>
          <w:vertAlign w:val="subscript"/>
        </w:rPr>
        <w:t>ПР</w:t>
      </w:r>
      <w:r>
        <w:rPr>
          <w:rFonts w:ascii="Times New Roman" w:eastAsia="Times New Roman" w:hAnsi="Times New Roman" w:cs="Times New Roman"/>
          <w:sz w:val="16"/>
          <w:szCs w:val="16"/>
        </w:rPr>
        <w:t xml:space="preserve"> </w:t>
      </w:r>
      <w:r>
        <w:rPr>
          <w:rFonts w:ascii="Symbol" w:eastAsia="Symbol" w:hAnsi="Symbol" w:cs="Symbol"/>
          <w:sz w:val="31"/>
          <w:szCs w:val="31"/>
        </w:rPr>
        <w:t></w:t>
      </w:r>
      <w:r>
        <w:rPr>
          <w:rFonts w:ascii="Times New Roman" w:eastAsia="Times New Roman" w:hAnsi="Times New Roman" w:cs="Times New Roman"/>
          <w:sz w:val="16"/>
          <w:szCs w:val="16"/>
        </w:rPr>
        <w:t xml:space="preserve"> </w:t>
      </w:r>
      <w:r>
        <w:rPr>
          <w:rFonts w:ascii="Arial Unicode MS" w:eastAsia="Arial Unicode MS" w:hAnsi="Arial Unicode MS" w:cs="Arial Unicode MS"/>
          <w:sz w:val="24"/>
          <w:szCs w:val="24"/>
        </w:rPr>
        <w:t>−</w:t>
      </w:r>
      <w:r>
        <w:rPr>
          <w:rFonts w:ascii="Times New Roman" w:eastAsia="Times New Roman" w:hAnsi="Times New Roman" w:cs="Times New Roman"/>
          <w:sz w:val="16"/>
          <w:szCs w:val="16"/>
        </w:rPr>
        <w:t xml:space="preserve"> </w:t>
      </w:r>
      <w:r>
        <w:rPr>
          <w:rFonts w:ascii="Symbol" w:eastAsia="Symbol" w:hAnsi="Symbol" w:cs="Symbol"/>
          <w:sz w:val="31"/>
          <w:szCs w:val="31"/>
        </w:rPr>
        <w:t></w:t>
      </w:r>
      <w:r>
        <w:rPr>
          <w:rFonts w:ascii="Gabriola" w:eastAsia="Gabriola" w:hAnsi="Gabriola" w:cs="Gabriola"/>
          <w:sz w:val="24"/>
          <w:szCs w:val="24"/>
        </w:rPr>
        <w:t>ФОТ</w:t>
      </w:r>
      <w:r>
        <w:rPr>
          <w:rFonts w:ascii="Times New Roman" w:eastAsia="Times New Roman" w:hAnsi="Times New Roman" w:cs="Times New Roman"/>
          <w:sz w:val="16"/>
          <w:szCs w:val="16"/>
        </w:rPr>
        <w:t xml:space="preserve"> </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Gabriola" w:eastAsia="Gabriola" w:hAnsi="Gabriola" w:cs="Gabriola"/>
          <w:sz w:val="24"/>
          <w:szCs w:val="24"/>
        </w:rPr>
        <w:t>А</w:t>
      </w:r>
      <w:r>
        <w:rPr>
          <w:rFonts w:ascii="Times New Roman" w:eastAsia="Times New Roman" w:hAnsi="Times New Roman" w:cs="Times New Roman"/>
          <w:sz w:val="16"/>
          <w:szCs w:val="16"/>
        </w:rPr>
        <w:t xml:space="preserve"> </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Gabriola" w:eastAsia="Gabriola" w:hAnsi="Gabriola" w:cs="Gabriola"/>
          <w:sz w:val="24"/>
          <w:szCs w:val="24"/>
        </w:rPr>
        <w:t>МЗ</w:t>
      </w:r>
      <w:r>
        <w:rPr>
          <w:rFonts w:ascii="Times New Roman" w:eastAsia="Times New Roman" w:hAnsi="Times New Roman" w:cs="Times New Roman"/>
          <w:sz w:val="16"/>
          <w:szCs w:val="16"/>
        </w:rPr>
        <w:t xml:space="preserve"> </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Gabriola" w:eastAsia="Gabriola" w:hAnsi="Gabriola" w:cs="Gabriola"/>
          <w:sz w:val="24"/>
          <w:szCs w:val="24"/>
        </w:rPr>
        <w:t>Р</w:t>
      </w:r>
      <w:r>
        <w:rPr>
          <w:rFonts w:ascii="Gabriola" w:eastAsia="Gabriola" w:hAnsi="Gabriola" w:cs="Gabriola"/>
          <w:sz w:val="27"/>
          <w:szCs w:val="27"/>
          <w:vertAlign w:val="subscript"/>
        </w:rPr>
        <w:t>ПР</w:t>
      </w:r>
      <w:r>
        <w:rPr>
          <w:rFonts w:ascii="Times New Roman" w:eastAsia="Times New Roman" w:hAnsi="Times New Roman" w:cs="Times New Roman"/>
          <w:sz w:val="16"/>
          <w:szCs w:val="16"/>
        </w:rPr>
        <w:t xml:space="preserve"> </w:t>
      </w:r>
      <w:r>
        <w:rPr>
          <w:rFonts w:ascii="Symbol" w:eastAsia="Symbol" w:hAnsi="Symbol" w:cs="Symbol"/>
          <w:sz w:val="31"/>
          <w:szCs w:val="31"/>
        </w:rPr>
        <w:t></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Gabriola" w:eastAsia="Gabriola" w:hAnsi="Gabriola" w:cs="Gabriola"/>
          <w:sz w:val="24"/>
          <w:szCs w:val="24"/>
        </w:rPr>
        <w:t>ВСС</w:t>
      </w:r>
      <w:r>
        <w:rPr>
          <w:rFonts w:ascii="Gabriola" w:eastAsia="Gabriola" w:hAnsi="Gabriola" w:cs="Gabriola"/>
          <w:sz w:val="27"/>
          <w:szCs w:val="27"/>
          <w:vertAlign w:val="subscript"/>
        </w:rPr>
        <w:t>НДС</w:t>
      </w:r>
      <w:r>
        <w:rPr>
          <w:rFonts w:ascii="Times New Roman" w:eastAsia="Times New Roman" w:hAnsi="Times New Roman" w:cs="Times New Roman"/>
          <w:sz w:val="16"/>
          <w:szCs w:val="16"/>
        </w:rPr>
        <w:t xml:space="preserve"> </w:t>
      </w:r>
      <w:r>
        <w:rPr>
          <w:rFonts w:ascii="Symbol" w:eastAsia="Symbol" w:hAnsi="Symbol" w:cs="Symbol"/>
          <w:sz w:val="24"/>
          <w:szCs w:val="24"/>
        </w:rPr>
        <w:t></w:t>
      </w:r>
      <w:r>
        <w:rPr>
          <w:rFonts w:ascii="Times New Roman" w:eastAsia="Times New Roman" w:hAnsi="Times New Roman" w:cs="Times New Roman"/>
          <w:sz w:val="16"/>
          <w:szCs w:val="16"/>
        </w:rPr>
        <w:t xml:space="preserve"> </w:t>
      </w:r>
      <w:r>
        <w:rPr>
          <w:rFonts w:ascii="Gabriola" w:eastAsia="Gabriola" w:hAnsi="Gabriola" w:cs="Gabriola"/>
          <w:sz w:val="24"/>
          <w:szCs w:val="24"/>
        </w:rPr>
        <w:t>ВСС</w:t>
      </w:r>
      <w:r>
        <w:rPr>
          <w:rFonts w:ascii="Gabriola" w:eastAsia="Gabriola" w:hAnsi="Gabriola" w:cs="Gabriola"/>
          <w:sz w:val="27"/>
          <w:szCs w:val="27"/>
          <w:vertAlign w:val="subscript"/>
        </w:rPr>
        <w:t>А</w:t>
      </w:r>
    </w:p>
    <w:p w:rsidR="001848B7" w:rsidRPr="00744366" w:rsidRDefault="001848B7" w:rsidP="007B27CC">
      <w:pPr>
        <w:spacing w:after="0" w:line="360" w:lineRule="auto"/>
        <w:ind w:firstLine="709"/>
        <w:jc w:val="both"/>
        <w:rPr>
          <w:rFonts w:ascii="Times New Roman" w:hAnsi="Times New Roman" w:cs="Times New Roman"/>
          <w:sz w:val="28"/>
          <w:szCs w:val="28"/>
        </w:rPr>
      </w:pPr>
      <w:r w:rsidRPr="00744366">
        <w:rPr>
          <w:rFonts w:ascii="Times New Roman" w:eastAsia="Gabriola" w:hAnsi="Times New Roman" w:cs="Times New Roman"/>
          <w:sz w:val="28"/>
          <w:szCs w:val="28"/>
          <w:vertAlign w:val="subscript"/>
        </w:rPr>
        <w:t>ИП</w:t>
      </w:r>
      <w:r w:rsidRPr="00744366">
        <w:rPr>
          <w:rFonts w:ascii="Times New Roman" w:eastAsia="Times New Roman" w:hAnsi="Times New Roman" w:cs="Times New Roman"/>
          <w:sz w:val="28"/>
          <w:szCs w:val="28"/>
        </w:rPr>
        <w:t xml:space="preserve"> - источники погашения обязательств по налоговым платежам;</w:t>
      </w:r>
    </w:p>
    <w:p w:rsidR="001848B7" w:rsidRPr="00744366" w:rsidRDefault="001848B7" w:rsidP="007B27CC">
      <w:pPr>
        <w:spacing w:after="0" w:line="360" w:lineRule="auto"/>
        <w:ind w:firstLine="709"/>
        <w:jc w:val="both"/>
        <w:rPr>
          <w:rFonts w:ascii="Times New Roman" w:hAnsi="Times New Roman" w:cs="Times New Roman"/>
          <w:sz w:val="28"/>
          <w:szCs w:val="28"/>
        </w:rPr>
      </w:pPr>
      <w:r w:rsidRPr="00744366">
        <w:rPr>
          <w:rFonts w:ascii="Times New Roman" w:eastAsia="Gabriola" w:hAnsi="Times New Roman" w:cs="Times New Roman"/>
          <w:sz w:val="28"/>
          <w:szCs w:val="28"/>
        </w:rPr>
        <w:t>ВСС</w:t>
      </w:r>
      <w:r w:rsidRPr="00744366">
        <w:rPr>
          <w:rFonts w:ascii="Times New Roman" w:eastAsia="Gabriola" w:hAnsi="Times New Roman" w:cs="Times New Roman"/>
          <w:sz w:val="28"/>
          <w:szCs w:val="28"/>
          <w:vertAlign w:val="subscript"/>
        </w:rPr>
        <w:t>НДС</w:t>
      </w:r>
      <w:r w:rsidRPr="00744366">
        <w:rPr>
          <w:rFonts w:ascii="Times New Roman" w:eastAsia="Gabriola" w:hAnsi="Times New Roman" w:cs="Times New Roman"/>
          <w:sz w:val="28"/>
          <w:szCs w:val="28"/>
        </w:rPr>
        <w:t xml:space="preserve"> </w:t>
      </w:r>
      <w:r w:rsidRPr="00744366">
        <w:rPr>
          <w:rFonts w:ascii="Times New Roman" w:eastAsia="Times New Roman" w:hAnsi="Times New Roman" w:cs="Times New Roman"/>
          <w:sz w:val="28"/>
          <w:szCs w:val="28"/>
        </w:rPr>
        <w:t>- вновь созданная стоимость по НДС;</w:t>
      </w:r>
    </w:p>
    <w:p w:rsidR="001848B7" w:rsidRPr="00744366" w:rsidRDefault="001848B7" w:rsidP="007B27CC">
      <w:pPr>
        <w:spacing w:after="0" w:line="360" w:lineRule="auto"/>
        <w:ind w:firstLine="709"/>
        <w:jc w:val="both"/>
        <w:rPr>
          <w:rFonts w:ascii="Times New Roman" w:hAnsi="Times New Roman" w:cs="Times New Roman"/>
          <w:sz w:val="28"/>
          <w:szCs w:val="28"/>
        </w:rPr>
      </w:pPr>
      <w:r w:rsidRPr="00744366">
        <w:rPr>
          <w:rFonts w:ascii="Times New Roman" w:eastAsia="Gabriola" w:hAnsi="Times New Roman" w:cs="Times New Roman"/>
          <w:sz w:val="28"/>
          <w:szCs w:val="28"/>
        </w:rPr>
        <w:t>ВСС</w:t>
      </w:r>
      <w:r w:rsidRPr="00744366">
        <w:rPr>
          <w:rFonts w:ascii="Times New Roman" w:eastAsia="Gabriola" w:hAnsi="Times New Roman" w:cs="Times New Roman"/>
          <w:sz w:val="28"/>
          <w:szCs w:val="28"/>
          <w:vertAlign w:val="subscript"/>
        </w:rPr>
        <w:t>А</w:t>
      </w:r>
      <w:r w:rsidRPr="00744366">
        <w:rPr>
          <w:rFonts w:ascii="Times New Roman" w:eastAsia="Gabriola" w:hAnsi="Times New Roman" w:cs="Times New Roman"/>
          <w:sz w:val="28"/>
          <w:szCs w:val="28"/>
        </w:rPr>
        <w:t xml:space="preserve"> </w:t>
      </w:r>
      <w:r w:rsidRPr="00744366">
        <w:rPr>
          <w:rFonts w:ascii="Times New Roman" w:eastAsia="Times New Roman" w:hAnsi="Times New Roman" w:cs="Times New Roman"/>
          <w:sz w:val="28"/>
          <w:szCs w:val="28"/>
        </w:rPr>
        <w:t>- вновь созданная стоимость по акцизам.</w:t>
      </w:r>
    </w:p>
    <w:p w:rsidR="001848B7" w:rsidRPr="00744366" w:rsidRDefault="001848B7" w:rsidP="007B27CC">
      <w:pPr>
        <w:spacing w:after="0" w:line="360" w:lineRule="auto"/>
        <w:ind w:firstLine="709"/>
        <w:jc w:val="both"/>
        <w:rPr>
          <w:rFonts w:ascii="Times New Roman" w:hAnsi="Times New Roman" w:cs="Times New Roman"/>
          <w:sz w:val="28"/>
          <w:szCs w:val="28"/>
        </w:rPr>
      </w:pPr>
    </w:p>
    <w:p w:rsidR="001848B7" w:rsidRPr="00744366" w:rsidRDefault="001848B7" w:rsidP="007B27CC">
      <w:pPr>
        <w:spacing w:after="0" w:line="360" w:lineRule="auto"/>
        <w:ind w:firstLine="709"/>
        <w:jc w:val="both"/>
        <w:rPr>
          <w:rFonts w:ascii="Times New Roman" w:hAnsi="Times New Roman" w:cs="Times New Roman"/>
          <w:sz w:val="28"/>
          <w:szCs w:val="28"/>
        </w:rPr>
      </w:pPr>
      <w:r w:rsidRPr="00744366">
        <w:rPr>
          <w:rFonts w:ascii="Times New Roman" w:eastAsia="Times New Roman" w:hAnsi="Times New Roman" w:cs="Times New Roman"/>
          <w:sz w:val="28"/>
          <w:szCs w:val="28"/>
        </w:rPr>
        <w:t xml:space="preserve">Указанный показатель может быть использован в рамках налогового планирования и налогового анализа, а также при проведении анализа </w:t>
      </w:r>
      <w:r w:rsidRPr="00744366">
        <w:rPr>
          <w:rFonts w:ascii="Times New Roman" w:eastAsia="Times New Roman" w:hAnsi="Times New Roman" w:cs="Times New Roman"/>
          <w:sz w:val="28"/>
          <w:szCs w:val="28"/>
        </w:rPr>
        <w:lastRenderedPageBreak/>
        <w:t>платежеспособности и финансового состояния в целом по холдингу, его бизнес-единицам и структурным подразделениям.</w:t>
      </w:r>
    </w:p>
    <w:p w:rsidR="001848B7" w:rsidRPr="00744366" w:rsidRDefault="001848B7" w:rsidP="00744366">
      <w:pPr>
        <w:spacing w:after="0" w:line="360" w:lineRule="auto"/>
        <w:ind w:firstLine="709"/>
        <w:jc w:val="both"/>
        <w:rPr>
          <w:rFonts w:ascii="Times New Roman" w:hAnsi="Times New Roman" w:cs="Times New Roman"/>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7B27CC" w:rsidRDefault="007B27CC" w:rsidP="003007BF">
      <w:pPr>
        <w:spacing w:after="0" w:line="360" w:lineRule="auto"/>
        <w:jc w:val="center"/>
        <w:rPr>
          <w:rFonts w:ascii="Times New Roman" w:eastAsia="Times New Roman" w:hAnsi="Times New Roman" w:cs="Times New Roman"/>
          <w:b/>
          <w:sz w:val="28"/>
          <w:szCs w:val="28"/>
        </w:rPr>
      </w:pPr>
    </w:p>
    <w:p w:rsidR="001848B7" w:rsidRPr="003007BF" w:rsidRDefault="003007BF" w:rsidP="003007BF">
      <w:pPr>
        <w:spacing w:after="0" w:line="360" w:lineRule="auto"/>
        <w:jc w:val="center"/>
        <w:rPr>
          <w:rFonts w:ascii="Times New Roman" w:hAnsi="Times New Roman" w:cs="Times New Roman"/>
          <w:b/>
          <w:sz w:val="28"/>
          <w:szCs w:val="28"/>
        </w:rPr>
      </w:pPr>
      <w:r w:rsidRPr="003007BF">
        <w:rPr>
          <w:rFonts w:ascii="Times New Roman" w:eastAsia="Times New Roman" w:hAnsi="Times New Roman" w:cs="Times New Roman"/>
          <w:b/>
          <w:sz w:val="28"/>
          <w:szCs w:val="28"/>
        </w:rPr>
        <w:t>Выводы по первой главе</w:t>
      </w:r>
    </w:p>
    <w:p w:rsidR="001848B7" w:rsidRPr="00744366" w:rsidRDefault="001848B7" w:rsidP="00744366">
      <w:pPr>
        <w:spacing w:after="0" w:line="360" w:lineRule="auto"/>
        <w:ind w:firstLine="709"/>
        <w:jc w:val="both"/>
        <w:rPr>
          <w:rFonts w:ascii="Times New Roman" w:hAnsi="Times New Roman" w:cs="Times New Roman"/>
          <w:sz w:val="28"/>
          <w:szCs w:val="28"/>
        </w:rPr>
      </w:pPr>
    </w:p>
    <w:p w:rsidR="001848B7" w:rsidRPr="00744366" w:rsidRDefault="001848B7" w:rsidP="00744366">
      <w:pPr>
        <w:numPr>
          <w:ilvl w:val="0"/>
          <w:numId w:val="4"/>
        </w:numPr>
        <w:tabs>
          <w:tab w:val="left" w:pos="777"/>
        </w:tabs>
        <w:spacing w:after="0" w:line="360" w:lineRule="auto"/>
        <w:ind w:firstLine="709"/>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 xml:space="preserve">Исследования, проведенные </w:t>
      </w:r>
      <w:r w:rsidR="003007BF">
        <w:rPr>
          <w:rFonts w:ascii="Times New Roman" w:eastAsia="Times New Roman" w:hAnsi="Times New Roman" w:cs="Times New Roman"/>
          <w:sz w:val="28"/>
          <w:szCs w:val="28"/>
        </w:rPr>
        <w:t>в теоретической главе</w:t>
      </w:r>
      <w:r w:rsidRPr="00744366">
        <w:rPr>
          <w:rFonts w:ascii="Times New Roman" w:eastAsia="Times New Roman" w:hAnsi="Times New Roman" w:cs="Times New Roman"/>
          <w:sz w:val="28"/>
          <w:szCs w:val="28"/>
        </w:rPr>
        <w:t xml:space="preserve"> по изучению теории и практики налогового планирования, основанного на использовании системы показателей налогового бремени и нагрузки позволили определить с целью повышения каче</w:t>
      </w:r>
      <w:r w:rsidR="003007BF">
        <w:rPr>
          <w:rFonts w:ascii="Times New Roman" w:eastAsia="Times New Roman" w:hAnsi="Times New Roman" w:cs="Times New Roman"/>
          <w:sz w:val="28"/>
          <w:szCs w:val="28"/>
        </w:rPr>
        <w:t>ства налогового планирования ос</w:t>
      </w:r>
      <w:r w:rsidRPr="00744366">
        <w:rPr>
          <w:rFonts w:ascii="Times New Roman" w:eastAsia="Times New Roman" w:hAnsi="Times New Roman" w:cs="Times New Roman"/>
          <w:sz w:val="28"/>
          <w:szCs w:val="28"/>
        </w:rPr>
        <w:t>новные направления совершенствования системы и методов расчета показателей.</w:t>
      </w:r>
    </w:p>
    <w:p w:rsidR="001848B7" w:rsidRPr="00744366" w:rsidRDefault="001848B7" w:rsidP="00744366">
      <w:pPr>
        <w:numPr>
          <w:ilvl w:val="0"/>
          <w:numId w:val="4"/>
        </w:numPr>
        <w:tabs>
          <w:tab w:val="left" w:pos="782"/>
        </w:tabs>
        <w:spacing w:after="0" w:line="360" w:lineRule="auto"/>
        <w:ind w:firstLine="709"/>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 xml:space="preserve">Целесообразно ввести в практику оценки эффективности налогового планирования показатели «номинального» и «реального» </w:t>
      </w:r>
      <w:r w:rsidRPr="00744366">
        <w:rPr>
          <w:rFonts w:ascii="Times New Roman" w:eastAsia="Times New Roman" w:hAnsi="Times New Roman" w:cs="Times New Roman"/>
          <w:sz w:val="28"/>
          <w:szCs w:val="28"/>
        </w:rPr>
        <w:lastRenderedPageBreak/>
        <w:t>налогового бремени и коэффициент снижения налогового бремени для оценки эффективности использо</w:t>
      </w:r>
      <w:r w:rsidR="003007BF">
        <w:rPr>
          <w:rFonts w:ascii="Times New Roman" w:eastAsia="Times New Roman" w:hAnsi="Times New Roman" w:cs="Times New Roman"/>
          <w:sz w:val="28"/>
          <w:szCs w:val="28"/>
        </w:rPr>
        <w:t>вания льгот и вычетов по налого</w:t>
      </w:r>
      <w:r w:rsidRPr="00744366">
        <w:rPr>
          <w:rFonts w:ascii="Times New Roman" w:eastAsia="Times New Roman" w:hAnsi="Times New Roman" w:cs="Times New Roman"/>
          <w:sz w:val="28"/>
          <w:szCs w:val="28"/>
        </w:rPr>
        <w:t>вым платежам.</w:t>
      </w:r>
    </w:p>
    <w:p w:rsidR="001848B7" w:rsidRPr="00744366" w:rsidRDefault="001848B7" w:rsidP="00744366">
      <w:pPr>
        <w:numPr>
          <w:ilvl w:val="0"/>
          <w:numId w:val="4"/>
        </w:numPr>
        <w:tabs>
          <w:tab w:val="left" w:pos="782"/>
        </w:tabs>
        <w:spacing w:after="0" w:line="360" w:lineRule="auto"/>
        <w:ind w:firstLine="709"/>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 xml:space="preserve">Для расчета налоговой нагрузки </w:t>
      </w:r>
      <w:r w:rsidR="003007BF">
        <w:rPr>
          <w:rFonts w:ascii="Times New Roman" w:eastAsia="Times New Roman" w:hAnsi="Times New Roman" w:cs="Times New Roman"/>
          <w:sz w:val="28"/>
          <w:szCs w:val="28"/>
        </w:rPr>
        <w:t xml:space="preserve">железнодорожной организации </w:t>
      </w:r>
      <w:r w:rsidRPr="00744366">
        <w:rPr>
          <w:rFonts w:ascii="Times New Roman" w:eastAsia="Times New Roman" w:hAnsi="Times New Roman" w:cs="Times New Roman"/>
          <w:sz w:val="28"/>
          <w:szCs w:val="28"/>
        </w:rPr>
        <w:t>и юридически обособленных бизнес-единиц рекомендуется использовать показатель налоговой нагрузки, исчисляемый отношением суммы уплаченных налогов и штрафных санкций к денежным средствам.</w:t>
      </w:r>
    </w:p>
    <w:p w:rsidR="001848B7" w:rsidRPr="00744366" w:rsidRDefault="001848B7" w:rsidP="00744366">
      <w:pPr>
        <w:numPr>
          <w:ilvl w:val="0"/>
          <w:numId w:val="4"/>
        </w:numPr>
        <w:tabs>
          <w:tab w:val="left" w:pos="769"/>
        </w:tabs>
        <w:spacing w:after="0" w:line="360" w:lineRule="auto"/>
        <w:ind w:firstLine="709"/>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С целью оценки реальных возможностей хозяйствующего субъекта по погашению обязательст</w:t>
      </w:r>
      <w:r w:rsidR="003007BF">
        <w:rPr>
          <w:rFonts w:ascii="Times New Roman" w:eastAsia="Times New Roman" w:hAnsi="Times New Roman" w:cs="Times New Roman"/>
          <w:sz w:val="28"/>
          <w:szCs w:val="28"/>
        </w:rPr>
        <w:t>в по налоговым платежам рекомен</w:t>
      </w:r>
      <w:r w:rsidRPr="00744366">
        <w:rPr>
          <w:rFonts w:ascii="Times New Roman" w:eastAsia="Times New Roman" w:hAnsi="Times New Roman" w:cs="Times New Roman"/>
          <w:sz w:val="28"/>
          <w:szCs w:val="28"/>
        </w:rPr>
        <w:t>дуется ввести в практику коэффициент покрытия налоговых обязательств, в основу расчета которо</w:t>
      </w:r>
      <w:r w:rsidR="003007BF">
        <w:rPr>
          <w:rFonts w:ascii="Times New Roman" w:eastAsia="Times New Roman" w:hAnsi="Times New Roman" w:cs="Times New Roman"/>
          <w:sz w:val="28"/>
          <w:szCs w:val="28"/>
        </w:rPr>
        <w:t>го положена вновь созданная сто</w:t>
      </w:r>
      <w:r w:rsidRPr="00744366">
        <w:rPr>
          <w:rFonts w:ascii="Times New Roman" w:eastAsia="Times New Roman" w:hAnsi="Times New Roman" w:cs="Times New Roman"/>
          <w:sz w:val="28"/>
          <w:szCs w:val="28"/>
        </w:rPr>
        <w:t>имость.</w:t>
      </w:r>
    </w:p>
    <w:p w:rsidR="001848B7" w:rsidRPr="00744366" w:rsidRDefault="001848B7" w:rsidP="00744366">
      <w:pPr>
        <w:numPr>
          <w:ilvl w:val="1"/>
          <w:numId w:val="4"/>
        </w:numPr>
        <w:tabs>
          <w:tab w:val="left" w:pos="809"/>
        </w:tabs>
        <w:spacing w:after="0" w:line="360" w:lineRule="auto"/>
        <w:ind w:firstLine="709"/>
        <w:jc w:val="both"/>
        <w:rPr>
          <w:rFonts w:ascii="Times New Roman" w:eastAsia="Times New Roman" w:hAnsi="Times New Roman" w:cs="Times New Roman"/>
          <w:sz w:val="28"/>
          <w:szCs w:val="28"/>
        </w:rPr>
      </w:pPr>
      <w:r w:rsidRPr="00744366">
        <w:rPr>
          <w:rFonts w:ascii="Times New Roman" w:eastAsia="Times New Roman" w:hAnsi="Times New Roman" w:cs="Times New Roman"/>
          <w:sz w:val="28"/>
          <w:szCs w:val="28"/>
        </w:rPr>
        <w:t xml:space="preserve">Предложенные в </w:t>
      </w:r>
      <w:r w:rsidR="003007BF">
        <w:rPr>
          <w:rFonts w:ascii="Times New Roman" w:eastAsia="Times New Roman" w:hAnsi="Times New Roman" w:cs="Times New Roman"/>
          <w:sz w:val="28"/>
          <w:szCs w:val="28"/>
        </w:rPr>
        <w:t xml:space="preserve">параграфе </w:t>
      </w:r>
      <w:r w:rsidRPr="00744366">
        <w:rPr>
          <w:rFonts w:ascii="Times New Roman" w:eastAsia="Times New Roman" w:hAnsi="Times New Roman" w:cs="Times New Roman"/>
          <w:sz w:val="28"/>
          <w:szCs w:val="28"/>
        </w:rPr>
        <w:t>показатели рекомендуется использовать для оценки налоговой нагрузки и налогового бремени в целом по отрасли в сравнении с показателями российской экономики, оценивать динамику и прогнозировать налоговые платежи</w:t>
      </w:r>
      <w:r w:rsidR="003007BF">
        <w:rPr>
          <w:rFonts w:ascii="Times New Roman" w:eastAsia="Times New Roman" w:hAnsi="Times New Roman" w:cs="Times New Roman"/>
          <w:sz w:val="28"/>
          <w:szCs w:val="28"/>
        </w:rPr>
        <w:t>.</w:t>
      </w:r>
    </w:p>
    <w:p w:rsidR="00CF28E8" w:rsidRPr="00CF28E8" w:rsidRDefault="00CF28E8" w:rsidP="00744366">
      <w:pPr>
        <w:spacing w:after="0" w:line="240" w:lineRule="auto"/>
        <w:jc w:val="both"/>
        <w:rPr>
          <w:rFonts w:ascii="Times New Roman" w:hAnsi="Times New Roman" w:cs="Times New Roman"/>
          <w:sz w:val="28"/>
          <w:szCs w:val="28"/>
        </w:rPr>
      </w:pPr>
    </w:p>
    <w:sectPr w:rsidR="00CF28E8" w:rsidRPr="00CF28E8" w:rsidSect="00CF28E8">
      <w:headerReference w:type="default" r:id="rId1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225" w:rsidRDefault="00AF4225" w:rsidP="003007BF">
      <w:pPr>
        <w:spacing w:after="0" w:line="240" w:lineRule="auto"/>
      </w:pPr>
      <w:r>
        <w:separator/>
      </w:r>
    </w:p>
  </w:endnote>
  <w:endnote w:type="continuationSeparator" w:id="0">
    <w:p w:rsidR="00AF4225" w:rsidRDefault="00AF4225" w:rsidP="00300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225" w:rsidRDefault="00AF4225" w:rsidP="003007BF">
      <w:pPr>
        <w:spacing w:after="0" w:line="240" w:lineRule="auto"/>
      </w:pPr>
      <w:r>
        <w:separator/>
      </w:r>
    </w:p>
  </w:footnote>
  <w:footnote w:type="continuationSeparator" w:id="0">
    <w:p w:rsidR="00AF4225" w:rsidRDefault="00AF4225" w:rsidP="003007BF">
      <w:pPr>
        <w:spacing w:after="0" w:line="240" w:lineRule="auto"/>
      </w:pPr>
      <w:r>
        <w:continuationSeparator/>
      </w:r>
    </w:p>
  </w:footnote>
  <w:footnote w:id="1">
    <w:p w:rsidR="003007BF" w:rsidRDefault="003007BF">
      <w:pPr>
        <w:pStyle w:val="a5"/>
      </w:pPr>
      <w:r>
        <w:rPr>
          <w:rStyle w:val="a7"/>
        </w:rPr>
        <w:footnoteRef/>
      </w:r>
      <w:r>
        <w:t xml:space="preserve"> </w:t>
      </w:r>
      <w:r w:rsidRPr="003007BF">
        <w:t>Лыкова, Л. Н. Налоги и налогообложение: учебник / Л.Н. Лыкова. - Москва: Юрайт, 2015. - 353 с.</w:t>
      </w:r>
    </w:p>
  </w:footnote>
  <w:footnote w:id="2">
    <w:p w:rsidR="00A6506D" w:rsidRDefault="00A6506D">
      <w:pPr>
        <w:pStyle w:val="a5"/>
      </w:pPr>
      <w:r>
        <w:rPr>
          <w:rStyle w:val="a7"/>
        </w:rPr>
        <w:footnoteRef/>
      </w:r>
      <w:r>
        <w:t xml:space="preserve"> О выявлении обстоятельств необоснованной налоговой выгоды [Электронный ресурс]: Письмо ФНС РФ от 23.03.2017 № 547 // Справочная правовая система «КонсультантПлюс». – Режим доступа : http://www.consultant.ru/.</w:t>
      </w:r>
    </w:p>
  </w:footnote>
  <w:footnote w:id="3">
    <w:p w:rsidR="003007BF" w:rsidRDefault="003007BF">
      <w:pPr>
        <w:pStyle w:val="a5"/>
      </w:pPr>
      <w:r>
        <w:rPr>
          <w:rStyle w:val="a7"/>
        </w:rPr>
        <w:footnoteRef/>
      </w:r>
      <w:r>
        <w:t xml:space="preserve"> Журнал главбух [Электронный ресурс] - Режим доступа: http://www.glavbukh.ru/.</w:t>
      </w:r>
    </w:p>
  </w:footnote>
  <w:footnote w:id="4">
    <w:p w:rsidR="003007BF" w:rsidRDefault="003007BF">
      <w:pPr>
        <w:pStyle w:val="a5"/>
      </w:pPr>
      <w:r>
        <w:rPr>
          <w:rStyle w:val="a7"/>
        </w:rPr>
        <w:footnoteRef/>
      </w:r>
      <w:r>
        <w:t xml:space="preserve"> Макаркина, Н. Л. Налоговая нагрузка / Н.Л. Макаркина. – Москва: Юрайт, 2013. - 207 с.</w:t>
      </w:r>
    </w:p>
  </w:footnote>
  <w:footnote w:id="5">
    <w:p w:rsidR="001A489C" w:rsidRDefault="001A489C">
      <w:pPr>
        <w:pStyle w:val="a5"/>
      </w:pPr>
      <w:r>
        <w:rPr>
          <w:rStyle w:val="a7"/>
        </w:rPr>
        <w:footnoteRef/>
      </w:r>
      <w:r>
        <w:t xml:space="preserve"> Чайковский Л.А. Налоги и налогообложение: учебник для СПО / Л. А. Чайковской. - Москва: Юрайт, 2016. - 503 с.</w:t>
      </w:r>
    </w:p>
  </w:footnote>
  <w:footnote w:id="6">
    <w:p w:rsidR="001A489C" w:rsidRDefault="001A489C">
      <w:pPr>
        <w:pStyle w:val="a5"/>
      </w:pPr>
      <w:r>
        <w:rPr>
          <w:rStyle w:val="a7"/>
        </w:rPr>
        <w:footnoteRef/>
      </w:r>
      <w:r>
        <w:t xml:space="preserve"> Редин, Д.В. Возможности оценки и управления рисками уровня и структуры налоговой нагрузки предприятия: учебник / Д.В. Редин.- Москва: Юрайт, 2016. – 120 с.</w:t>
      </w:r>
    </w:p>
  </w:footnote>
  <w:footnote w:id="7">
    <w:p w:rsidR="001A489C" w:rsidRDefault="001A489C">
      <w:pPr>
        <w:pStyle w:val="a5"/>
      </w:pPr>
      <w:r>
        <w:rPr>
          <w:rStyle w:val="a7"/>
        </w:rPr>
        <w:footnoteRef/>
      </w:r>
      <w:r>
        <w:t xml:space="preserve"> Вылкова, Е.С Налоговое планирование: учебное пособие / Е.С. Вылкова. – Москва : Юрайт, 2012. – 97 с.</w:t>
      </w:r>
    </w:p>
  </w:footnote>
  <w:footnote w:id="8">
    <w:p w:rsidR="00A6506D" w:rsidRDefault="00A6506D">
      <w:pPr>
        <w:pStyle w:val="a5"/>
      </w:pPr>
      <w:r>
        <w:rPr>
          <w:rStyle w:val="a7"/>
        </w:rPr>
        <w:footnoteRef/>
      </w:r>
      <w:r>
        <w:t xml:space="preserve"> Бухгалтерский Помощник 2011 - 2017 [Электронный ресурс]. - Режим доступа: http://buhpomoshnik.ru/.</w:t>
      </w:r>
    </w:p>
  </w:footnote>
  <w:footnote w:id="9">
    <w:p w:rsidR="00A6506D" w:rsidRDefault="00A6506D">
      <w:pPr>
        <w:pStyle w:val="a5"/>
      </w:pPr>
      <w:r>
        <w:rPr>
          <w:rStyle w:val="a7"/>
        </w:rPr>
        <w:footnoteRef/>
      </w:r>
      <w:r>
        <w:t xml:space="preserve"> Астраханцева, И.А. Методические указания для практических занятий по дисциплине финансовая политика организации: для бакалавров направления подготовки 380301.04.07 «Финансы и кредит» (финансы организаций) / Сиб. Федер. ун-т, Торг-экон. ин-т.; разраб. к.э.н., доц. И.А. Астраханцева. – Красноярск, 2016. – 127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A6" w:rsidRPr="00260621" w:rsidRDefault="00DC11A6" w:rsidP="00DC11A6">
    <w:pPr>
      <w:pStyle w:val="a8"/>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260621">
      <w:rPr>
        <w:b/>
        <w:color w:val="FF0000"/>
        <w:sz w:val="32"/>
        <w:szCs w:val="32"/>
      </w:rPr>
      <w:t xml:space="preserve">Работа выполнена авторами сайта </w:t>
    </w:r>
    <w:hyperlink r:id="rId1" w:history="1">
      <w:r w:rsidRPr="00260621">
        <w:rPr>
          <w:rStyle w:val="ac"/>
          <w:b/>
          <w:color w:val="FF0000"/>
          <w:sz w:val="32"/>
          <w:szCs w:val="32"/>
        </w:rPr>
        <w:t>ДЦО.РФ</w:t>
      </w:r>
    </w:hyperlink>
  </w:p>
  <w:p w:rsidR="00DC11A6" w:rsidRPr="00260621" w:rsidRDefault="00DC11A6" w:rsidP="00DC11A6">
    <w:pPr>
      <w:pStyle w:val="4"/>
      <w:shd w:val="clear" w:color="auto" w:fill="FFFFFF"/>
      <w:spacing w:before="187" w:after="187"/>
      <w:jc w:val="center"/>
      <w:rPr>
        <w:rFonts w:ascii="Helvetica" w:hAnsi="Helvetica" w:cs="Helvetica"/>
        <w:bCs w:val="0"/>
        <w:color w:val="FF0000"/>
        <w:sz w:val="32"/>
        <w:szCs w:val="32"/>
      </w:rPr>
    </w:pPr>
    <w:r w:rsidRPr="00260621">
      <w:rPr>
        <w:rFonts w:ascii="Helvetica" w:hAnsi="Helvetica" w:cs="Helvetica"/>
        <w:bCs w:val="0"/>
        <w:color w:val="FF0000"/>
        <w:sz w:val="32"/>
        <w:szCs w:val="32"/>
      </w:rPr>
      <w:t xml:space="preserve">Помощь с дистанционным обучением: </w:t>
    </w:r>
  </w:p>
  <w:p w:rsidR="00DC11A6" w:rsidRPr="00260621" w:rsidRDefault="00DC11A6" w:rsidP="00DC11A6">
    <w:pPr>
      <w:pStyle w:val="4"/>
      <w:shd w:val="clear" w:color="auto" w:fill="FFFFFF"/>
      <w:spacing w:before="187" w:after="187"/>
      <w:jc w:val="center"/>
      <w:rPr>
        <w:rFonts w:ascii="Helvetica" w:hAnsi="Helvetica" w:cs="Helvetica"/>
        <w:bCs w:val="0"/>
        <w:color w:val="FF0000"/>
        <w:sz w:val="32"/>
        <w:szCs w:val="32"/>
      </w:rPr>
    </w:pPr>
    <w:r w:rsidRPr="00260621">
      <w:rPr>
        <w:rFonts w:ascii="Helvetica" w:hAnsi="Helvetica" w:cs="Helvetica"/>
        <w:bCs w:val="0"/>
        <w:color w:val="FF0000"/>
        <w:sz w:val="32"/>
        <w:szCs w:val="32"/>
      </w:rPr>
      <w:t>тесты, экзамены, сессия.</w:t>
    </w:r>
  </w:p>
  <w:p w:rsidR="00DC11A6" w:rsidRPr="00260621" w:rsidRDefault="00DC11A6" w:rsidP="00DC11A6">
    <w:pPr>
      <w:pStyle w:val="3"/>
      <w:shd w:val="clear" w:color="auto" w:fill="FFFFFF"/>
      <w:spacing w:before="0"/>
      <w:ind w:right="94"/>
      <w:jc w:val="center"/>
      <w:rPr>
        <w:rFonts w:ascii="Helvetica" w:hAnsi="Helvetica" w:cs="Helvetica"/>
        <w:bCs w:val="0"/>
        <w:color w:val="FF0000"/>
        <w:sz w:val="32"/>
        <w:szCs w:val="32"/>
      </w:rPr>
    </w:pPr>
    <w:r w:rsidRPr="00260621">
      <w:rPr>
        <w:rFonts w:ascii="Helvetica" w:hAnsi="Helvetica" w:cs="Helvetica"/>
        <w:bCs w:val="0"/>
        <w:color w:val="FF0000"/>
        <w:sz w:val="32"/>
        <w:szCs w:val="32"/>
      </w:rPr>
      <w:t>Почта для заявок: </w:t>
    </w:r>
    <w:hyperlink r:id="rId2" w:history="1">
      <w:r w:rsidRPr="00260621">
        <w:rPr>
          <w:rStyle w:val="ac"/>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C11A6" w:rsidRDefault="00DC11A6">
    <w:pPr>
      <w:pStyle w:val="a8"/>
    </w:pPr>
  </w:p>
  <w:p w:rsidR="00DC11A6" w:rsidRDefault="00DC11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798A4666"/>
    <w:lvl w:ilvl="0" w:tplc="1A105C2A">
      <w:start w:val="1"/>
      <w:numFmt w:val="bullet"/>
      <w:lvlText w:val="В"/>
      <w:lvlJc w:val="left"/>
    </w:lvl>
    <w:lvl w:ilvl="1" w:tplc="49EAEF86">
      <w:numFmt w:val="decimal"/>
      <w:lvlText w:val=""/>
      <w:lvlJc w:val="left"/>
    </w:lvl>
    <w:lvl w:ilvl="2" w:tplc="70389CA6">
      <w:numFmt w:val="decimal"/>
      <w:lvlText w:val=""/>
      <w:lvlJc w:val="left"/>
    </w:lvl>
    <w:lvl w:ilvl="3" w:tplc="0A38422C">
      <w:numFmt w:val="decimal"/>
      <w:lvlText w:val=""/>
      <w:lvlJc w:val="left"/>
    </w:lvl>
    <w:lvl w:ilvl="4" w:tplc="02643138">
      <w:numFmt w:val="decimal"/>
      <w:lvlText w:val=""/>
      <w:lvlJc w:val="left"/>
    </w:lvl>
    <w:lvl w:ilvl="5" w:tplc="8152B47E">
      <w:numFmt w:val="decimal"/>
      <w:lvlText w:val=""/>
      <w:lvlJc w:val="left"/>
    </w:lvl>
    <w:lvl w:ilvl="6" w:tplc="E0CC8D72">
      <w:numFmt w:val="decimal"/>
      <w:lvlText w:val=""/>
      <w:lvlJc w:val="left"/>
    </w:lvl>
    <w:lvl w:ilvl="7" w:tplc="E878E66A">
      <w:numFmt w:val="decimal"/>
      <w:lvlText w:val=""/>
      <w:lvlJc w:val="left"/>
    </w:lvl>
    <w:lvl w:ilvl="8" w:tplc="2F66A24C">
      <w:numFmt w:val="decimal"/>
      <w:lvlText w:val=""/>
      <w:lvlJc w:val="left"/>
    </w:lvl>
  </w:abstractNum>
  <w:abstractNum w:abstractNumId="1">
    <w:nsid w:val="00003D6C"/>
    <w:multiLevelType w:val="hybridMultilevel"/>
    <w:tmpl w:val="73F29E14"/>
    <w:lvl w:ilvl="0" w:tplc="F7D2C780">
      <w:start w:val="1"/>
      <w:numFmt w:val="bullet"/>
      <w:lvlText w:val="В"/>
      <w:lvlJc w:val="left"/>
    </w:lvl>
    <w:lvl w:ilvl="1" w:tplc="1E3E7C76">
      <w:numFmt w:val="decimal"/>
      <w:lvlText w:val=""/>
      <w:lvlJc w:val="left"/>
    </w:lvl>
    <w:lvl w:ilvl="2" w:tplc="1D26C44C">
      <w:numFmt w:val="decimal"/>
      <w:lvlText w:val=""/>
      <w:lvlJc w:val="left"/>
    </w:lvl>
    <w:lvl w:ilvl="3" w:tplc="19264AE8">
      <w:numFmt w:val="decimal"/>
      <w:lvlText w:val=""/>
      <w:lvlJc w:val="left"/>
    </w:lvl>
    <w:lvl w:ilvl="4" w:tplc="3468D022">
      <w:numFmt w:val="decimal"/>
      <w:lvlText w:val=""/>
      <w:lvlJc w:val="left"/>
    </w:lvl>
    <w:lvl w:ilvl="5" w:tplc="45DEEBDA">
      <w:numFmt w:val="decimal"/>
      <w:lvlText w:val=""/>
      <w:lvlJc w:val="left"/>
    </w:lvl>
    <w:lvl w:ilvl="6" w:tplc="AF9A3E22">
      <w:numFmt w:val="decimal"/>
      <w:lvlText w:val=""/>
      <w:lvlJc w:val="left"/>
    </w:lvl>
    <w:lvl w:ilvl="7" w:tplc="1B54B484">
      <w:numFmt w:val="decimal"/>
      <w:lvlText w:val=""/>
      <w:lvlJc w:val="left"/>
    </w:lvl>
    <w:lvl w:ilvl="8" w:tplc="E454E85A">
      <w:numFmt w:val="decimal"/>
      <w:lvlText w:val=""/>
      <w:lvlJc w:val="left"/>
    </w:lvl>
  </w:abstractNum>
  <w:abstractNum w:abstractNumId="2">
    <w:nsid w:val="000056AE"/>
    <w:multiLevelType w:val="hybridMultilevel"/>
    <w:tmpl w:val="E9CE2E62"/>
    <w:lvl w:ilvl="0" w:tplc="F1FCE39E">
      <w:start w:val="1"/>
      <w:numFmt w:val="bullet"/>
      <w:lvlText w:val="и"/>
      <w:lvlJc w:val="left"/>
    </w:lvl>
    <w:lvl w:ilvl="1" w:tplc="D77AEC7A">
      <w:start w:val="1"/>
      <w:numFmt w:val="bullet"/>
      <w:lvlText w:val="\emdash "/>
      <w:lvlJc w:val="left"/>
    </w:lvl>
    <w:lvl w:ilvl="2" w:tplc="AD5056C2">
      <w:numFmt w:val="decimal"/>
      <w:lvlText w:val=""/>
      <w:lvlJc w:val="left"/>
    </w:lvl>
    <w:lvl w:ilvl="3" w:tplc="CF4C26C0">
      <w:numFmt w:val="decimal"/>
      <w:lvlText w:val=""/>
      <w:lvlJc w:val="left"/>
    </w:lvl>
    <w:lvl w:ilvl="4" w:tplc="FB8E04D0">
      <w:numFmt w:val="decimal"/>
      <w:lvlText w:val=""/>
      <w:lvlJc w:val="left"/>
    </w:lvl>
    <w:lvl w:ilvl="5" w:tplc="E6C82FE6">
      <w:numFmt w:val="decimal"/>
      <w:lvlText w:val=""/>
      <w:lvlJc w:val="left"/>
    </w:lvl>
    <w:lvl w:ilvl="6" w:tplc="DCCE4BCC">
      <w:numFmt w:val="decimal"/>
      <w:lvlText w:val=""/>
      <w:lvlJc w:val="left"/>
    </w:lvl>
    <w:lvl w:ilvl="7" w:tplc="27425A8A">
      <w:numFmt w:val="decimal"/>
      <w:lvlText w:val=""/>
      <w:lvlJc w:val="left"/>
    </w:lvl>
    <w:lvl w:ilvl="8" w:tplc="EA681D4C">
      <w:numFmt w:val="decimal"/>
      <w:lvlText w:val=""/>
      <w:lvlJc w:val="left"/>
    </w:lvl>
  </w:abstractNum>
  <w:abstractNum w:abstractNumId="3">
    <w:nsid w:val="00006952"/>
    <w:multiLevelType w:val="hybridMultilevel"/>
    <w:tmpl w:val="712AD93A"/>
    <w:lvl w:ilvl="0" w:tplc="45CCFA1A">
      <w:start w:val="1"/>
      <w:numFmt w:val="decimal"/>
      <w:lvlText w:val="%1."/>
      <w:lvlJc w:val="left"/>
    </w:lvl>
    <w:lvl w:ilvl="1" w:tplc="397843E0">
      <w:start w:val="5"/>
      <w:numFmt w:val="decimal"/>
      <w:lvlText w:val="%2."/>
      <w:lvlJc w:val="left"/>
    </w:lvl>
    <w:lvl w:ilvl="2" w:tplc="51D01C4A">
      <w:numFmt w:val="decimal"/>
      <w:lvlText w:val=""/>
      <w:lvlJc w:val="left"/>
    </w:lvl>
    <w:lvl w:ilvl="3" w:tplc="9D86CACA">
      <w:numFmt w:val="decimal"/>
      <w:lvlText w:val=""/>
      <w:lvlJc w:val="left"/>
    </w:lvl>
    <w:lvl w:ilvl="4" w:tplc="438E330C">
      <w:numFmt w:val="decimal"/>
      <w:lvlText w:val=""/>
      <w:lvlJc w:val="left"/>
    </w:lvl>
    <w:lvl w:ilvl="5" w:tplc="D520B64A">
      <w:numFmt w:val="decimal"/>
      <w:lvlText w:val=""/>
      <w:lvlJc w:val="left"/>
    </w:lvl>
    <w:lvl w:ilvl="6" w:tplc="ABAED498">
      <w:numFmt w:val="decimal"/>
      <w:lvlText w:val=""/>
      <w:lvlJc w:val="left"/>
    </w:lvl>
    <w:lvl w:ilvl="7" w:tplc="67B64838">
      <w:numFmt w:val="decimal"/>
      <w:lvlText w:val=""/>
      <w:lvlJc w:val="left"/>
    </w:lvl>
    <w:lvl w:ilvl="8" w:tplc="E1FCFF2C">
      <w:numFmt w:val="decimal"/>
      <w:lvlText w:val=""/>
      <w:lvlJc w:val="left"/>
    </w:lvl>
  </w:abstractNum>
  <w:abstractNum w:abstractNumId="4">
    <w:nsid w:val="000072AE"/>
    <w:multiLevelType w:val="hybridMultilevel"/>
    <w:tmpl w:val="D7488BC4"/>
    <w:lvl w:ilvl="0" w:tplc="59161130">
      <w:start w:val="1"/>
      <w:numFmt w:val="bullet"/>
      <w:lvlText w:val="с"/>
      <w:lvlJc w:val="left"/>
    </w:lvl>
    <w:lvl w:ilvl="1" w:tplc="D90E9310">
      <w:start w:val="1"/>
      <w:numFmt w:val="bullet"/>
      <w:lvlText w:val="В"/>
      <w:lvlJc w:val="left"/>
    </w:lvl>
    <w:lvl w:ilvl="2" w:tplc="5A5860A6">
      <w:numFmt w:val="decimal"/>
      <w:lvlText w:val=""/>
      <w:lvlJc w:val="left"/>
    </w:lvl>
    <w:lvl w:ilvl="3" w:tplc="38E2A56C">
      <w:numFmt w:val="decimal"/>
      <w:lvlText w:val=""/>
      <w:lvlJc w:val="left"/>
    </w:lvl>
    <w:lvl w:ilvl="4" w:tplc="A94C6C8E">
      <w:numFmt w:val="decimal"/>
      <w:lvlText w:val=""/>
      <w:lvlJc w:val="left"/>
    </w:lvl>
    <w:lvl w:ilvl="5" w:tplc="F6DE41A6">
      <w:numFmt w:val="decimal"/>
      <w:lvlText w:val=""/>
      <w:lvlJc w:val="left"/>
    </w:lvl>
    <w:lvl w:ilvl="6" w:tplc="EBB07DCA">
      <w:numFmt w:val="decimal"/>
      <w:lvlText w:val=""/>
      <w:lvlJc w:val="left"/>
    </w:lvl>
    <w:lvl w:ilvl="7" w:tplc="2E9EAC94">
      <w:numFmt w:val="decimal"/>
      <w:lvlText w:val=""/>
      <w:lvlJc w:val="left"/>
    </w:lvl>
    <w:lvl w:ilvl="8" w:tplc="3D02BFEC">
      <w:numFmt w:val="decimal"/>
      <w:lvlText w:val=""/>
      <w:lvlJc w:val="left"/>
    </w:lvl>
  </w:abstractNum>
  <w:abstractNum w:abstractNumId="5">
    <w:nsid w:val="00007FF5"/>
    <w:multiLevelType w:val="hybridMultilevel"/>
    <w:tmpl w:val="5E82334C"/>
    <w:lvl w:ilvl="0" w:tplc="66F06A8E">
      <w:start w:val="1"/>
      <w:numFmt w:val="bullet"/>
      <w:lvlText w:val="С"/>
      <w:lvlJc w:val="left"/>
    </w:lvl>
    <w:lvl w:ilvl="1" w:tplc="5BF2D6F0">
      <w:numFmt w:val="decimal"/>
      <w:lvlText w:val=""/>
      <w:lvlJc w:val="left"/>
    </w:lvl>
    <w:lvl w:ilvl="2" w:tplc="34A617F6">
      <w:numFmt w:val="decimal"/>
      <w:lvlText w:val=""/>
      <w:lvlJc w:val="left"/>
    </w:lvl>
    <w:lvl w:ilvl="3" w:tplc="B9743F38">
      <w:numFmt w:val="decimal"/>
      <w:lvlText w:val=""/>
      <w:lvlJc w:val="left"/>
    </w:lvl>
    <w:lvl w:ilvl="4" w:tplc="A93CD8BA">
      <w:numFmt w:val="decimal"/>
      <w:lvlText w:val=""/>
      <w:lvlJc w:val="left"/>
    </w:lvl>
    <w:lvl w:ilvl="5" w:tplc="F5183B92">
      <w:numFmt w:val="decimal"/>
      <w:lvlText w:val=""/>
      <w:lvlJc w:val="left"/>
    </w:lvl>
    <w:lvl w:ilvl="6" w:tplc="B3488762">
      <w:numFmt w:val="decimal"/>
      <w:lvlText w:val=""/>
      <w:lvlJc w:val="left"/>
    </w:lvl>
    <w:lvl w:ilvl="7" w:tplc="5E6007AA">
      <w:numFmt w:val="decimal"/>
      <w:lvlText w:val=""/>
      <w:lvlJc w:val="left"/>
    </w:lvl>
    <w:lvl w:ilvl="8" w:tplc="70FA8BB8">
      <w:numFmt w:val="decimal"/>
      <w:lvlText w:val=""/>
      <w:lvlJc w:val="left"/>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C5085B"/>
    <w:rsid w:val="000665A0"/>
    <w:rsid w:val="001848B7"/>
    <w:rsid w:val="001A489C"/>
    <w:rsid w:val="00260621"/>
    <w:rsid w:val="003007BF"/>
    <w:rsid w:val="003E4D1A"/>
    <w:rsid w:val="00480A7B"/>
    <w:rsid w:val="00744366"/>
    <w:rsid w:val="007B27CC"/>
    <w:rsid w:val="00951FCA"/>
    <w:rsid w:val="00A6506D"/>
    <w:rsid w:val="00AF4225"/>
    <w:rsid w:val="00B73D7D"/>
    <w:rsid w:val="00C5085B"/>
    <w:rsid w:val="00C512FC"/>
    <w:rsid w:val="00CF28E8"/>
    <w:rsid w:val="00DC11A6"/>
    <w:rsid w:val="00EB72FD"/>
    <w:rsid w:val="00F5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FD"/>
  </w:style>
  <w:style w:type="paragraph" w:styleId="1">
    <w:name w:val="heading 1"/>
    <w:basedOn w:val="a"/>
    <w:link w:val="10"/>
    <w:uiPriority w:val="9"/>
    <w:qFormat/>
    <w:rsid w:val="00CF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C1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1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8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85B"/>
    <w:rPr>
      <w:rFonts w:ascii="Tahoma" w:hAnsi="Tahoma" w:cs="Tahoma"/>
      <w:sz w:val="16"/>
      <w:szCs w:val="16"/>
    </w:rPr>
  </w:style>
  <w:style w:type="character" w:customStyle="1" w:styleId="10">
    <w:name w:val="Заголовок 1 Знак"/>
    <w:basedOn w:val="a0"/>
    <w:link w:val="1"/>
    <w:uiPriority w:val="9"/>
    <w:rsid w:val="00CF28E8"/>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unhideWhenUsed/>
    <w:rsid w:val="003007BF"/>
    <w:pPr>
      <w:spacing w:after="0" w:line="240" w:lineRule="auto"/>
    </w:pPr>
    <w:rPr>
      <w:sz w:val="20"/>
      <w:szCs w:val="20"/>
    </w:rPr>
  </w:style>
  <w:style w:type="character" w:customStyle="1" w:styleId="a6">
    <w:name w:val="Текст сноски Знак"/>
    <w:basedOn w:val="a0"/>
    <w:link w:val="a5"/>
    <w:uiPriority w:val="99"/>
    <w:semiHidden/>
    <w:rsid w:val="003007BF"/>
    <w:rPr>
      <w:sz w:val="20"/>
      <w:szCs w:val="20"/>
    </w:rPr>
  </w:style>
  <w:style w:type="character" w:styleId="a7">
    <w:name w:val="footnote reference"/>
    <w:basedOn w:val="a0"/>
    <w:uiPriority w:val="99"/>
    <w:semiHidden/>
    <w:unhideWhenUsed/>
    <w:rsid w:val="003007BF"/>
    <w:rPr>
      <w:vertAlign w:val="superscript"/>
    </w:rPr>
  </w:style>
  <w:style w:type="paragraph" w:styleId="a8">
    <w:name w:val="header"/>
    <w:basedOn w:val="a"/>
    <w:link w:val="a9"/>
    <w:uiPriority w:val="99"/>
    <w:unhideWhenUsed/>
    <w:rsid w:val="00DC11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A6"/>
  </w:style>
  <w:style w:type="paragraph" w:styleId="aa">
    <w:name w:val="footer"/>
    <w:basedOn w:val="a"/>
    <w:link w:val="ab"/>
    <w:uiPriority w:val="99"/>
    <w:semiHidden/>
    <w:unhideWhenUsed/>
    <w:rsid w:val="00DC11A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11A6"/>
  </w:style>
  <w:style w:type="character" w:customStyle="1" w:styleId="30">
    <w:name w:val="Заголовок 3 Знак"/>
    <w:basedOn w:val="a0"/>
    <w:link w:val="3"/>
    <w:uiPriority w:val="9"/>
    <w:semiHidden/>
    <w:rsid w:val="00DC11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C11A6"/>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DC1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2551309">
      <w:bodyDiv w:val="1"/>
      <w:marLeft w:val="0"/>
      <w:marRight w:val="0"/>
      <w:marTop w:val="0"/>
      <w:marBottom w:val="0"/>
      <w:divBdr>
        <w:top w:val="none" w:sz="0" w:space="0" w:color="auto"/>
        <w:left w:val="none" w:sz="0" w:space="0" w:color="auto"/>
        <w:bottom w:val="none" w:sz="0" w:space="0" w:color="auto"/>
        <w:right w:val="none" w:sz="0" w:space="0" w:color="auto"/>
      </w:divBdr>
    </w:div>
    <w:div w:id="11355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97AC-6093-4B73-96C6-C4BCA091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9</cp:revision>
  <dcterms:created xsi:type="dcterms:W3CDTF">2018-04-18T09:26:00Z</dcterms:created>
  <dcterms:modified xsi:type="dcterms:W3CDTF">2019-09-25T03:47:00Z</dcterms:modified>
</cp:coreProperties>
</file>