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8" w:rsidRPr="00C35928" w:rsidRDefault="00C35928" w:rsidP="00177316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C35928" w:rsidRPr="00C35928" w:rsidRDefault="00C35928" w:rsidP="0017731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Глава 1. Теоретические о</w:t>
      </w:r>
      <w:r w:rsidR="008320F6">
        <w:rPr>
          <w:rFonts w:ascii="Times New Roman" w:eastAsia="Calibri" w:hAnsi="Times New Roman" w:cs="Times New Roman"/>
          <w:sz w:val="28"/>
          <w:szCs w:val="28"/>
        </w:rPr>
        <w:t>сновы антикризисного управления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bCs/>
          <w:sz w:val="28"/>
          <w:szCs w:val="28"/>
        </w:rPr>
        <w:t>Сущность и цели антикризисного управления финансовой организацией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Виды кризиса и методы его недопущения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 xml:space="preserve"> Риски ликвидности и банкротство кредитной организации</w:t>
      </w:r>
    </w:p>
    <w:p w:rsidR="00987B5C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="00C35928" w:rsidRPr="00C35928">
        <w:rPr>
          <w:rFonts w:ascii="Times New Roman" w:eastAsia="Calibri" w:hAnsi="Times New Roman" w:cs="Times New Roman"/>
          <w:sz w:val="28"/>
          <w:szCs w:val="28"/>
        </w:rPr>
        <w:t xml:space="preserve"> Особенности антикризисного управления в кредитной организации</w:t>
      </w:r>
    </w:p>
    <w:p w:rsidR="00C35928" w:rsidRDefault="00C35928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Глава 2. Анализ финансового состояния кредитной организации на примере ПАО </w:t>
      </w:r>
      <w:r w:rsidR="00AF025A">
        <w:rPr>
          <w:rFonts w:ascii="Times New Roman" w:eastAsia="Calibri" w:hAnsi="Times New Roman" w:cs="Times New Roman"/>
          <w:sz w:val="28"/>
          <w:szCs w:val="28"/>
        </w:rPr>
        <w:t>«</w:t>
      </w:r>
      <w:r w:rsidRPr="00730B89">
        <w:rPr>
          <w:rFonts w:ascii="Times New Roman" w:eastAsia="Calibri" w:hAnsi="Times New Roman" w:cs="Times New Roman"/>
          <w:sz w:val="28"/>
          <w:szCs w:val="28"/>
        </w:rPr>
        <w:t>Почта Банк</w:t>
      </w:r>
      <w:r w:rsidR="00AF02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рганизационно экономическая характеристика кредитной организации ПАО </w:t>
      </w:r>
      <w:r w:rsidR="00AF02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0B89">
        <w:rPr>
          <w:rFonts w:ascii="Times New Roman" w:eastAsia="Calibri" w:hAnsi="Times New Roman" w:cs="Times New Roman"/>
          <w:sz w:val="28"/>
          <w:szCs w:val="28"/>
        </w:rPr>
        <w:t>Почта Банк</w:t>
      </w:r>
      <w:r w:rsidR="00AF02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2.2  Анализ фина</w:t>
      </w:r>
      <w:r w:rsidR="00177316">
        <w:rPr>
          <w:rFonts w:ascii="Times New Roman" w:eastAsia="Calibri" w:hAnsi="Times New Roman" w:cs="Times New Roman"/>
          <w:sz w:val="28"/>
          <w:szCs w:val="28"/>
        </w:rPr>
        <w:t xml:space="preserve">нсового состояния банка </w:t>
      </w:r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928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2.3</w:t>
      </w:r>
      <w:r w:rsidR="00177316">
        <w:rPr>
          <w:rFonts w:ascii="Times New Roman" w:eastAsia="Calibri" w:hAnsi="Times New Roman" w:cs="Times New Roman"/>
          <w:sz w:val="28"/>
          <w:szCs w:val="28"/>
        </w:rPr>
        <w:t xml:space="preserve">. Анализ состояния ликвидности </w:t>
      </w: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7316" w:rsidRDefault="00177316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7316" w:rsidRDefault="00177316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22A9" w:rsidRDefault="00177316" w:rsidP="0017731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62386" w:rsidRDefault="00D62386" w:rsidP="00D62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2A9" w:rsidRPr="009A22A9" w:rsidRDefault="009A22A9" w:rsidP="00D623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A9">
        <w:rPr>
          <w:rFonts w:ascii="Times New Roman" w:eastAsia="Calibri" w:hAnsi="Times New Roman" w:cs="Times New Roman"/>
          <w:sz w:val="28"/>
          <w:szCs w:val="28"/>
        </w:rPr>
        <w:t>Характерной особенностью для современного периода развития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экономики является нестабильность, повышенная динамичность и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изменчивость экономической среды. В данных условиях большинство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предприятий все успехи в основном связывают с собственной деятельностью, а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неудачи – с действием внешних факторов. Такой подход создает определенные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препятствия при разработке эффективной антикризисной стратегии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предприятия. Поскольку данная позиция руководства предприятия не позволяет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своевременно распознавать кризисные явления, отслеживать их ход на разных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стадиях формирования и развития кризиса и влиять на причины возникновения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таких явлений, разрабатывать механизмы мониторинга рисков деятельности,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овладевать методами управле</w:t>
      </w:r>
      <w:r w:rsidR="00D62386">
        <w:rPr>
          <w:rFonts w:ascii="Times New Roman" w:eastAsia="Calibri" w:hAnsi="Times New Roman" w:cs="Times New Roman"/>
          <w:sz w:val="28"/>
          <w:szCs w:val="28"/>
        </w:rPr>
        <w:t>ния кризисом и выхода из нее</w:t>
      </w:r>
      <w:r w:rsidRPr="009A22A9">
        <w:rPr>
          <w:rFonts w:ascii="Times New Roman" w:eastAsia="Calibri" w:hAnsi="Times New Roman" w:cs="Times New Roman"/>
          <w:sz w:val="28"/>
          <w:szCs w:val="28"/>
        </w:rPr>
        <w:t>. В данном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случае способность предприятия правильно генерировать спектр необходимых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стратегических изменений на всех этапах своего развития - гарантия не только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выживания, но и дальнейшего его успешного функционирования и развития.</w:t>
      </w:r>
    </w:p>
    <w:p w:rsidR="009A22A9" w:rsidRPr="009A22A9" w:rsidRDefault="009A22A9" w:rsidP="00D623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A9">
        <w:rPr>
          <w:rFonts w:ascii="Times New Roman" w:eastAsia="Calibri" w:hAnsi="Times New Roman" w:cs="Times New Roman"/>
          <w:sz w:val="28"/>
          <w:szCs w:val="28"/>
        </w:rPr>
        <w:t>Это актуализирует вопросы ранней диагностики кризисных явлений с целью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предварительной профилактики и терапии кризиса. Поскольку любая кризисная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ситуация имеет определенные предпосылки возникновения и развития на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предприятии.</w:t>
      </w:r>
    </w:p>
    <w:p w:rsidR="009A22A9" w:rsidRPr="00786EEF" w:rsidRDefault="00814E0C" w:rsidP="003C76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 </w:t>
      </w:r>
      <w:r w:rsidR="003C767F" w:rsidRPr="00786EEF">
        <w:rPr>
          <w:rFonts w:ascii="Times New Roman" w:eastAsia="Calibri" w:hAnsi="Times New Roman" w:cs="Times New Roman"/>
          <w:sz w:val="28"/>
          <w:szCs w:val="28"/>
        </w:rPr>
        <w:t>исследование механизма антикризисного управления финансовой организацией и пути его совершенствования на примере ПАО «Почта Банк».</w:t>
      </w:r>
    </w:p>
    <w:p w:rsidR="003C767F" w:rsidRPr="00786EEF" w:rsidRDefault="003C767F" w:rsidP="003C76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>Исходя из поставленной цели в рамках данного исследования, предлагается решение следующих задач: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>- изучение сущности и определение целей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EEF">
        <w:rPr>
          <w:rFonts w:ascii="Times New Roman" w:hAnsi="Times New Roman" w:cs="Times New Roman"/>
          <w:sz w:val="28"/>
        </w:rPr>
        <w:t>антикризисного управления финансовой организацией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видов кризиса и методов </w:t>
      </w:r>
      <w:r w:rsidRPr="00786EEF">
        <w:rPr>
          <w:rFonts w:ascii="Times New Roman" w:hAnsi="Times New Roman" w:cs="Times New Roman"/>
          <w:sz w:val="28"/>
        </w:rPr>
        <w:t>его недопущения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рисков </w:t>
      </w:r>
      <w:r w:rsidRPr="00786EEF">
        <w:rPr>
          <w:rFonts w:ascii="Times New Roman" w:hAnsi="Times New Roman" w:cs="Times New Roman"/>
          <w:sz w:val="28"/>
        </w:rPr>
        <w:t>ликвидности и банкротств</w:t>
      </w:r>
      <w:r>
        <w:rPr>
          <w:rFonts w:ascii="Times New Roman" w:hAnsi="Times New Roman" w:cs="Times New Roman"/>
          <w:sz w:val="28"/>
        </w:rPr>
        <w:t>а</w:t>
      </w:r>
      <w:r w:rsidRPr="00786EEF">
        <w:rPr>
          <w:rFonts w:ascii="Times New Roman" w:hAnsi="Times New Roman" w:cs="Times New Roman"/>
          <w:sz w:val="28"/>
        </w:rPr>
        <w:t xml:space="preserve"> кредитной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выявление особенностей </w:t>
      </w:r>
      <w:r w:rsidRPr="00786EEF">
        <w:rPr>
          <w:rFonts w:ascii="Times New Roman" w:hAnsi="Times New Roman" w:cs="Times New Roman"/>
          <w:sz w:val="28"/>
        </w:rPr>
        <w:t>антикризисного управления в кредитной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86EEF">
        <w:t xml:space="preserve"> </w:t>
      </w:r>
      <w:r>
        <w:t xml:space="preserve"> </w:t>
      </w:r>
      <w:r w:rsidRPr="00786EEF">
        <w:rPr>
          <w:rFonts w:ascii="Times New Roman" w:hAnsi="Times New Roman" w:cs="Times New Roman"/>
          <w:sz w:val="28"/>
        </w:rPr>
        <w:t>анализ финансового состояния банка  ПАО «Почта Банк»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786EEF">
        <w:rPr>
          <w:rFonts w:ascii="Times New Roman" w:hAnsi="Times New Roman" w:cs="Times New Roman"/>
          <w:sz w:val="28"/>
        </w:rPr>
        <w:t>нализ состояния ликвидности</w:t>
      </w:r>
      <w:r w:rsidRPr="00786EEF">
        <w:t xml:space="preserve"> </w:t>
      </w:r>
      <w:r>
        <w:t xml:space="preserve"> </w:t>
      </w:r>
      <w:r w:rsidRPr="00786EEF">
        <w:rPr>
          <w:rFonts w:ascii="Times New Roman" w:hAnsi="Times New Roman" w:cs="Times New Roman"/>
          <w:sz w:val="28"/>
        </w:rPr>
        <w:t>ПАО «Почта Банк»;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разработка рекомендаций по улучшению </w:t>
      </w:r>
      <w:r w:rsidRPr="00786EEF">
        <w:rPr>
          <w:rFonts w:ascii="Times New Roman" w:hAnsi="Times New Roman" w:cs="Times New Roman"/>
          <w:sz w:val="28"/>
        </w:rPr>
        <w:t>финансового состояния кредитной организации на примере ПАО «Почта Банк»</w:t>
      </w:r>
      <w:r>
        <w:rPr>
          <w:rFonts w:ascii="Times New Roman" w:hAnsi="Times New Roman" w:cs="Times New Roman"/>
          <w:sz w:val="28"/>
        </w:rPr>
        <w:t>.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r w:rsidR="00566906" w:rsidRPr="00566906">
        <w:rPr>
          <w:rFonts w:ascii="Times New Roman" w:hAnsi="Times New Roman" w:cs="Times New Roman"/>
          <w:sz w:val="28"/>
        </w:rPr>
        <w:t>ПАО «Почта Банк»</w:t>
      </w:r>
      <w:r w:rsidR="00566906">
        <w:rPr>
          <w:rFonts w:ascii="Times New Roman" w:hAnsi="Times New Roman" w:cs="Times New Roman"/>
          <w:sz w:val="28"/>
        </w:rPr>
        <w:t>.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 работе является система антикризисного </w:t>
      </w:r>
      <w:r w:rsidR="00566906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>.</w:t>
      </w:r>
    </w:p>
    <w:p w:rsidR="003D6E82" w:rsidRDefault="00814E0C" w:rsidP="00DE5A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</w:t>
      </w:r>
      <w:r w:rsidR="00DE5AE4">
        <w:rPr>
          <w:rFonts w:ascii="Times New Roman" w:eastAsia="Calibri" w:hAnsi="Times New Roman" w:cs="Times New Roman"/>
          <w:sz w:val="28"/>
          <w:szCs w:val="28"/>
        </w:rPr>
        <w:t>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антикризисного </w:t>
      </w:r>
      <w:r w:rsidR="00DE5AE4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DE5AE4">
        <w:rPr>
          <w:rFonts w:ascii="Times New Roman" w:eastAsia="Calibri" w:hAnsi="Times New Roman" w:cs="Times New Roman"/>
          <w:sz w:val="28"/>
          <w:szCs w:val="28"/>
        </w:rPr>
        <w:t>Амосова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>Баринов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а В.А.,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Водолажской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Е.Л.,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Жарковской</w:t>
      </w:r>
      <w:proofErr w:type="spellEnd"/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Е.П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., Бродского Б.Е., Бродского И.Б., Ивасенко А.Г., Качалова М.И., Короткова Э.М.,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Крассова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О. И., Крюкова А.Ф., Егорычева И.Г., Мартынова А. С., Морозовой Т.Ю., </w:t>
      </w:r>
      <w:proofErr w:type="spellStart"/>
      <w:r w:rsidR="00DE5AE4" w:rsidRPr="000313AD">
        <w:rPr>
          <w:rFonts w:ascii="Times New Roman" w:eastAsia="Calibri" w:hAnsi="Times New Roman" w:cs="Times New Roman"/>
          <w:sz w:val="28"/>
          <w:szCs w:val="28"/>
        </w:rPr>
        <w:t>Муртазин</w:t>
      </w:r>
      <w:r w:rsidR="00DE5AE4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А.И., Егоров</w:t>
      </w:r>
      <w:r w:rsidR="00DE5AE4">
        <w:rPr>
          <w:rFonts w:ascii="Times New Roman" w:eastAsia="Calibri" w:hAnsi="Times New Roman" w:cs="Times New Roman"/>
          <w:sz w:val="28"/>
          <w:szCs w:val="28"/>
        </w:rPr>
        <w:t>а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В.А.,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А.И.,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Хановой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Л.Р., Егорова В.А., </w:t>
      </w:r>
      <w:r w:rsidR="00DE5AE4" w:rsidRPr="00FC5F9A">
        <w:rPr>
          <w:rFonts w:ascii="Times New Roman" w:eastAsia="Calibri" w:hAnsi="Times New Roman" w:cs="Times New Roman"/>
          <w:sz w:val="28"/>
          <w:szCs w:val="28"/>
        </w:rPr>
        <w:t>Черненко В.А.</w:t>
      </w:r>
      <w:proofErr w:type="gramEnd"/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Шведов</w:t>
      </w:r>
      <w:r w:rsidR="00DE5AE4">
        <w:rPr>
          <w:rFonts w:ascii="Times New Roman" w:eastAsia="Calibri" w:hAnsi="Times New Roman" w:cs="Times New Roman"/>
          <w:sz w:val="28"/>
          <w:szCs w:val="28"/>
        </w:rPr>
        <w:t>ой</w:t>
      </w:r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Н.Ю. 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</w:p>
    <w:p w:rsidR="00814E0C" w:rsidRPr="0007726F" w:rsidRDefault="00647DD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Теоретическую и методологическую основу</w:t>
      </w:r>
      <w:r w:rsidR="00814E0C" w:rsidRPr="0007726F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="00814E0C" w:rsidRPr="0007726F">
        <w:rPr>
          <w:rFonts w:ascii="Times New Roman" w:eastAsia="Calibri" w:hAnsi="Times New Roman" w:cs="Times New Roman"/>
          <w:sz w:val="28"/>
          <w:szCs w:val="28"/>
        </w:rPr>
        <w:t xml:space="preserve"> труды ведущих отечественных и зарубежных специалистов, раскрывающие основы </w:t>
      </w:r>
      <w:r w:rsidR="00814E0C">
        <w:rPr>
          <w:rFonts w:ascii="Times New Roman" w:eastAsia="Calibri" w:hAnsi="Times New Roman" w:cs="Times New Roman"/>
          <w:sz w:val="28"/>
          <w:szCs w:val="28"/>
        </w:rPr>
        <w:t xml:space="preserve">антикризисного </w:t>
      </w:r>
      <w:r w:rsidR="00DD1A4E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14E0C">
        <w:rPr>
          <w:rFonts w:ascii="Times New Roman" w:eastAsia="Calibri" w:hAnsi="Times New Roman" w:cs="Times New Roman"/>
          <w:sz w:val="28"/>
          <w:szCs w:val="28"/>
        </w:rPr>
        <w:t xml:space="preserve">, его направления </w:t>
      </w:r>
      <w:r w:rsidR="00814E0C" w:rsidRPr="0007726F">
        <w:rPr>
          <w:rFonts w:ascii="Times New Roman" w:eastAsia="Calibri" w:hAnsi="Times New Roman" w:cs="Times New Roman"/>
          <w:sz w:val="28"/>
          <w:szCs w:val="28"/>
        </w:rPr>
        <w:t>в современных экономических условиях.</w:t>
      </w:r>
    </w:p>
    <w:p w:rsidR="00814E0C" w:rsidRPr="0007726F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Научная новизна полученных результатов заключается в комплексном исследовании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теоретических и методологических аспектов 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системы антикризисного </w:t>
      </w:r>
      <w:r w:rsidR="007C642C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1C6A">
        <w:rPr>
          <w:rFonts w:ascii="Times New Roman" w:eastAsia="Calibri" w:hAnsi="Times New Roman" w:cs="Times New Roman"/>
          <w:sz w:val="28"/>
          <w:szCs w:val="28"/>
        </w:rPr>
        <w:t>определении о</w:t>
      </w:r>
      <w:r w:rsidR="001D1C6A" w:rsidRPr="001D1C6A">
        <w:rPr>
          <w:rFonts w:ascii="Times New Roman" w:eastAsia="Calibri" w:hAnsi="Times New Roman" w:cs="Times New Roman"/>
          <w:sz w:val="28"/>
          <w:szCs w:val="28"/>
        </w:rPr>
        <w:t>собенност</w:t>
      </w:r>
      <w:r w:rsidR="001D1C6A">
        <w:rPr>
          <w:rFonts w:ascii="Times New Roman" w:eastAsia="Calibri" w:hAnsi="Times New Roman" w:cs="Times New Roman"/>
          <w:sz w:val="28"/>
          <w:szCs w:val="28"/>
        </w:rPr>
        <w:t>ей</w:t>
      </w:r>
      <w:r w:rsidR="001D1C6A" w:rsidRPr="001D1C6A">
        <w:rPr>
          <w:rFonts w:ascii="Times New Roman" w:eastAsia="Calibri" w:hAnsi="Times New Roman" w:cs="Times New Roman"/>
          <w:sz w:val="28"/>
          <w:szCs w:val="28"/>
        </w:rPr>
        <w:t xml:space="preserve"> антикризисного управления в кредитной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данного исследования состоит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7726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зработке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рекомендаций по </w:t>
      </w:r>
      <w:r w:rsidR="00810400">
        <w:rPr>
          <w:rFonts w:ascii="Times New Roman" w:eastAsia="Calibri" w:hAnsi="Times New Roman" w:cs="Times New Roman"/>
          <w:sz w:val="28"/>
          <w:szCs w:val="28"/>
        </w:rPr>
        <w:t>применению методов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антикризисного </w:t>
      </w:r>
      <w:r w:rsidR="00810400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на примере </w:t>
      </w:r>
      <w:r w:rsidR="00810400">
        <w:rPr>
          <w:rFonts w:ascii="Times New Roman" w:eastAsia="Calibri" w:hAnsi="Times New Roman" w:cs="Times New Roman"/>
          <w:sz w:val="28"/>
          <w:szCs w:val="28"/>
        </w:rPr>
        <w:t>ПАО «Почта Банк»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197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списка использованных источников. </w:t>
      </w:r>
    </w:p>
    <w:p w:rsidR="00814E0C" w:rsidRPr="00CD4CED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Первая глава посвящена те</w:t>
      </w:r>
      <w:r w:rsidR="008320F6">
        <w:rPr>
          <w:rFonts w:ascii="Times New Roman" w:eastAsia="Calibri" w:hAnsi="Times New Roman" w:cs="Times New Roman"/>
          <w:sz w:val="28"/>
          <w:szCs w:val="28"/>
        </w:rPr>
        <w:t>оретическим и методологическим основам</w:t>
      </w:r>
      <w:r w:rsidR="008320F6" w:rsidRPr="008320F6">
        <w:rPr>
          <w:rFonts w:ascii="Times New Roman" w:eastAsia="Calibri" w:hAnsi="Times New Roman" w:cs="Times New Roman"/>
          <w:sz w:val="28"/>
          <w:szCs w:val="28"/>
        </w:rPr>
        <w:t xml:space="preserve"> антикризисного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на </w:t>
      </w:r>
      <w:r w:rsidR="008320F6">
        <w:rPr>
          <w:rFonts w:ascii="Times New Roman" w:eastAsia="Calibri" w:hAnsi="Times New Roman" w:cs="Times New Roman"/>
          <w:sz w:val="28"/>
          <w:szCs w:val="28"/>
        </w:rPr>
        <w:t>а</w:t>
      </w:r>
      <w:r w:rsidR="008320F6" w:rsidRPr="008320F6">
        <w:rPr>
          <w:rFonts w:ascii="Times New Roman" w:eastAsia="Calibri" w:hAnsi="Times New Roman" w:cs="Times New Roman"/>
          <w:sz w:val="28"/>
          <w:szCs w:val="28"/>
        </w:rPr>
        <w:t>нализ финансового состояния кредитной организации на примере ПАО «Почта Банк»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третьей главе разработаны рекомендации по формированию системы </w:t>
      </w:r>
      <w:r w:rsidRPr="00CD4CED">
        <w:rPr>
          <w:rFonts w:ascii="Times New Roman" w:hAnsi="Times New Roman" w:cs="Times New Roman"/>
          <w:sz w:val="28"/>
        </w:rPr>
        <w:t xml:space="preserve">антикризисного </w:t>
      </w:r>
      <w:r w:rsidR="008320F6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с обоснованием их экономической эффективности. </w:t>
      </w: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197" w:rsidRDefault="0082419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197" w:rsidRDefault="0082419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197" w:rsidRDefault="0082419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197" w:rsidRDefault="0082419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C35928" w:rsidRDefault="00C35928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9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1. Теоретические основы антикризисного управления.</w:t>
      </w:r>
    </w:p>
    <w:p w:rsidR="00C35928" w:rsidRPr="00C35928" w:rsidRDefault="00C35928" w:rsidP="00C3592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928">
        <w:rPr>
          <w:rFonts w:ascii="Times New Roman" w:eastAsia="Calibri" w:hAnsi="Times New Roman" w:cs="Times New Roman"/>
          <w:b/>
          <w:sz w:val="28"/>
          <w:szCs w:val="28"/>
        </w:rPr>
        <w:t>Сущность и цели антикризисного управления финансовой организацией</w:t>
      </w:r>
    </w:p>
    <w:p w:rsidR="00C35928" w:rsidRDefault="00C35928" w:rsidP="00D570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 кризисными явлениями рано или поздно сталкивается каждая организация. Каждая организация, словно биологический организм, растет, развивается, и подверга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за период своего существования множеству опасностей. Таким образом, на каждом предприя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тии необходимо внедрения одного из инновационных видов управления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антикризисным управлением.</w:t>
      </w:r>
    </w:p>
    <w:p w:rsidR="00FB40D3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Антикризисное управление - это процесс реализации форм, методов и процедур, которые направлены на социально-экономическое выздоровление финансово-хозяйственной функции </w:t>
      </w:r>
      <w:r w:rsidR="005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хозяйствующего субъекта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отрасли</w:t>
      </w:r>
      <w:r w:rsidR="005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соз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и развитие условий для </w:t>
      </w:r>
      <w:r w:rsidR="005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зисного </w:t>
      </w:r>
      <w:r w:rsidR="005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Причинным моментом всех кризисов выступает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оно неадекватное, непрофессиональное, злоупотребление или откровенные мошеннические действия в результате коррупции или </w:t>
      </w:r>
      <w:proofErr w:type="spell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рейдерства</w:t>
      </w:r>
      <w:proofErr w:type="spell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манипуляций, действий по сговору, кража, действия, направ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на преследование целей за пределами задач проекта такого как государство, министерства, корпорация, фирма, учреждение.</w:t>
      </w:r>
    </w:p>
    <w:p w:rsidR="00321DED" w:rsidRPr="00321DED" w:rsidRDefault="00321DED" w:rsidP="00321DE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появлению кризисной ситуации на уровне хозяйствующих субъектов приводят следующие факторы:</w:t>
      </w:r>
    </w:p>
    <w:p w:rsidR="00321DED" w:rsidRPr="00C76A98" w:rsidRDefault="00321DED" w:rsidP="00C76A98">
      <w:pPr>
        <w:numPr>
          <w:ilvl w:val="0"/>
          <w:numId w:val="3"/>
        </w:numPr>
        <w:tabs>
          <w:tab w:val="left" w:pos="807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факторы </w:t>
      </w:r>
      <w:r w:rsidR="00C76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проводимой денежно-кредитной и налоговой политики, несбалансированная </w:t>
      </w:r>
      <w:r w:rsidRPr="00C7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доходов и расходов граждан, нестабильное функционирование базо</w:t>
      </w:r>
      <w:r w:rsidRPr="00C76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политико-правовых институтов, отставание в научно-техническом прогрессе, конкуренция;</w:t>
      </w:r>
    </w:p>
    <w:p w:rsidR="00321DED" w:rsidRPr="00321DED" w:rsidRDefault="00321DED" w:rsidP="00321DED">
      <w:pPr>
        <w:numPr>
          <w:ilvl w:val="0"/>
          <w:numId w:val="3"/>
        </w:numPr>
        <w:tabs>
          <w:tab w:val="left" w:pos="844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Внутренние факторы - ошибочные действия в производственной, финансовой, маркетинговой стратегии, нерациональное освоение ресурсов, низкопрофильный менеджмент, отрицательный уро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организационной и корпоративной культуры;</w:t>
      </w:r>
    </w:p>
    <w:p w:rsidR="00321DED" w:rsidRPr="00321DED" w:rsidRDefault="00321DED" w:rsidP="00321DED">
      <w:pPr>
        <w:numPr>
          <w:ilvl w:val="0"/>
          <w:numId w:val="3"/>
        </w:numPr>
        <w:tabs>
          <w:tab w:val="left" w:pos="844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факторы - несоответствие </w:t>
      </w:r>
      <w:r w:rsidR="004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реальной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r w:rsidR="004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применяемой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8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управлении объектом как результат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факторов, </w:t>
      </w:r>
      <w:r w:rsidR="009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маркетинговой стратегии контрагентов или конкурентов либо управление подсистемами объекта, направленного на преследование задач за пределами целей проекта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Превалирующими направлениями антикризисного управления на уровне хозяйствующего субъ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 считается постоянный мониторинг финансово-экономического уровня предприятия; создание про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токолов, гарантирующих целостность информационных каналов на предприятии; создание новых управленческой, денежной и маркетинговой стратегий; сокращение постоянных и переменных издер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жек; возрастание производительности труда; привлечение финансов учредителей; укрепление мотива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персонала. 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Особенная роль принадлежит применению и улучшению инструментария антикризисного управ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разрешающего совокупность специальных вопросов, устремленных на ликвидацию негативных последствий кризисных явлений, совершенствованию рыночных позиций с учетом потенциала соб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ственных ресурсов. Опыт разных стран обнаруживает, что инструментами такого управления служат инвестиции и инновации. 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мерам </w:t>
      </w:r>
      <w:r w:rsidR="009F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9F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федерально</w:t>
      </w:r>
      <w:r w:rsidR="009F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9F4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отнести  корректировку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финансово-экономической, социальной, научно-технической, инвестиционной, внешнеэкономической политики, выявление и экстраполяция внутренних и внешних угроз экономической стабильности, разработка набора оперативных и стратегических мероприятий по решению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негативных факторов, усиление кон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троля, правопорядка, реализация законодательства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09E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осознавать, что превалирующую роль в реализации мероприятий, направленных на пре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одоление негативного положения, играет антикризисная стратегия управления. Она становится долго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срочным курсом развития компании, способствующим смягчению кризисной обстановки, в которой она рискует оказаться, и направлено на денежно-кредитное благополучие. Антикризисную стратегию можно назвать программной документацией, где указано о конечных и промежуточных задач, ресурсах и спосо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их вовлечения (персонале, фондах), технологиях решения вопросов по выводу компании из кризис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ситуации (структуре фирмы, формулах по</w:t>
      </w:r>
      <w:r w:rsidR="00D5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сотрудников и т. д.)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D5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антикри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зисной стратегии оказывают влияние следующие факторы: причины наступившей или наступающей 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зисной ситуации; тонкости законодательства РФ, регламентирующего задачи по банкротству компаний; факторы внешней и внутренней среды, влияющие на состояние и деятельность организации.</w:t>
      </w:r>
    </w:p>
    <w:p w:rsidR="00321DED" w:rsidRPr="00321DED" w:rsidRDefault="00321DED" w:rsidP="00321DE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 же такое определение как система антикризисного управления. Это цели, прин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ципы, функции, критерии, организационно-правовые, финансово-экономические и методические сред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то есть составные части, связанные между собой. Система возводится с начального пункта - определения и структуризации задач. Основная задача созидания и функционирования системы анти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кризисного управления -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апгрейд компании в соответствии с рыночными реалиями. Дан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задачу можно представить в виде последовательности с задачами, расположенными в определен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алгоритме. Реализация главной цели происходит через главные задачи, объединенные в систему. Это: предотвращение банкротства организации и последующих событий данного процесса в социаль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аспекте; организация </w:t>
      </w:r>
      <w:proofErr w:type="spell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санационных</w:t>
      </w:r>
      <w:proofErr w:type="spell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 ликвидация юридического лица, у которого нет перспектив и реальных инструментов восстановления платежеспособности.  </w:t>
      </w:r>
    </w:p>
    <w:p w:rsidR="0046424B" w:rsidRPr="00321DED" w:rsidRDefault="00321DED" w:rsidP="00321DE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антикризис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урегулирование - составная часть управления субъектом,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функциональных и обес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печивающих элементов. В функциональной части присутствуют аспекты, связанные с управлением кризисом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составляющая является комплексной основой методов экономического и организа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характера, обеспечивающих преодоление препятствий по определению финансового состоя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компании, контролю, своевременному утверждению и предотвращению кризисных ситуаций, выхо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из экономических трудностей и восстановлению платежеспособности компании. Можно с уверенно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стью утверждать, что, система антикризисного управления включает в себя комплекс подсистем.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находится в соответствии с определенной подсистемой управления нормально функ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ционирующего субъекта.</w:t>
      </w:r>
    </w:p>
    <w:p w:rsidR="00321DED" w:rsidRDefault="00321DED" w:rsidP="00321DED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DED" w:rsidRDefault="00321DED" w:rsidP="0046424B">
      <w:pPr>
        <w:pStyle w:val="a3"/>
        <w:ind w:left="1065"/>
        <w:rPr>
          <w:rFonts w:ascii="Times New Roman" w:eastAsia="Calibri" w:hAnsi="Times New Roman" w:cs="Times New Roman"/>
          <w:sz w:val="28"/>
          <w:szCs w:val="28"/>
        </w:rPr>
      </w:pPr>
    </w:p>
    <w:p w:rsidR="00321DED" w:rsidRPr="00BC2668" w:rsidRDefault="00321DED" w:rsidP="0046424B">
      <w:pPr>
        <w:pStyle w:val="a3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BC2668" w:rsidRDefault="00C3592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C2668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C2668">
        <w:rPr>
          <w:rFonts w:ascii="Times New Roman" w:eastAsia="Calibri" w:hAnsi="Times New Roman" w:cs="Times New Roman"/>
          <w:b/>
          <w:sz w:val="28"/>
          <w:szCs w:val="28"/>
        </w:rPr>
        <w:tab/>
        <w:t>Виды кризиса и методы его недопущения</w:t>
      </w:r>
    </w:p>
    <w:p w:rsidR="00585196" w:rsidRDefault="00585196" w:rsidP="00521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4FD">
        <w:rPr>
          <w:rFonts w:ascii="Times New Roman" w:hAnsi="Times New Roman" w:cs="Times New Roman"/>
          <w:sz w:val="28"/>
          <w:szCs w:val="28"/>
        </w:rPr>
        <w:t>од финансовым кризисом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следует</w:t>
      </w:r>
      <w:r w:rsidRPr="00CD04FD">
        <w:rPr>
          <w:rFonts w:ascii="Times New Roman" w:hAnsi="Times New Roman" w:cs="Times New Roman"/>
          <w:sz w:val="28"/>
          <w:szCs w:val="28"/>
        </w:rPr>
        <w:t xml:space="preserve"> понимать фазу разбалансировки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деятельности предприятия. Поэтому </w:t>
      </w:r>
      <w:r>
        <w:rPr>
          <w:rFonts w:ascii="Times New Roman" w:hAnsi="Times New Roman" w:cs="Times New Roman"/>
          <w:sz w:val="28"/>
          <w:szCs w:val="28"/>
        </w:rPr>
        <w:t xml:space="preserve">кризисное состояние предприятия </w:t>
      </w:r>
      <w:r w:rsidRPr="00CD04FD">
        <w:rPr>
          <w:rFonts w:ascii="Times New Roman" w:hAnsi="Times New Roman" w:cs="Times New Roman"/>
          <w:sz w:val="28"/>
          <w:szCs w:val="28"/>
        </w:rPr>
        <w:t>заключается в неспособности осущ</w:t>
      </w:r>
      <w:r>
        <w:rPr>
          <w:rFonts w:ascii="Times New Roman" w:hAnsi="Times New Roman" w:cs="Times New Roman"/>
          <w:sz w:val="28"/>
          <w:szCs w:val="28"/>
        </w:rPr>
        <w:t xml:space="preserve">ествлять финансирование текущей </w:t>
      </w:r>
      <w:r w:rsidRPr="00CD04FD">
        <w:rPr>
          <w:rFonts w:ascii="Times New Roman" w:hAnsi="Times New Roman" w:cs="Times New Roman"/>
          <w:sz w:val="28"/>
          <w:szCs w:val="28"/>
        </w:rPr>
        <w:t>производственно - хозяйственной деятельности. На практике, как п</w:t>
      </w:r>
      <w:r>
        <w:rPr>
          <w:rFonts w:ascii="Times New Roman" w:hAnsi="Times New Roman" w:cs="Times New Roman"/>
          <w:sz w:val="28"/>
          <w:szCs w:val="28"/>
        </w:rPr>
        <w:t xml:space="preserve">равило, </w:t>
      </w:r>
      <w:r w:rsidRPr="00CD04FD">
        <w:rPr>
          <w:rFonts w:ascii="Times New Roman" w:hAnsi="Times New Roman" w:cs="Times New Roman"/>
          <w:sz w:val="28"/>
          <w:szCs w:val="28"/>
        </w:rPr>
        <w:t>финансовый кризис идентифицируется</w:t>
      </w:r>
      <w:r>
        <w:rPr>
          <w:rFonts w:ascii="Times New Roman" w:hAnsi="Times New Roman" w:cs="Times New Roman"/>
          <w:sz w:val="28"/>
          <w:szCs w:val="28"/>
        </w:rPr>
        <w:t xml:space="preserve"> угрозой неплатежеспособности и </w:t>
      </w:r>
      <w:r w:rsidRPr="00CD04FD">
        <w:rPr>
          <w:rFonts w:ascii="Times New Roman" w:hAnsi="Times New Roman" w:cs="Times New Roman"/>
          <w:sz w:val="28"/>
          <w:szCs w:val="28"/>
        </w:rPr>
        <w:t>банкротства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lastRenderedPageBreak/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D04FD">
        <w:rPr>
          <w:rFonts w:ascii="Times New Roman" w:hAnsi="Times New Roman" w:cs="Times New Roman"/>
          <w:sz w:val="28"/>
          <w:szCs w:val="28"/>
        </w:rPr>
        <w:t xml:space="preserve"> виды кризиса:</w:t>
      </w:r>
    </w:p>
    <w:p w:rsidR="0063404F" w:rsidRDefault="00D51DD6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стратегический кризис – период, когда  на предприятии отсутствует производственный потенциал и для реализации дальнейшего функционирования требуются долгосрочные факторы развития;</w:t>
      </w:r>
    </w:p>
    <w:p w:rsidR="00D51DD6" w:rsidRDefault="00D51DD6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кризис прибыльности – условия, когда </w:t>
      </w:r>
      <w:r w:rsidR="001506FF">
        <w:rPr>
          <w:rFonts w:ascii="Times New Roman" w:hAnsi="Times New Roman" w:cs="Times New Roman"/>
          <w:sz w:val="28"/>
          <w:szCs w:val="28"/>
        </w:rPr>
        <w:t>постоянные убытки уменьшают собственный капитал, что приводит к неудовлетворительной структуре баланса и отсутствию собственных средств финансирования;</w:t>
      </w:r>
    </w:p>
    <w:p w:rsidR="001506FF" w:rsidRPr="00CD04FD" w:rsidRDefault="001506F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кризис ликвидности – условия, при которых предприятие не в состоянии своевременно оплатить совершаемые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образуется реальная угроза утраты финансовой состоятельности. </w:t>
      </w:r>
    </w:p>
    <w:p w:rsidR="005D47EF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С целью предупреждения кризи</w:t>
      </w:r>
      <w:r>
        <w:rPr>
          <w:rFonts w:ascii="Times New Roman" w:hAnsi="Times New Roman" w:cs="Times New Roman"/>
          <w:sz w:val="28"/>
          <w:szCs w:val="28"/>
        </w:rPr>
        <w:t xml:space="preserve">сных явлений в финансовой сфере </w:t>
      </w:r>
      <w:r w:rsidRPr="00CD04FD">
        <w:rPr>
          <w:rFonts w:ascii="Times New Roman" w:hAnsi="Times New Roman" w:cs="Times New Roman"/>
          <w:sz w:val="28"/>
          <w:szCs w:val="28"/>
        </w:rPr>
        <w:t>предприятия необходимо отслеживат</w:t>
      </w:r>
      <w:r>
        <w:rPr>
          <w:rFonts w:ascii="Times New Roman" w:hAnsi="Times New Roman" w:cs="Times New Roman"/>
          <w:sz w:val="28"/>
          <w:szCs w:val="28"/>
        </w:rPr>
        <w:t xml:space="preserve">ь симптомы финансового кризиса, </w:t>
      </w:r>
      <w:r w:rsidRPr="00CD04FD">
        <w:rPr>
          <w:rFonts w:ascii="Times New Roman" w:hAnsi="Times New Roman" w:cs="Times New Roman"/>
          <w:sz w:val="28"/>
          <w:szCs w:val="28"/>
        </w:rPr>
        <w:t>неисчерпаемая классификация которых приведен</w:t>
      </w:r>
      <w:r w:rsidR="003E25E5">
        <w:rPr>
          <w:rFonts w:ascii="Times New Roman" w:hAnsi="Times New Roman" w:cs="Times New Roman"/>
          <w:sz w:val="28"/>
          <w:szCs w:val="28"/>
        </w:rPr>
        <w:t>а в таблице 1.1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7EF" w:rsidRDefault="003E25E5" w:rsidP="005D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  <w:r w:rsidR="005D47EF">
        <w:rPr>
          <w:rFonts w:ascii="Times New Roman" w:hAnsi="Times New Roman" w:cs="Times New Roman"/>
          <w:sz w:val="28"/>
          <w:szCs w:val="28"/>
        </w:rPr>
        <w:t xml:space="preserve">. - </w:t>
      </w:r>
      <w:r w:rsidR="005D47EF" w:rsidRPr="00CD04FD">
        <w:rPr>
          <w:rFonts w:ascii="Times New Roman" w:hAnsi="Times New Roman" w:cs="Times New Roman"/>
          <w:sz w:val="28"/>
          <w:szCs w:val="28"/>
        </w:rPr>
        <w:t>Классификация симптомов финансового кризиса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D47EF" w:rsidRPr="00CD04FD" w:rsidTr="00D5709E">
        <w:tc>
          <w:tcPr>
            <w:tcW w:w="3227" w:type="dxa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EF" w:rsidRPr="00CD04FD" w:rsidTr="00D5709E">
        <w:tc>
          <w:tcPr>
            <w:tcW w:w="3227" w:type="dxa"/>
            <w:vMerge w:val="restart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Общие симптомы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Наличие убытков (уменьшение прибыли) и рентабельности в динамике</w:t>
            </w:r>
          </w:p>
        </w:tc>
      </w:tr>
      <w:tr w:rsidR="005D47EF" w:rsidRPr="00CD04FD" w:rsidTr="00D5709E">
        <w:trPr>
          <w:trHeight w:val="180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готовую продукцию (товары) предприятия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Рост себестоимости продукции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Существенные колебания цен на рынке (сырьевом, потребительском, фондовом и других)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Тенденция к росту «точки безубыточности»</w:t>
            </w:r>
          </w:p>
        </w:tc>
      </w:tr>
      <w:tr w:rsidR="005D47EF" w:rsidRPr="00CD04FD" w:rsidTr="00D5709E">
        <w:trPr>
          <w:trHeight w:val="142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Наличие штрафных санкций по контрактам</w:t>
            </w:r>
          </w:p>
        </w:tc>
      </w:tr>
      <w:tr w:rsidR="005D47EF" w:rsidRPr="00CD04FD" w:rsidTr="00D5709E"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Банкротство контрагентов (потребителей, поставщиков)</w:t>
            </w:r>
          </w:p>
        </w:tc>
      </w:tr>
      <w:tr w:rsidR="005D47EF" w:rsidRPr="00CD04FD" w:rsidTr="00D5709E">
        <w:trPr>
          <w:trHeight w:val="180"/>
        </w:trPr>
        <w:tc>
          <w:tcPr>
            <w:tcW w:w="3227" w:type="dxa"/>
            <w:vMerge w:val="restart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Специфические симптомы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Рост задолженности предприятия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Уменьшение оборотных средств</w:t>
            </w:r>
          </w:p>
        </w:tc>
      </w:tr>
      <w:tr w:rsidR="005D47EF" w:rsidRPr="00CD04FD" w:rsidTr="00D5709E">
        <w:trPr>
          <w:trHeight w:val="142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Существенные изменения в структуре баланса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Снижение уровня платежеспособности</w:t>
            </w:r>
          </w:p>
        </w:tc>
      </w:tr>
      <w:tr w:rsidR="005D47EF" w:rsidRPr="00CD04FD" w:rsidTr="00D5709E">
        <w:trPr>
          <w:trHeight w:val="126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Сокращение доли наличных средств в оборотных средствах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Резкое падение ликвидности</w:t>
            </w:r>
          </w:p>
        </w:tc>
      </w:tr>
      <w:tr w:rsidR="005D47EF" w:rsidRPr="00CD04FD" w:rsidTr="00D5709E"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Снижение доли покрытия затрат</w:t>
            </w:r>
          </w:p>
        </w:tc>
      </w:tr>
    </w:tbl>
    <w:p w:rsidR="005D47EF" w:rsidRDefault="005D47EF" w:rsidP="005D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lastRenderedPageBreak/>
        <w:t>Изучение существующих тенд</w:t>
      </w:r>
      <w:r>
        <w:rPr>
          <w:rFonts w:ascii="Times New Roman" w:hAnsi="Times New Roman" w:cs="Times New Roman"/>
          <w:sz w:val="28"/>
          <w:szCs w:val="28"/>
        </w:rPr>
        <w:t xml:space="preserve">енций методического обеспечения </w:t>
      </w:r>
      <w:r w:rsidRPr="00CD04FD">
        <w:rPr>
          <w:rFonts w:ascii="Times New Roman" w:hAnsi="Times New Roman" w:cs="Times New Roman"/>
          <w:sz w:val="28"/>
          <w:szCs w:val="28"/>
        </w:rPr>
        <w:t>диагностики кризисных явлений и прим</w:t>
      </w:r>
      <w:r>
        <w:rPr>
          <w:rFonts w:ascii="Times New Roman" w:hAnsi="Times New Roman" w:cs="Times New Roman"/>
          <w:sz w:val="28"/>
          <w:szCs w:val="28"/>
        </w:rPr>
        <w:t xml:space="preserve">енение их на практике позволило </w:t>
      </w:r>
      <w:r w:rsidRPr="00CD04FD">
        <w:rPr>
          <w:rFonts w:ascii="Times New Roman" w:hAnsi="Times New Roman" w:cs="Times New Roman"/>
          <w:sz w:val="28"/>
          <w:szCs w:val="28"/>
        </w:rPr>
        <w:t>выделить основные этапы проведения диагностики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 целью предотвращения кризисного состояния</w:t>
      </w:r>
      <w:r w:rsidRPr="00CD04FD">
        <w:rPr>
          <w:rFonts w:ascii="Times New Roman" w:hAnsi="Times New Roman" w:cs="Times New Roman"/>
          <w:sz w:val="28"/>
          <w:szCs w:val="28"/>
        </w:rPr>
        <w:t>: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выбор методов диагностики, показателей-индикаторов;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диагностика процесса развития кризиса в целом по предприятию;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экспресс-анализ финансового состояния и угрозы банкротства;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параметрический анализ;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согласование результатов;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прогнозирование;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оценивание потен</w:t>
      </w:r>
      <w:r>
        <w:rPr>
          <w:rFonts w:ascii="Times New Roman" w:hAnsi="Times New Roman" w:cs="Times New Roman"/>
          <w:sz w:val="28"/>
          <w:szCs w:val="28"/>
        </w:rPr>
        <w:t xml:space="preserve">циальных возможностей выживания </w:t>
      </w:r>
      <w:r w:rsidRPr="00CD04FD">
        <w:rPr>
          <w:rFonts w:ascii="Times New Roman" w:hAnsi="Times New Roman" w:cs="Times New Roman"/>
          <w:sz w:val="28"/>
          <w:szCs w:val="28"/>
        </w:rPr>
        <w:t>предприятия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Целью экспресс-анализа является</w:t>
      </w:r>
      <w:r>
        <w:rPr>
          <w:rFonts w:ascii="Times New Roman" w:hAnsi="Times New Roman" w:cs="Times New Roman"/>
          <w:sz w:val="28"/>
          <w:szCs w:val="28"/>
        </w:rPr>
        <w:t xml:space="preserve"> достаточно быстрое и доступное </w:t>
      </w:r>
      <w:r w:rsidRPr="00CD04FD">
        <w:rPr>
          <w:rFonts w:ascii="Times New Roman" w:hAnsi="Times New Roman" w:cs="Times New Roman"/>
          <w:sz w:val="28"/>
          <w:szCs w:val="28"/>
        </w:rPr>
        <w:t>оценки финансового состояния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и динамики его экономического </w:t>
      </w:r>
      <w:r w:rsidRPr="00CD04FD">
        <w:rPr>
          <w:rFonts w:ascii="Times New Roman" w:hAnsi="Times New Roman" w:cs="Times New Roman"/>
          <w:sz w:val="28"/>
          <w:szCs w:val="28"/>
        </w:rPr>
        <w:t>развития. После проведения экспресс-анализа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параметрический </w:t>
      </w:r>
      <w:r w:rsidRPr="00CD04FD">
        <w:rPr>
          <w:rFonts w:ascii="Times New Roman" w:hAnsi="Times New Roman" w:cs="Times New Roman"/>
          <w:sz w:val="28"/>
          <w:szCs w:val="28"/>
        </w:rPr>
        <w:t>анализ, то есть анализ по системе показате</w:t>
      </w:r>
      <w:r>
        <w:rPr>
          <w:rFonts w:ascii="Times New Roman" w:hAnsi="Times New Roman" w:cs="Times New Roman"/>
          <w:sz w:val="28"/>
          <w:szCs w:val="28"/>
        </w:rPr>
        <w:t xml:space="preserve">лей, характеризующих финансовую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Итак, типичной причиной кризисного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многих отечественных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 является ненадлежащее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финансовыми службами </w:t>
      </w:r>
      <w:r w:rsidRPr="00CD04FD">
        <w:rPr>
          <w:rFonts w:ascii="Times New Roman" w:hAnsi="Times New Roman" w:cs="Times New Roman"/>
          <w:sz w:val="28"/>
          <w:szCs w:val="28"/>
        </w:rPr>
        <w:t>возложенных на них функций и задач,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в отсутствии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>планирования и анализа работы по оптимизаци</w:t>
      </w:r>
      <w:r>
        <w:rPr>
          <w:rFonts w:ascii="Times New Roman" w:hAnsi="Times New Roman" w:cs="Times New Roman"/>
          <w:sz w:val="28"/>
          <w:szCs w:val="28"/>
        </w:rPr>
        <w:t xml:space="preserve">и структуры активов и пассивов, </w:t>
      </w:r>
      <w:r w:rsidRPr="00CD04FD">
        <w:rPr>
          <w:rFonts w:ascii="Times New Roman" w:hAnsi="Times New Roman" w:cs="Times New Roman"/>
          <w:sz w:val="28"/>
          <w:szCs w:val="28"/>
        </w:rPr>
        <w:t>неэффективном управлению риск</w:t>
      </w:r>
      <w:r>
        <w:rPr>
          <w:rFonts w:ascii="Times New Roman" w:hAnsi="Times New Roman" w:cs="Times New Roman"/>
          <w:sz w:val="28"/>
          <w:szCs w:val="28"/>
        </w:rPr>
        <w:t xml:space="preserve">ами, дебиторской и кредиторской </w:t>
      </w:r>
      <w:r w:rsidRPr="00CD04FD">
        <w:rPr>
          <w:rFonts w:ascii="Times New Roman" w:hAnsi="Times New Roman" w:cs="Times New Roman"/>
          <w:sz w:val="28"/>
          <w:szCs w:val="28"/>
        </w:rPr>
        <w:t>задолженностью. Именно поэтому, важной составля</w:t>
      </w:r>
      <w:r>
        <w:rPr>
          <w:rFonts w:ascii="Times New Roman" w:hAnsi="Times New Roman" w:cs="Times New Roman"/>
          <w:sz w:val="28"/>
          <w:szCs w:val="28"/>
        </w:rPr>
        <w:t xml:space="preserve">ющей прогнозирования и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предотвращения банкротства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является проведение </w:t>
      </w:r>
      <w:r w:rsidRPr="00CD04FD">
        <w:rPr>
          <w:rFonts w:ascii="Times New Roman" w:hAnsi="Times New Roman" w:cs="Times New Roman"/>
          <w:sz w:val="28"/>
          <w:szCs w:val="28"/>
        </w:rPr>
        <w:t>экономического анализа, 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являются финансовый и </w:t>
      </w:r>
      <w:r w:rsidRPr="00CD04FD">
        <w:rPr>
          <w:rFonts w:ascii="Times New Roman" w:hAnsi="Times New Roman" w:cs="Times New Roman"/>
          <w:sz w:val="28"/>
          <w:szCs w:val="28"/>
        </w:rPr>
        <w:t>внутрихозяйственный анализ.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Финансовый анализ - многоцеле</w:t>
      </w:r>
      <w:r>
        <w:rPr>
          <w:rFonts w:ascii="Times New Roman" w:hAnsi="Times New Roman" w:cs="Times New Roman"/>
          <w:sz w:val="28"/>
          <w:szCs w:val="28"/>
        </w:rPr>
        <w:t xml:space="preserve">вой инструмент, направленный на </w:t>
      </w:r>
      <w:r w:rsidRPr="00CD04FD">
        <w:rPr>
          <w:rFonts w:ascii="Times New Roman" w:hAnsi="Times New Roman" w:cs="Times New Roman"/>
          <w:sz w:val="28"/>
          <w:szCs w:val="28"/>
        </w:rPr>
        <w:t>выявление различных недостатков в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предприятия и диагностики, </w:t>
      </w:r>
      <w:r w:rsidRPr="00CD04FD">
        <w:rPr>
          <w:rFonts w:ascii="Times New Roman" w:hAnsi="Times New Roman" w:cs="Times New Roman"/>
          <w:sz w:val="28"/>
          <w:szCs w:val="28"/>
        </w:rPr>
        <w:t>потенциально опасных с точки зрения насту</w:t>
      </w:r>
      <w:r>
        <w:rPr>
          <w:rFonts w:ascii="Times New Roman" w:hAnsi="Times New Roman" w:cs="Times New Roman"/>
          <w:sz w:val="28"/>
          <w:szCs w:val="28"/>
        </w:rPr>
        <w:t xml:space="preserve">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банкротства. При этом не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следует ожидать от финансового анализа </w:t>
      </w:r>
      <w:r>
        <w:rPr>
          <w:rFonts w:ascii="Times New Roman" w:hAnsi="Times New Roman" w:cs="Times New Roman"/>
          <w:sz w:val="28"/>
          <w:szCs w:val="28"/>
        </w:rPr>
        <w:t xml:space="preserve">точного установления конкретной </w:t>
      </w:r>
      <w:r w:rsidRPr="00CD04FD">
        <w:rPr>
          <w:rFonts w:ascii="Times New Roman" w:hAnsi="Times New Roman" w:cs="Times New Roman"/>
          <w:sz w:val="28"/>
          <w:szCs w:val="28"/>
        </w:rPr>
        <w:t>причины возможного банкротства. Однако только с его пом</w:t>
      </w:r>
      <w:r>
        <w:rPr>
          <w:rFonts w:ascii="Times New Roman" w:hAnsi="Times New Roman" w:cs="Times New Roman"/>
          <w:sz w:val="28"/>
          <w:szCs w:val="28"/>
        </w:rPr>
        <w:t xml:space="preserve">ощью финансовой </w:t>
      </w:r>
      <w:r w:rsidRPr="00CD04FD">
        <w:rPr>
          <w:rFonts w:ascii="Times New Roman" w:hAnsi="Times New Roman" w:cs="Times New Roman"/>
          <w:sz w:val="28"/>
          <w:szCs w:val="28"/>
        </w:rPr>
        <w:t>диагностики, возможно на перспективу, опред</w:t>
      </w:r>
      <w:r>
        <w:rPr>
          <w:rFonts w:ascii="Times New Roman" w:hAnsi="Times New Roman" w:cs="Times New Roman"/>
          <w:sz w:val="28"/>
          <w:szCs w:val="28"/>
        </w:rPr>
        <w:t xml:space="preserve">елить наиболее рисковые места в </w:t>
      </w:r>
      <w:r w:rsidRPr="00CD04FD">
        <w:rPr>
          <w:rFonts w:ascii="Times New Roman" w:hAnsi="Times New Roman" w:cs="Times New Roman"/>
          <w:sz w:val="28"/>
          <w:szCs w:val="28"/>
        </w:rPr>
        <w:t>деятельности предприятия и предложить эффективные решения по выходу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предприятия из сложного положения. Целью финансового анализа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выявление причин, влияющих на изм</w:t>
      </w:r>
      <w:r>
        <w:rPr>
          <w:rFonts w:ascii="Times New Roman" w:hAnsi="Times New Roman" w:cs="Times New Roman"/>
          <w:sz w:val="28"/>
          <w:szCs w:val="28"/>
        </w:rPr>
        <w:t xml:space="preserve">енение показателей, их связей и </w:t>
      </w:r>
      <w:r w:rsidRPr="00CD04FD">
        <w:rPr>
          <w:rFonts w:ascii="Times New Roman" w:hAnsi="Times New Roman" w:cs="Times New Roman"/>
          <w:sz w:val="28"/>
          <w:szCs w:val="28"/>
        </w:rPr>
        <w:t>взаимосвязей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470D92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 отечественной практике широк</w:t>
      </w:r>
      <w:r>
        <w:rPr>
          <w:rFonts w:ascii="Times New Roman" w:hAnsi="Times New Roman" w:cs="Times New Roman"/>
          <w:sz w:val="28"/>
          <w:szCs w:val="28"/>
        </w:rPr>
        <w:t xml:space="preserve">ое распространение получили две </w:t>
      </w:r>
      <w:r w:rsidRPr="00CD04FD">
        <w:rPr>
          <w:rFonts w:ascii="Times New Roman" w:hAnsi="Times New Roman" w:cs="Times New Roman"/>
          <w:sz w:val="28"/>
          <w:szCs w:val="28"/>
        </w:rPr>
        <w:t>группы методик анализа финансового со</w:t>
      </w:r>
      <w:r>
        <w:rPr>
          <w:rFonts w:ascii="Times New Roman" w:hAnsi="Times New Roman" w:cs="Times New Roman"/>
          <w:sz w:val="28"/>
          <w:szCs w:val="28"/>
        </w:rPr>
        <w:t xml:space="preserve">стояния, которые и представляют </w:t>
      </w:r>
      <w:r w:rsidRPr="00CD04FD">
        <w:rPr>
          <w:rFonts w:ascii="Times New Roman" w:hAnsi="Times New Roman" w:cs="Times New Roman"/>
          <w:sz w:val="28"/>
          <w:szCs w:val="28"/>
        </w:rPr>
        <w:t xml:space="preserve">традиционный подход к оценке возможной </w:t>
      </w:r>
      <w:r>
        <w:rPr>
          <w:rFonts w:ascii="Times New Roman" w:hAnsi="Times New Roman" w:cs="Times New Roman"/>
          <w:sz w:val="28"/>
          <w:szCs w:val="28"/>
        </w:rPr>
        <w:t xml:space="preserve">вероятности финансового кризиса </w:t>
      </w:r>
      <w:r w:rsidRPr="00CD04FD">
        <w:rPr>
          <w:rFonts w:ascii="Times New Roman" w:hAnsi="Times New Roman" w:cs="Times New Roman"/>
          <w:sz w:val="28"/>
          <w:szCs w:val="28"/>
        </w:rPr>
        <w:t>предприятия. Первая группа основы</w:t>
      </w:r>
      <w:r>
        <w:rPr>
          <w:rFonts w:ascii="Times New Roman" w:hAnsi="Times New Roman" w:cs="Times New Roman"/>
          <w:sz w:val="28"/>
          <w:szCs w:val="28"/>
        </w:rPr>
        <w:t xml:space="preserve">вается на </w:t>
      </w:r>
      <w:r w:rsidR="00470D92">
        <w:rPr>
          <w:rFonts w:ascii="Times New Roman" w:hAnsi="Times New Roman" w:cs="Times New Roman"/>
          <w:sz w:val="28"/>
          <w:szCs w:val="28"/>
        </w:rPr>
        <w:t xml:space="preserve">применении </w:t>
      </w:r>
      <w:r>
        <w:rPr>
          <w:rFonts w:ascii="Times New Roman" w:hAnsi="Times New Roman" w:cs="Times New Roman"/>
          <w:sz w:val="28"/>
          <w:szCs w:val="28"/>
        </w:rPr>
        <w:t>однофакторно</w:t>
      </w:r>
      <w:r w:rsidR="00470D92">
        <w:rPr>
          <w:rFonts w:ascii="Times New Roman" w:hAnsi="Times New Roman" w:cs="Times New Roman"/>
          <w:sz w:val="28"/>
          <w:szCs w:val="28"/>
        </w:rPr>
        <w:t>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показателей финансовой отчетности, вторая -</w:t>
      </w:r>
      <w:r>
        <w:rPr>
          <w:rFonts w:ascii="Times New Roman" w:hAnsi="Times New Roman" w:cs="Times New Roman"/>
          <w:sz w:val="28"/>
          <w:szCs w:val="28"/>
        </w:rPr>
        <w:t xml:space="preserve"> основанная на балльной системе </w:t>
      </w:r>
      <w:r w:rsidRPr="00CD04FD">
        <w:rPr>
          <w:rFonts w:ascii="Times New Roman" w:hAnsi="Times New Roman" w:cs="Times New Roman"/>
          <w:sz w:val="28"/>
          <w:szCs w:val="28"/>
        </w:rPr>
        <w:t>оценивания с определением индекса (кл</w:t>
      </w:r>
      <w:r>
        <w:rPr>
          <w:rFonts w:ascii="Times New Roman" w:hAnsi="Times New Roman" w:cs="Times New Roman"/>
          <w:sz w:val="28"/>
          <w:szCs w:val="28"/>
        </w:rPr>
        <w:t xml:space="preserve">асса) рискованности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состояния предприятия. </w:t>
      </w:r>
    </w:p>
    <w:p w:rsidR="00470D92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Общим для методик перв</w:t>
      </w:r>
      <w:r>
        <w:rPr>
          <w:rFonts w:ascii="Times New Roman" w:hAnsi="Times New Roman" w:cs="Times New Roman"/>
          <w:sz w:val="28"/>
          <w:szCs w:val="28"/>
        </w:rPr>
        <w:t xml:space="preserve">ой группы является то, что </w:t>
      </w:r>
      <w:r w:rsidRPr="00CD04FD">
        <w:rPr>
          <w:rFonts w:ascii="Times New Roman" w:hAnsi="Times New Roman" w:cs="Times New Roman"/>
          <w:sz w:val="28"/>
          <w:szCs w:val="28"/>
        </w:rPr>
        <w:t>они предусматривают изучение прос</w:t>
      </w:r>
      <w:r>
        <w:rPr>
          <w:rFonts w:ascii="Times New Roman" w:hAnsi="Times New Roman" w:cs="Times New Roman"/>
          <w:sz w:val="28"/>
          <w:szCs w:val="28"/>
        </w:rPr>
        <w:t xml:space="preserve">тых математических связей между </w:t>
      </w:r>
      <w:r w:rsidRPr="00CD04FD">
        <w:rPr>
          <w:rFonts w:ascii="Times New Roman" w:hAnsi="Times New Roman" w:cs="Times New Roman"/>
          <w:sz w:val="28"/>
          <w:szCs w:val="28"/>
        </w:rPr>
        <w:t>отдельными позициями финансовой о</w:t>
      </w:r>
      <w:r>
        <w:rPr>
          <w:rFonts w:ascii="Times New Roman" w:hAnsi="Times New Roman" w:cs="Times New Roman"/>
          <w:sz w:val="28"/>
          <w:szCs w:val="28"/>
        </w:rPr>
        <w:t xml:space="preserve">тчетности при помощи вычисления </w:t>
      </w:r>
      <w:r w:rsidRPr="00CD04FD">
        <w:rPr>
          <w:rFonts w:ascii="Times New Roman" w:hAnsi="Times New Roman" w:cs="Times New Roman"/>
          <w:sz w:val="28"/>
          <w:szCs w:val="28"/>
        </w:rPr>
        <w:t>определенной выборки показателей (коэффиц</w:t>
      </w:r>
      <w:r>
        <w:rPr>
          <w:rFonts w:ascii="Times New Roman" w:hAnsi="Times New Roman" w:cs="Times New Roman"/>
          <w:sz w:val="28"/>
          <w:szCs w:val="28"/>
        </w:rPr>
        <w:t xml:space="preserve">иентов) и сравнение их значений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в динамике </w:t>
      </w:r>
      <w:proofErr w:type="gramStart"/>
      <w:r w:rsidRPr="00CD04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04FD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D0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Выводы по</w:t>
      </w:r>
      <w:r>
        <w:rPr>
          <w:rFonts w:ascii="Times New Roman" w:hAnsi="Times New Roman" w:cs="Times New Roman"/>
          <w:sz w:val="28"/>
          <w:szCs w:val="28"/>
        </w:rPr>
        <w:t xml:space="preserve"> качеству финансового состояния </w:t>
      </w:r>
      <w:r w:rsidRPr="00CD04FD">
        <w:rPr>
          <w:rFonts w:ascii="Times New Roman" w:hAnsi="Times New Roman" w:cs="Times New Roman"/>
          <w:sz w:val="28"/>
          <w:szCs w:val="28"/>
        </w:rPr>
        <w:t>делаются на основании простого сопост</w:t>
      </w:r>
      <w:r>
        <w:rPr>
          <w:rFonts w:ascii="Times New Roman" w:hAnsi="Times New Roman" w:cs="Times New Roman"/>
          <w:sz w:val="28"/>
          <w:szCs w:val="28"/>
        </w:rPr>
        <w:t xml:space="preserve">авления фактических показателей </w:t>
      </w:r>
      <w:r w:rsidRPr="00CD04FD">
        <w:rPr>
          <w:rFonts w:ascii="Times New Roman" w:hAnsi="Times New Roman" w:cs="Times New Roman"/>
          <w:sz w:val="28"/>
          <w:szCs w:val="28"/>
        </w:rPr>
        <w:t>оценки ликвидности, платежеспособн</w:t>
      </w:r>
      <w:r>
        <w:rPr>
          <w:rFonts w:ascii="Times New Roman" w:hAnsi="Times New Roman" w:cs="Times New Roman"/>
          <w:sz w:val="28"/>
          <w:szCs w:val="28"/>
        </w:rPr>
        <w:t xml:space="preserve">ости, финансовой устойчивости и </w:t>
      </w:r>
      <w:r w:rsidRPr="00CD04FD">
        <w:rPr>
          <w:rFonts w:ascii="Times New Roman" w:hAnsi="Times New Roman" w:cs="Times New Roman"/>
          <w:sz w:val="28"/>
          <w:szCs w:val="28"/>
        </w:rPr>
        <w:t>стабильности с их нормативными значениями.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Таким образом, при проведении фина</w:t>
      </w:r>
      <w:r>
        <w:rPr>
          <w:rFonts w:ascii="Times New Roman" w:hAnsi="Times New Roman" w:cs="Times New Roman"/>
          <w:sz w:val="28"/>
          <w:szCs w:val="28"/>
        </w:rPr>
        <w:t xml:space="preserve">нсовой диагностики используются </w:t>
      </w:r>
      <w:r w:rsidRPr="00CD04FD">
        <w:rPr>
          <w:rFonts w:ascii="Times New Roman" w:hAnsi="Times New Roman" w:cs="Times New Roman"/>
          <w:sz w:val="28"/>
          <w:szCs w:val="28"/>
        </w:rPr>
        <w:t>показатели-индикаторы: доходность, л</w:t>
      </w:r>
      <w:r>
        <w:rPr>
          <w:rFonts w:ascii="Times New Roman" w:hAnsi="Times New Roman" w:cs="Times New Roman"/>
          <w:sz w:val="28"/>
          <w:szCs w:val="28"/>
        </w:rPr>
        <w:t xml:space="preserve">иквидность,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платежеспособность, </w:t>
      </w:r>
      <w:r w:rsidRPr="00CD04FD">
        <w:rPr>
          <w:rFonts w:ascii="Times New Roman" w:hAnsi="Times New Roman" w:cs="Times New Roman"/>
          <w:sz w:val="28"/>
          <w:szCs w:val="28"/>
        </w:rPr>
        <w:t>кредитоспособность, деловая активнос</w:t>
      </w:r>
      <w:r>
        <w:rPr>
          <w:rFonts w:ascii="Times New Roman" w:hAnsi="Times New Roman" w:cs="Times New Roman"/>
          <w:sz w:val="28"/>
          <w:szCs w:val="28"/>
        </w:rPr>
        <w:t xml:space="preserve">ть, эффективность привлеченного </w:t>
      </w:r>
      <w:r w:rsidRPr="00CD04FD">
        <w:rPr>
          <w:rFonts w:ascii="Times New Roman" w:hAnsi="Times New Roman" w:cs="Times New Roman"/>
          <w:sz w:val="28"/>
          <w:szCs w:val="28"/>
        </w:rPr>
        <w:t>капитала и др.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 xml:space="preserve">Следует отметить, что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показатели </w:t>
      </w:r>
      <w:r w:rsidRPr="00CD04FD">
        <w:rPr>
          <w:rFonts w:ascii="Times New Roman" w:hAnsi="Times New Roman" w:cs="Times New Roman"/>
          <w:sz w:val="28"/>
          <w:szCs w:val="28"/>
        </w:rPr>
        <w:t>ликвидности и платежеспособности. П</w:t>
      </w:r>
      <w:r>
        <w:rPr>
          <w:rFonts w:ascii="Times New Roman" w:hAnsi="Times New Roman" w:cs="Times New Roman"/>
          <w:sz w:val="28"/>
          <w:szCs w:val="28"/>
        </w:rPr>
        <w:t xml:space="preserve">латежеспособность и ликвидность </w:t>
      </w:r>
      <w:r w:rsidRPr="00CD04FD">
        <w:rPr>
          <w:rFonts w:ascii="Times New Roman" w:hAnsi="Times New Roman" w:cs="Times New Roman"/>
          <w:sz w:val="28"/>
          <w:szCs w:val="28"/>
        </w:rPr>
        <w:t>рассматриваются как неотъемлемые понятия рыночной экономики.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Ликвидность относительно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системы - это способность </w:t>
      </w:r>
      <w:r w:rsidRPr="00CD04FD">
        <w:rPr>
          <w:rFonts w:ascii="Times New Roman" w:hAnsi="Times New Roman" w:cs="Times New Roman"/>
          <w:sz w:val="28"/>
          <w:szCs w:val="28"/>
        </w:rPr>
        <w:t>каких-либо активов превращаться в деньги,</w:t>
      </w:r>
      <w:r>
        <w:rPr>
          <w:rFonts w:ascii="Times New Roman" w:hAnsi="Times New Roman" w:cs="Times New Roman"/>
          <w:sz w:val="28"/>
          <w:szCs w:val="28"/>
        </w:rPr>
        <w:t xml:space="preserve"> то есть изменять свою форму во времени. В теории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 xml:space="preserve"> менеджмента приня</w:t>
      </w:r>
      <w:r>
        <w:rPr>
          <w:rFonts w:ascii="Times New Roman" w:hAnsi="Times New Roman" w:cs="Times New Roman"/>
          <w:sz w:val="28"/>
          <w:szCs w:val="28"/>
        </w:rPr>
        <w:t xml:space="preserve">то считать предприятие </w:t>
      </w:r>
      <w:r w:rsidRPr="00CD04FD">
        <w:rPr>
          <w:rFonts w:ascii="Times New Roman" w:hAnsi="Times New Roman" w:cs="Times New Roman"/>
          <w:sz w:val="28"/>
          <w:szCs w:val="28"/>
        </w:rPr>
        <w:t>ликвидным, если его текущие активы прев</w:t>
      </w:r>
      <w:r>
        <w:rPr>
          <w:rFonts w:ascii="Times New Roman" w:hAnsi="Times New Roman" w:cs="Times New Roman"/>
          <w:sz w:val="28"/>
          <w:szCs w:val="28"/>
        </w:rPr>
        <w:t xml:space="preserve">ышают текущие обязательства. Но </w:t>
      </w:r>
      <w:r w:rsidRPr="00CD04FD">
        <w:rPr>
          <w:rFonts w:ascii="Times New Roman" w:hAnsi="Times New Roman" w:cs="Times New Roman"/>
          <w:sz w:val="28"/>
          <w:szCs w:val="28"/>
        </w:rPr>
        <w:t>это превышение не дает полной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ки ликвидности. В отечественной </w:t>
      </w:r>
      <w:r w:rsidRPr="00CD04FD">
        <w:rPr>
          <w:rFonts w:ascii="Times New Roman" w:hAnsi="Times New Roman" w:cs="Times New Roman"/>
          <w:sz w:val="28"/>
          <w:szCs w:val="28"/>
        </w:rPr>
        <w:t>практике принято применять</w:t>
      </w:r>
      <w:r>
        <w:rPr>
          <w:rFonts w:ascii="Times New Roman" w:hAnsi="Times New Roman" w:cs="Times New Roman"/>
          <w:sz w:val="28"/>
          <w:szCs w:val="28"/>
        </w:rPr>
        <w:t xml:space="preserve"> методику расчета ликвидности и </w:t>
      </w:r>
      <w:r w:rsidRPr="00CD04FD">
        <w:rPr>
          <w:rFonts w:ascii="Times New Roman" w:hAnsi="Times New Roman" w:cs="Times New Roman"/>
          <w:sz w:val="28"/>
          <w:szCs w:val="28"/>
        </w:rPr>
        <w:t>платежеспособности в трех осно</w:t>
      </w:r>
      <w:r>
        <w:rPr>
          <w:rFonts w:ascii="Times New Roman" w:hAnsi="Times New Roman" w:cs="Times New Roman"/>
          <w:sz w:val="28"/>
          <w:szCs w:val="28"/>
        </w:rPr>
        <w:t xml:space="preserve">вных коэффициентах ликвидности: </w:t>
      </w:r>
      <w:r w:rsidRPr="00CD04FD">
        <w:rPr>
          <w:rFonts w:ascii="Times New Roman" w:hAnsi="Times New Roman" w:cs="Times New Roman"/>
          <w:sz w:val="28"/>
          <w:szCs w:val="28"/>
        </w:rPr>
        <w:t>коэффициент абсолютной ликвидн</w:t>
      </w:r>
      <w:r>
        <w:rPr>
          <w:rFonts w:ascii="Times New Roman" w:hAnsi="Times New Roman" w:cs="Times New Roman"/>
          <w:sz w:val="28"/>
          <w:szCs w:val="28"/>
        </w:rPr>
        <w:t xml:space="preserve">ости, промежуточный коэффициент </w:t>
      </w:r>
      <w:r w:rsidRPr="00CD04FD">
        <w:rPr>
          <w:rFonts w:ascii="Times New Roman" w:hAnsi="Times New Roman" w:cs="Times New Roman"/>
          <w:sz w:val="28"/>
          <w:szCs w:val="28"/>
        </w:rPr>
        <w:t>покрытия, общий коэффициент покрытия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Платежеспособность - это способнос</w:t>
      </w:r>
      <w:r>
        <w:rPr>
          <w:rFonts w:ascii="Times New Roman" w:hAnsi="Times New Roman" w:cs="Times New Roman"/>
          <w:sz w:val="28"/>
          <w:szCs w:val="28"/>
        </w:rPr>
        <w:t xml:space="preserve">ть предприятия своевременно и в </w:t>
      </w:r>
      <w:r w:rsidRPr="00CD04FD">
        <w:rPr>
          <w:rFonts w:ascii="Times New Roman" w:hAnsi="Times New Roman" w:cs="Times New Roman"/>
          <w:sz w:val="28"/>
          <w:szCs w:val="28"/>
        </w:rPr>
        <w:t>полном объеме произвест</w:t>
      </w:r>
      <w:r>
        <w:rPr>
          <w:rFonts w:ascii="Times New Roman" w:hAnsi="Times New Roman" w:cs="Times New Roman"/>
          <w:sz w:val="28"/>
          <w:szCs w:val="28"/>
        </w:rPr>
        <w:t xml:space="preserve">и расчеты по краткости роковыми </w:t>
      </w:r>
      <w:r w:rsidRPr="00CD04FD">
        <w:rPr>
          <w:rFonts w:ascii="Times New Roman" w:hAnsi="Times New Roman" w:cs="Times New Roman"/>
          <w:sz w:val="28"/>
          <w:szCs w:val="28"/>
        </w:rPr>
        <w:t>обязательствами. Платежеспособность будет со</w:t>
      </w:r>
      <w:r>
        <w:rPr>
          <w:rFonts w:ascii="Times New Roman" w:hAnsi="Times New Roman" w:cs="Times New Roman"/>
          <w:sz w:val="28"/>
          <w:szCs w:val="28"/>
        </w:rPr>
        <w:t xml:space="preserve">ответствовать своей сути, когда </w:t>
      </w:r>
      <w:r w:rsidRPr="00CD04FD">
        <w:rPr>
          <w:rFonts w:ascii="Times New Roman" w:hAnsi="Times New Roman" w:cs="Times New Roman"/>
          <w:sz w:val="28"/>
          <w:szCs w:val="28"/>
        </w:rPr>
        <w:t>соблюдать платежную дисциплину, то есть сроков и порядка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денежных обязательств. Платежная </w:t>
      </w:r>
      <w:r>
        <w:rPr>
          <w:rFonts w:ascii="Times New Roman" w:hAnsi="Times New Roman" w:cs="Times New Roman"/>
          <w:sz w:val="28"/>
          <w:szCs w:val="28"/>
        </w:rPr>
        <w:t xml:space="preserve">дисциплина предприятия напрямую </w:t>
      </w:r>
      <w:r w:rsidRPr="00CD04FD">
        <w:rPr>
          <w:rFonts w:ascii="Times New Roman" w:hAnsi="Times New Roman" w:cs="Times New Roman"/>
          <w:sz w:val="28"/>
          <w:szCs w:val="28"/>
        </w:rPr>
        <w:t>зависит от его финансового состояния. П</w:t>
      </w:r>
      <w:r>
        <w:rPr>
          <w:rFonts w:ascii="Times New Roman" w:hAnsi="Times New Roman" w:cs="Times New Roman"/>
          <w:sz w:val="28"/>
          <w:szCs w:val="28"/>
        </w:rPr>
        <w:t xml:space="preserve">латежеспособность и ликвидность </w:t>
      </w:r>
      <w:r w:rsidRPr="00CD04FD">
        <w:rPr>
          <w:rFonts w:ascii="Times New Roman" w:hAnsi="Times New Roman" w:cs="Times New Roman"/>
          <w:sz w:val="28"/>
          <w:szCs w:val="28"/>
        </w:rPr>
        <w:t>рассматриваются как неотъемлемые понятия рыночной экономики.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Кризисное состояние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обнаружен с помощью </w:t>
      </w:r>
      <w:r w:rsidRPr="00CD04FD">
        <w:rPr>
          <w:rFonts w:ascii="Times New Roman" w:hAnsi="Times New Roman" w:cs="Times New Roman"/>
          <w:sz w:val="28"/>
          <w:szCs w:val="28"/>
        </w:rPr>
        <w:t>различных показателей - индикаторов, каждый из которых характ</w:t>
      </w:r>
      <w:r>
        <w:rPr>
          <w:rFonts w:ascii="Times New Roman" w:hAnsi="Times New Roman" w:cs="Times New Roman"/>
          <w:sz w:val="28"/>
          <w:szCs w:val="28"/>
        </w:rPr>
        <w:t xml:space="preserve">еризует этап </w:t>
      </w:r>
      <w:r w:rsidRPr="00CD04FD">
        <w:rPr>
          <w:rFonts w:ascii="Times New Roman" w:hAnsi="Times New Roman" w:cs="Times New Roman"/>
          <w:sz w:val="28"/>
          <w:szCs w:val="28"/>
        </w:rPr>
        <w:t>развития кризисного явления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CD04FD">
        <w:rPr>
          <w:rFonts w:ascii="Times New Roman" w:hAnsi="Times New Roman" w:cs="Times New Roman"/>
          <w:sz w:val="28"/>
          <w:szCs w:val="28"/>
        </w:rPr>
        <w:t>. При про</w:t>
      </w:r>
      <w:r>
        <w:rPr>
          <w:rFonts w:ascii="Times New Roman" w:hAnsi="Times New Roman" w:cs="Times New Roman"/>
          <w:sz w:val="28"/>
          <w:szCs w:val="28"/>
        </w:rPr>
        <w:t xml:space="preserve">ведении диагностики необходимым </w:t>
      </w:r>
      <w:r w:rsidRPr="00CD04FD">
        <w:rPr>
          <w:rFonts w:ascii="Times New Roman" w:hAnsi="Times New Roman" w:cs="Times New Roman"/>
          <w:sz w:val="28"/>
          <w:szCs w:val="28"/>
        </w:rPr>
        <w:t>условием является выбор пока</w:t>
      </w:r>
      <w:r>
        <w:rPr>
          <w:rFonts w:ascii="Times New Roman" w:hAnsi="Times New Roman" w:cs="Times New Roman"/>
          <w:sz w:val="28"/>
          <w:szCs w:val="28"/>
        </w:rPr>
        <w:t xml:space="preserve">зателей-индикаторов,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 </w:t>
      </w:r>
      <w:r w:rsidRPr="00CD04FD">
        <w:rPr>
          <w:rFonts w:ascii="Times New Roman" w:hAnsi="Times New Roman" w:cs="Times New Roman"/>
          <w:sz w:val="28"/>
          <w:szCs w:val="28"/>
        </w:rPr>
        <w:t>характеризовали важнейшие асп</w:t>
      </w:r>
      <w:r>
        <w:rPr>
          <w:rFonts w:ascii="Times New Roman" w:hAnsi="Times New Roman" w:cs="Times New Roman"/>
          <w:sz w:val="28"/>
          <w:szCs w:val="28"/>
        </w:rPr>
        <w:t xml:space="preserve">екты производственно-финансовой </w:t>
      </w:r>
      <w:r w:rsidRPr="00CD04FD">
        <w:rPr>
          <w:rFonts w:ascii="Times New Roman" w:hAnsi="Times New Roman" w:cs="Times New Roman"/>
          <w:sz w:val="28"/>
          <w:szCs w:val="28"/>
        </w:rPr>
        <w:t>деятельности предприятия. К таким показателям целесообразно относить: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показатели структуры капитала;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состояния оборотных активов и основного капитал;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оценки дебиторской и кредиторской задолженности;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показатели платежеспособности предприятий.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Важным условием применения антикризисных действий являет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D04FD">
        <w:rPr>
          <w:rFonts w:ascii="Times New Roman" w:hAnsi="Times New Roman" w:cs="Times New Roman"/>
          <w:sz w:val="28"/>
          <w:szCs w:val="28"/>
        </w:rPr>
        <w:t>идентификация кризисных явлений. Одной</w:t>
      </w:r>
      <w:r>
        <w:rPr>
          <w:rFonts w:ascii="Times New Roman" w:hAnsi="Times New Roman" w:cs="Times New Roman"/>
          <w:sz w:val="28"/>
          <w:szCs w:val="28"/>
        </w:rPr>
        <w:t xml:space="preserve"> из первых попыток использовать </w:t>
      </w:r>
      <w:r w:rsidRPr="00CD04FD">
        <w:rPr>
          <w:rFonts w:ascii="Times New Roman" w:hAnsi="Times New Roman" w:cs="Times New Roman"/>
          <w:sz w:val="28"/>
          <w:szCs w:val="28"/>
        </w:rPr>
        <w:t>аналитические коэффициенты для пр</w:t>
      </w:r>
      <w:r>
        <w:rPr>
          <w:rFonts w:ascii="Times New Roman" w:hAnsi="Times New Roman" w:cs="Times New Roman"/>
          <w:sz w:val="28"/>
          <w:szCs w:val="28"/>
        </w:rPr>
        <w:t xml:space="preserve">огнозирования кризисных явлений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считается работа Уильяма </w:t>
      </w:r>
      <w:proofErr w:type="spellStart"/>
      <w:r w:rsidRPr="00CD04FD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 w:rsidRPr="00CD04FD">
        <w:rPr>
          <w:rFonts w:ascii="Times New Roman" w:hAnsi="Times New Roman" w:cs="Times New Roman"/>
          <w:sz w:val="28"/>
          <w:szCs w:val="28"/>
        </w:rPr>
        <w:t>. Который</w:t>
      </w:r>
      <w:r>
        <w:rPr>
          <w:rFonts w:ascii="Times New Roman" w:hAnsi="Times New Roman" w:cs="Times New Roman"/>
          <w:sz w:val="28"/>
          <w:szCs w:val="28"/>
        </w:rPr>
        <w:t xml:space="preserve"> в 1966 году проанализировал 30 </w:t>
      </w:r>
      <w:r w:rsidRPr="00CD04FD">
        <w:rPr>
          <w:rFonts w:ascii="Times New Roman" w:hAnsi="Times New Roman" w:cs="Times New Roman"/>
          <w:sz w:val="28"/>
          <w:szCs w:val="28"/>
        </w:rPr>
        <w:t>коэффициентов за пять лет группе компаний, пол</w:t>
      </w:r>
      <w:r>
        <w:rPr>
          <w:rFonts w:ascii="Times New Roman" w:hAnsi="Times New Roman" w:cs="Times New Roman"/>
          <w:sz w:val="28"/>
          <w:szCs w:val="28"/>
        </w:rPr>
        <w:t xml:space="preserve">овина из которых стала </w:t>
      </w:r>
      <w:r w:rsidRPr="00CD04FD">
        <w:rPr>
          <w:rFonts w:ascii="Times New Roman" w:hAnsi="Times New Roman" w:cs="Times New Roman"/>
          <w:sz w:val="28"/>
          <w:szCs w:val="28"/>
        </w:rPr>
        <w:t xml:space="preserve">банкротами. В </w:t>
      </w:r>
      <w:r w:rsidR="00D5709E">
        <w:rPr>
          <w:rFonts w:ascii="Times New Roman" w:hAnsi="Times New Roman" w:cs="Times New Roman"/>
          <w:sz w:val="28"/>
          <w:szCs w:val="28"/>
        </w:rPr>
        <w:t>«</w:t>
      </w:r>
      <w:r w:rsidRPr="00CD04FD">
        <w:rPr>
          <w:rFonts w:ascii="Times New Roman" w:hAnsi="Times New Roman" w:cs="Times New Roman"/>
          <w:sz w:val="28"/>
          <w:szCs w:val="28"/>
        </w:rPr>
        <w:t>Методических реком</w:t>
      </w:r>
      <w:r>
        <w:rPr>
          <w:rFonts w:ascii="Times New Roman" w:hAnsi="Times New Roman" w:cs="Times New Roman"/>
          <w:sz w:val="28"/>
          <w:szCs w:val="28"/>
        </w:rPr>
        <w:t xml:space="preserve">ендациях по выявлению признаков </w:t>
      </w:r>
      <w:r w:rsidRPr="00CD04FD">
        <w:rPr>
          <w:rFonts w:ascii="Times New Roman" w:hAnsi="Times New Roman" w:cs="Times New Roman"/>
          <w:sz w:val="28"/>
          <w:szCs w:val="28"/>
        </w:rPr>
        <w:t>неплатежеспособности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и признаков действий скрытия </w:t>
      </w:r>
      <w:r w:rsidRPr="00CD04FD">
        <w:rPr>
          <w:rFonts w:ascii="Times New Roman" w:hAnsi="Times New Roman" w:cs="Times New Roman"/>
          <w:sz w:val="28"/>
          <w:szCs w:val="28"/>
        </w:rPr>
        <w:t>банкротства, фиктивного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или «доведения» до банкротства </w:t>
      </w:r>
      <w:r w:rsidRPr="00CD04FD">
        <w:rPr>
          <w:rFonts w:ascii="Times New Roman" w:hAnsi="Times New Roman" w:cs="Times New Roman"/>
          <w:sz w:val="28"/>
          <w:szCs w:val="28"/>
        </w:rPr>
        <w:t>оценочным показателем для прогнозирован</w:t>
      </w:r>
      <w:r>
        <w:rPr>
          <w:rFonts w:ascii="Times New Roman" w:hAnsi="Times New Roman" w:cs="Times New Roman"/>
          <w:sz w:val="28"/>
          <w:szCs w:val="28"/>
        </w:rPr>
        <w:t xml:space="preserve">ия банкротства отечественных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предприятий, рекомендуется использовать коэффициент </w:t>
      </w:r>
      <w:proofErr w:type="spellStart"/>
      <w:r w:rsidRPr="00CD04FD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CD04FD">
        <w:rPr>
          <w:rFonts w:ascii="Times New Roman" w:hAnsi="Times New Roman" w:cs="Times New Roman"/>
          <w:sz w:val="28"/>
          <w:szCs w:val="28"/>
        </w:rPr>
        <w:t xml:space="preserve">рассчитывается как отношение </w:t>
      </w:r>
      <w:r>
        <w:rPr>
          <w:rFonts w:ascii="Times New Roman" w:hAnsi="Times New Roman" w:cs="Times New Roman"/>
          <w:sz w:val="28"/>
          <w:szCs w:val="28"/>
        </w:rPr>
        <w:t xml:space="preserve">разницы между чистой прибылью и </w:t>
      </w:r>
      <w:r w:rsidRPr="00CD04FD">
        <w:rPr>
          <w:rFonts w:ascii="Times New Roman" w:hAnsi="Times New Roman" w:cs="Times New Roman"/>
          <w:sz w:val="28"/>
          <w:szCs w:val="28"/>
        </w:rPr>
        <w:t>начисленной амортизацией</w:t>
      </w:r>
      <w:r>
        <w:rPr>
          <w:rFonts w:ascii="Times New Roman" w:hAnsi="Times New Roman" w:cs="Times New Roman"/>
          <w:sz w:val="28"/>
          <w:szCs w:val="28"/>
        </w:rPr>
        <w:t xml:space="preserve"> к сумме долгосрочных и текущих </w:t>
      </w:r>
      <w:r w:rsidRPr="00CD04FD">
        <w:rPr>
          <w:rFonts w:ascii="Times New Roman" w:hAnsi="Times New Roman" w:cs="Times New Roman"/>
          <w:sz w:val="28"/>
          <w:szCs w:val="28"/>
        </w:rPr>
        <w:t>обязательств. Признаком формирования неудов</w:t>
      </w:r>
      <w:r>
        <w:rPr>
          <w:rFonts w:ascii="Times New Roman" w:hAnsi="Times New Roman" w:cs="Times New Roman"/>
          <w:sz w:val="28"/>
          <w:szCs w:val="28"/>
        </w:rPr>
        <w:t xml:space="preserve">летворительной структуры </w:t>
      </w:r>
      <w:r w:rsidRPr="00CD04FD">
        <w:rPr>
          <w:rFonts w:ascii="Times New Roman" w:hAnsi="Times New Roman" w:cs="Times New Roman"/>
          <w:sz w:val="28"/>
          <w:szCs w:val="28"/>
        </w:rPr>
        <w:t>баланса является такое финансовое состоян</w:t>
      </w:r>
      <w:r>
        <w:rPr>
          <w:rFonts w:ascii="Times New Roman" w:hAnsi="Times New Roman" w:cs="Times New Roman"/>
          <w:sz w:val="28"/>
          <w:szCs w:val="28"/>
        </w:rPr>
        <w:t xml:space="preserve">ие предприятия, когда в течение </w:t>
      </w:r>
      <w:r w:rsidRPr="00CD04FD">
        <w:rPr>
          <w:rFonts w:ascii="Times New Roman" w:hAnsi="Times New Roman" w:cs="Times New Roman"/>
          <w:sz w:val="28"/>
          <w:szCs w:val="28"/>
        </w:rPr>
        <w:t>длительного промежутка времени (1,</w:t>
      </w:r>
      <w:r>
        <w:rPr>
          <w:rFonts w:ascii="Times New Roman" w:hAnsi="Times New Roman" w:cs="Times New Roman"/>
          <w:sz w:val="28"/>
          <w:szCs w:val="28"/>
        </w:rPr>
        <w:t xml:space="preserve">5-2 года)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D04FD">
        <w:rPr>
          <w:rFonts w:ascii="Times New Roman" w:hAnsi="Times New Roman" w:cs="Times New Roman"/>
          <w:sz w:val="28"/>
          <w:szCs w:val="28"/>
        </w:rPr>
        <w:t>превышает 0,2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 международной практике для прог</w:t>
      </w:r>
      <w:r>
        <w:rPr>
          <w:rFonts w:ascii="Times New Roman" w:hAnsi="Times New Roman" w:cs="Times New Roman"/>
          <w:sz w:val="28"/>
          <w:szCs w:val="28"/>
        </w:rPr>
        <w:t xml:space="preserve">нозирования кризисных явлений и </w:t>
      </w:r>
      <w:r w:rsidRPr="00CD04FD">
        <w:rPr>
          <w:rFonts w:ascii="Times New Roman" w:hAnsi="Times New Roman" w:cs="Times New Roman"/>
          <w:sz w:val="28"/>
          <w:szCs w:val="28"/>
        </w:rPr>
        <w:t>банкротства широко используется му</w:t>
      </w:r>
      <w:r>
        <w:rPr>
          <w:rFonts w:ascii="Times New Roman" w:hAnsi="Times New Roman" w:cs="Times New Roman"/>
          <w:sz w:val="28"/>
          <w:szCs w:val="28"/>
        </w:rPr>
        <w:t xml:space="preserve">льтипликативный дискриминантный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анализ. Предшественником дискриминантного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был тест на банкротство </w:t>
      </w:r>
      <w:r w:rsidRPr="00CD04FD">
        <w:rPr>
          <w:rFonts w:ascii="Times New Roman" w:hAnsi="Times New Roman" w:cs="Times New Roman"/>
          <w:sz w:val="28"/>
          <w:szCs w:val="28"/>
        </w:rPr>
        <w:t>Тамаре. В основу теста Тамаре п</w:t>
      </w:r>
      <w:r>
        <w:rPr>
          <w:rFonts w:ascii="Times New Roman" w:hAnsi="Times New Roman" w:cs="Times New Roman"/>
          <w:sz w:val="28"/>
          <w:szCs w:val="28"/>
        </w:rPr>
        <w:t xml:space="preserve">оложены показатели: коэффициент </w:t>
      </w:r>
      <w:r w:rsidRPr="00CD04FD">
        <w:rPr>
          <w:rFonts w:ascii="Times New Roman" w:hAnsi="Times New Roman" w:cs="Times New Roman"/>
          <w:sz w:val="28"/>
          <w:szCs w:val="28"/>
        </w:rPr>
        <w:t xml:space="preserve">обеспеченности собственным капиталом; доходность капитала; </w:t>
      </w:r>
      <w:r w:rsidRPr="00CD04FD">
        <w:rPr>
          <w:rFonts w:ascii="Times New Roman" w:hAnsi="Times New Roman" w:cs="Times New Roman"/>
          <w:sz w:val="28"/>
          <w:szCs w:val="28"/>
        </w:rPr>
        <w:lastRenderedPageBreak/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ликвидность; коэффициент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стоимости товарной продукции к </w:t>
      </w:r>
      <w:r w:rsidRPr="00CD04FD">
        <w:rPr>
          <w:rFonts w:ascii="Times New Roman" w:hAnsi="Times New Roman" w:cs="Times New Roman"/>
          <w:sz w:val="28"/>
          <w:szCs w:val="28"/>
        </w:rPr>
        <w:t>запасам готовой продукции на скла</w:t>
      </w:r>
      <w:r>
        <w:rPr>
          <w:rFonts w:ascii="Times New Roman" w:hAnsi="Times New Roman" w:cs="Times New Roman"/>
          <w:sz w:val="28"/>
          <w:szCs w:val="28"/>
        </w:rPr>
        <w:t xml:space="preserve">де; коэффициент оборачиваемости </w:t>
      </w:r>
      <w:r w:rsidRPr="00CD04FD">
        <w:rPr>
          <w:rFonts w:ascii="Times New Roman" w:hAnsi="Times New Roman" w:cs="Times New Roman"/>
          <w:sz w:val="28"/>
          <w:szCs w:val="28"/>
        </w:rPr>
        <w:t>основного капитала; коэффициент, пока</w:t>
      </w:r>
      <w:r>
        <w:rPr>
          <w:rFonts w:ascii="Times New Roman" w:hAnsi="Times New Roman" w:cs="Times New Roman"/>
          <w:sz w:val="28"/>
          <w:szCs w:val="28"/>
        </w:rPr>
        <w:t xml:space="preserve">зывающий зависимость оборота от </w:t>
      </w:r>
      <w:r w:rsidRPr="00CD04FD">
        <w:rPr>
          <w:rFonts w:ascii="Times New Roman" w:hAnsi="Times New Roman" w:cs="Times New Roman"/>
          <w:sz w:val="28"/>
          <w:szCs w:val="28"/>
        </w:rPr>
        <w:t>реализации и величины дебиторской задолженности.</w:t>
      </w:r>
    </w:p>
    <w:p w:rsidR="005D47EF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Таким образом, систем</w:t>
      </w:r>
      <w:r>
        <w:rPr>
          <w:rFonts w:ascii="Times New Roman" w:hAnsi="Times New Roman" w:cs="Times New Roman"/>
          <w:sz w:val="28"/>
          <w:szCs w:val="28"/>
        </w:rPr>
        <w:t xml:space="preserve">а коэффициентов характеризующих </w:t>
      </w:r>
      <w:r w:rsidRPr="00CD04FD">
        <w:rPr>
          <w:rFonts w:ascii="Times New Roman" w:hAnsi="Times New Roman" w:cs="Times New Roman"/>
          <w:sz w:val="28"/>
          <w:szCs w:val="28"/>
        </w:rPr>
        <w:t>значимость отдельных факторов в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кризисного состояния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 w:rsidRPr="00CD04F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D04FD">
        <w:rPr>
          <w:rFonts w:ascii="Times New Roman" w:hAnsi="Times New Roman" w:cs="Times New Roman"/>
          <w:sz w:val="28"/>
          <w:szCs w:val="28"/>
        </w:rPr>
        <w:t xml:space="preserve"> российской экономик</w:t>
      </w:r>
      <w:r>
        <w:rPr>
          <w:rFonts w:ascii="Times New Roman" w:hAnsi="Times New Roman" w:cs="Times New Roman"/>
          <w:sz w:val="28"/>
          <w:szCs w:val="28"/>
        </w:rPr>
        <w:t xml:space="preserve">и должна быть пересмотрена. И в </w:t>
      </w:r>
      <w:r w:rsidRPr="00CD04FD">
        <w:rPr>
          <w:rFonts w:ascii="Times New Roman" w:hAnsi="Times New Roman" w:cs="Times New Roman"/>
          <w:sz w:val="28"/>
          <w:szCs w:val="28"/>
        </w:rPr>
        <w:t>первую очередь с целью обоснования с</w:t>
      </w:r>
      <w:r>
        <w:rPr>
          <w:rFonts w:ascii="Times New Roman" w:hAnsi="Times New Roman" w:cs="Times New Roman"/>
          <w:sz w:val="28"/>
          <w:szCs w:val="28"/>
        </w:rPr>
        <w:t xml:space="preserve">истемы показателей-индикаторов, </w:t>
      </w:r>
      <w:r w:rsidRPr="00CD04FD">
        <w:rPr>
          <w:rFonts w:ascii="Times New Roman" w:hAnsi="Times New Roman" w:cs="Times New Roman"/>
          <w:sz w:val="28"/>
          <w:szCs w:val="28"/>
        </w:rPr>
        <w:t>которая обеспечит возможность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и своевременного </w:t>
      </w:r>
      <w:r w:rsidRPr="00CD04FD">
        <w:rPr>
          <w:rFonts w:ascii="Times New Roman" w:hAnsi="Times New Roman" w:cs="Times New Roman"/>
          <w:sz w:val="28"/>
          <w:szCs w:val="28"/>
        </w:rPr>
        <w:t>влияния на эффективность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 При этом значение </w:t>
      </w:r>
      <w:r w:rsidRPr="00CD04FD">
        <w:rPr>
          <w:rFonts w:ascii="Times New Roman" w:hAnsi="Times New Roman" w:cs="Times New Roman"/>
          <w:sz w:val="28"/>
          <w:szCs w:val="28"/>
        </w:rPr>
        <w:t>каждого из финансовых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дифференцированы с </w:t>
      </w:r>
      <w:r w:rsidRPr="00CD04FD">
        <w:rPr>
          <w:rFonts w:ascii="Times New Roman" w:hAnsi="Times New Roman" w:cs="Times New Roman"/>
          <w:sz w:val="28"/>
          <w:szCs w:val="28"/>
        </w:rPr>
        <w:t>учетом отраслевых особенностей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71" w:rsidRDefault="004C337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2668" w:rsidRPr="00650125" w:rsidRDefault="00BC266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650125" w:rsidRDefault="00C3592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50125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65012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Риски ликвидности и банкротство кредитной организации</w:t>
      </w:r>
    </w:p>
    <w:p w:rsidR="00C3156B" w:rsidRDefault="00C3156B" w:rsidP="00D57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0F1" w:rsidRPr="007010F1" w:rsidRDefault="007010F1" w:rsidP="00701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F1">
        <w:rPr>
          <w:rFonts w:ascii="Times New Roman" w:eastAsia="Calibri" w:hAnsi="Times New Roman" w:cs="Times New Roman"/>
          <w:sz w:val="28"/>
          <w:szCs w:val="28"/>
        </w:rPr>
        <w:t>Анализ риска - данное численное установление расходов,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сопряжены с проявлением рисков на определённом этапе работы банка. 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оценки рисков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- установление соотношения итогов работы банка рыночным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условиям.</w:t>
      </w:r>
    </w:p>
    <w:p w:rsidR="007010F1" w:rsidRDefault="007010F1" w:rsidP="00701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F1">
        <w:rPr>
          <w:rFonts w:ascii="Times New Roman" w:eastAsia="Calibri" w:hAnsi="Times New Roman" w:cs="Times New Roman"/>
          <w:sz w:val="28"/>
          <w:szCs w:val="28"/>
        </w:rPr>
        <w:t>Стоимость активов, а также пассив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банковских </w:t>
      </w:r>
      <w:r w:rsidRPr="007010F1">
        <w:rPr>
          <w:rFonts w:ascii="Times New Roman" w:eastAsia="Calibri" w:hAnsi="Times New Roman" w:cs="Times New Roman"/>
          <w:sz w:val="28"/>
          <w:szCs w:val="28"/>
        </w:rPr>
        <w:t>учреждений должна соответствовать текущему рыночному показателю. 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этого не происходит, то кредитно-финансовая организация может испытывать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 xml:space="preserve">серьезные затруднения </w:t>
      </w:r>
      <w:r>
        <w:rPr>
          <w:rFonts w:ascii="Times New Roman" w:eastAsia="Calibri" w:hAnsi="Times New Roman" w:cs="Times New Roman"/>
          <w:sz w:val="28"/>
          <w:szCs w:val="28"/>
        </w:rPr>
        <w:t>с погашением своих обязательств, что означает риск ликвидности кредитной организации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4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2041" w:rsidRPr="00052041" w:rsidRDefault="00052041" w:rsidP="000520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41">
        <w:rPr>
          <w:rFonts w:ascii="Times New Roman" w:eastAsia="Calibri" w:hAnsi="Times New Roman" w:cs="Times New Roman"/>
          <w:sz w:val="28"/>
          <w:szCs w:val="28"/>
        </w:rPr>
        <w:t>Ликвидность - это способность предприятия выполнять свои обязательства по задолженности именно в момент наступления срока платежа.</w:t>
      </w:r>
    </w:p>
    <w:p w:rsidR="00052041" w:rsidRPr="00052041" w:rsidRDefault="00052041" w:rsidP="000520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41">
        <w:rPr>
          <w:rFonts w:ascii="Times New Roman" w:eastAsia="Calibri" w:hAnsi="Times New Roman" w:cs="Times New Roman"/>
          <w:sz w:val="28"/>
          <w:szCs w:val="28"/>
        </w:rPr>
        <w:lastRenderedPageBreak/>
        <w:t>Ликвидность — это способность компании покрыть собственные кратковременные обязательства, реализуя свои текущие активы.</w:t>
      </w:r>
    </w:p>
    <w:p w:rsidR="00052041" w:rsidRPr="00052041" w:rsidRDefault="00052041" w:rsidP="000520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41">
        <w:rPr>
          <w:rFonts w:ascii="Times New Roman" w:eastAsia="Calibri" w:hAnsi="Times New Roman" w:cs="Times New Roman"/>
          <w:sz w:val="28"/>
          <w:szCs w:val="28"/>
        </w:rPr>
        <w:t>Анализ ликвидности необходимо проводить в определённой последовательности, которая называется методикой анализа.</w:t>
      </w:r>
    </w:p>
    <w:p w:rsidR="00052041" w:rsidRPr="00052041" w:rsidRDefault="00052041" w:rsidP="000520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41">
        <w:rPr>
          <w:rFonts w:ascii="Times New Roman" w:eastAsia="Calibri" w:hAnsi="Times New Roman" w:cs="Times New Roman"/>
          <w:sz w:val="28"/>
          <w:szCs w:val="28"/>
        </w:rPr>
        <w:t>1. Этап - Проверка качества всей исходной информации, которая должна быть достоверной, так как от этого напрямую зависят результаты проведенного анализа.</w:t>
      </w:r>
    </w:p>
    <w:p w:rsidR="00A51974" w:rsidRPr="0063404F" w:rsidRDefault="00052041" w:rsidP="000520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52041">
        <w:rPr>
          <w:rFonts w:ascii="Times New Roman" w:eastAsia="Calibri" w:hAnsi="Times New Roman" w:cs="Times New Roman"/>
          <w:sz w:val="28"/>
          <w:szCs w:val="28"/>
        </w:rPr>
        <w:t>2. Этап - Анализ ликвидности баланса. Этот анализ предполагает группировку активов и пассивов организации. Чем выше будет степень ликвидности баланса организации, тем быстрее организация погасит свои задолженности.</w:t>
      </w:r>
      <w:r w:rsidR="00D5709E" w:rsidRPr="0005204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5"/>
      </w:r>
      <w:r w:rsidR="00A51974" w:rsidRPr="00052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041" w:rsidRDefault="00052041" w:rsidP="0005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4C12">
        <w:rPr>
          <w:rFonts w:ascii="Times New Roman" w:hAnsi="Times New Roman" w:cs="Times New Roman"/>
          <w:sz w:val="28"/>
        </w:rPr>
        <w:t>В зависимости от степени ликвидности, т.е.</w:t>
      </w:r>
      <w:r>
        <w:rPr>
          <w:rFonts w:ascii="Times New Roman" w:hAnsi="Times New Roman" w:cs="Times New Roman"/>
          <w:sz w:val="28"/>
        </w:rPr>
        <w:t xml:space="preserve"> скорости превращения активов в </w:t>
      </w:r>
      <w:r w:rsidRPr="00854C12">
        <w:rPr>
          <w:rFonts w:ascii="Times New Roman" w:hAnsi="Times New Roman" w:cs="Times New Roman"/>
          <w:sz w:val="28"/>
        </w:rPr>
        <w:t xml:space="preserve">денежные средства, активы предприятия </w:t>
      </w:r>
      <w:r>
        <w:rPr>
          <w:rFonts w:ascii="Times New Roman" w:hAnsi="Times New Roman" w:cs="Times New Roman"/>
          <w:sz w:val="28"/>
        </w:rPr>
        <w:t xml:space="preserve">разделяются на следующие группы (см. рисунок </w:t>
      </w:r>
      <w:r>
        <w:rPr>
          <w:rFonts w:ascii="Times New Roman" w:hAnsi="Times New Roman" w:cs="Times New Roman"/>
          <w:sz w:val="28"/>
        </w:rPr>
        <w:t>1.1)</w:t>
      </w:r>
    </w:p>
    <w:p w:rsidR="00052041" w:rsidRDefault="00052041" w:rsidP="000520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92FF08" wp14:editId="0D4EB392">
            <wp:extent cx="5819775" cy="2914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41" w:rsidRPr="008B1800" w:rsidRDefault="00052041" w:rsidP="000520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 xml:space="preserve"> - </w:t>
      </w:r>
      <w:r w:rsidRPr="008B1800">
        <w:rPr>
          <w:rFonts w:ascii="Times New Roman" w:hAnsi="Times New Roman" w:cs="Times New Roman"/>
          <w:sz w:val="28"/>
        </w:rPr>
        <w:t>Группировка статей актива и пассива для анализа ликвидности</w:t>
      </w:r>
    </w:p>
    <w:p w:rsidR="00A51974" w:rsidRPr="0063404F" w:rsidRDefault="00052041" w:rsidP="000520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</w:rPr>
        <w:t>баланс</w:t>
      </w:r>
      <w:r w:rsidRPr="00052041">
        <w:rPr>
          <w:rFonts w:ascii="Times New Roman" w:hAnsi="Times New Roman" w:cs="Times New Roman"/>
          <w:sz w:val="28"/>
        </w:rPr>
        <w:t>а</w:t>
      </w:r>
      <w:r w:rsidR="00D5709E" w:rsidRPr="0005204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6"/>
      </w:r>
      <w:r w:rsidR="00D5709E" w:rsidRPr="00052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041" w:rsidRDefault="00052041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677A4" w:rsidRPr="00854C12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4C12">
        <w:rPr>
          <w:rFonts w:ascii="Times New Roman" w:hAnsi="Times New Roman" w:cs="Times New Roman"/>
          <w:sz w:val="28"/>
        </w:rPr>
        <w:lastRenderedPageBreak/>
        <w:t>3. Этап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- Анализ чистых активов. Такой анал</w:t>
      </w:r>
      <w:r>
        <w:rPr>
          <w:rFonts w:ascii="Times New Roman" w:hAnsi="Times New Roman" w:cs="Times New Roman"/>
          <w:sz w:val="28"/>
        </w:rPr>
        <w:t xml:space="preserve">из, отражает платежеспособность </w:t>
      </w:r>
      <w:r w:rsidRPr="00854C12">
        <w:rPr>
          <w:rFonts w:ascii="Times New Roman" w:hAnsi="Times New Roman" w:cs="Times New Roman"/>
          <w:sz w:val="28"/>
        </w:rPr>
        <w:t>и оценку финансовой устойчивости организации, так же позволяет в будущем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отразить пути их роста.</w:t>
      </w:r>
    </w:p>
    <w:p w:rsidR="001677A4" w:rsidRPr="00854C12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4C12">
        <w:rPr>
          <w:rFonts w:ascii="Times New Roman" w:hAnsi="Times New Roman" w:cs="Times New Roman"/>
          <w:sz w:val="28"/>
        </w:rPr>
        <w:t>4. Этап - Анализ потоков денежных сре</w:t>
      </w:r>
      <w:r>
        <w:rPr>
          <w:rFonts w:ascii="Times New Roman" w:hAnsi="Times New Roman" w:cs="Times New Roman"/>
          <w:sz w:val="28"/>
        </w:rPr>
        <w:t xml:space="preserve">дств. Такой анализ проводится с </w:t>
      </w:r>
      <w:r w:rsidRPr="00854C12">
        <w:rPr>
          <w:rFonts w:ascii="Times New Roman" w:hAnsi="Times New Roman" w:cs="Times New Roman"/>
          <w:sz w:val="28"/>
        </w:rPr>
        <w:t>целью определения факторов, повлиявших на недостаток денежных средств в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организации или же на избыток, который в свою очередь так же отражает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финансово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- экономическое состояние. Так как денежный поток отражает движение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всех денежных средств, в том числе тех, которые не учитываются при расчете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прибыли: капитальные вложения, налоги, штрафы, долговые выплаты кредиторам,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заемные и авансированные средства. И непосредственно</w:t>
      </w:r>
      <w:r>
        <w:rPr>
          <w:rFonts w:ascii="Times New Roman" w:hAnsi="Times New Roman" w:cs="Times New Roman"/>
          <w:sz w:val="28"/>
        </w:rPr>
        <w:t>.</w:t>
      </w:r>
      <w:r w:rsidRPr="00854C12">
        <w:rPr>
          <w:rFonts w:ascii="Times New Roman" w:hAnsi="Times New Roman" w:cs="Times New Roman"/>
          <w:sz w:val="28"/>
        </w:rPr>
        <w:t xml:space="preserve"> Для осуществления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нормальной жизнедеятельности организация должна располагать оптимальной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854C12">
        <w:rPr>
          <w:rFonts w:ascii="Times New Roman" w:hAnsi="Times New Roman" w:cs="Times New Roman"/>
          <w:sz w:val="28"/>
        </w:rPr>
        <w:t>суммой денежных средств.</w:t>
      </w:r>
    </w:p>
    <w:p w:rsidR="001677A4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4C12">
        <w:rPr>
          <w:rFonts w:ascii="Times New Roman" w:hAnsi="Times New Roman" w:cs="Times New Roman"/>
          <w:sz w:val="28"/>
        </w:rPr>
        <w:t>5. Этап – Коэф</w:t>
      </w:r>
      <w:r>
        <w:rPr>
          <w:rFonts w:ascii="Times New Roman" w:hAnsi="Times New Roman" w:cs="Times New Roman"/>
          <w:sz w:val="28"/>
        </w:rPr>
        <w:t>фициентный анализ ликвидности (см. таблицу 1.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.)</w:t>
      </w:r>
    </w:p>
    <w:p w:rsidR="001677A4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 xml:space="preserve"> - </w:t>
      </w:r>
      <w:r w:rsidRPr="00243689">
        <w:rPr>
          <w:rFonts w:ascii="Times New Roman" w:hAnsi="Times New Roman" w:cs="Times New Roman"/>
          <w:sz w:val="28"/>
        </w:rPr>
        <w:t xml:space="preserve">Анализ </w:t>
      </w:r>
      <w:r>
        <w:rPr>
          <w:rFonts w:ascii="Times New Roman" w:hAnsi="Times New Roman" w:cs="Times New Roman"/>
          <w:sz w:val="28"/>
        </w:rPr>
        <w:t>показателей ликвидности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1677A4" w:rsidRPr="00A8743F" w:rsidTr="00196A11">
        <w:tc>
          <w:tcPr>
            <w:tcW w:w="2392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Показатели</w:t>
            </w:r>
          </w:p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ликвидности</w:t>
            </w:r>
          </w:p>
        </w:tc>
        <w:tc>
          <w:tcPr>
            <w:tcW w:w="2393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Формула расчета</w:t>
            </w:r>
          </w:p>
        </w:tc>
        <w:tc>
          <w:tcPr>
            <w:tcW w:w="2836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1950" w:type="dxa"/>
          </w:tcPr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Нормативные</w:t>
            </w:r>
          </w:p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значения</w:t>
            </w:r>
          </w:p>
        </w:tc>
      </w:tr>
      <w:tr w:rsidR="001677A4" w:rsidRPr="00A8743F" w:rsidTr="00196A11">
        <w:tc>
          <w:tcPr>
            <w:tcW w:w="2392" w:type="dxa"/>
          </w:tcPr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Коэффициент</w:t>
            </w:r>
          </w:p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текущей</w:t>
            </w:r>
          </w:p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ликвидности</w:t>
            </w:r>
          </w:p>
        </w:tc>
        <w:tc>
          <w:tcPr>
            <w:tcW w:w="2393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(А1+А2+А3)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(П1+П2)</m:t>
                    </m:r>
                  </m:den>
                </m:f>
              </m:oMath>
            </m:oMathPara>
          </w:p>
        </w:tc>
        <w:tc>
          <w:tcPr>
            <w:tcW w:w="2836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743F">
              <w:rPr>
                <w:rFonts w:ascii="Times New Roman" w:hAnsi="Times New Roman" w:cs="Times New Roman"/>
                <w:sz w:val="24"/>
              </w:rPr>
              <w:t>Показывает, сколько рублей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оборотных средств (текущих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активов) приходится на один рубль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 xml:space="preserve">текущей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8743F">
              <w:rPr>
                <w:rFonts w:ascii="Times New Roman" w:hAnsi="Times New Roman" w:cs="Times New Roman"/>
                <w:sz w:val="24"/>
              </w:rPr>
              <w:t>раткосрочной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задолженности (текущих</w:t>
            </w:r>
            <w:proofErr w:type="gramEnd"/>
          </w:p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обязательств)</w:t>
            </w:r>
          </w:p>
        </w:tc>
        <w:tc>
          <w:tcPr>
            <w:tcW w:w="1950" w:type="dxa"/>
          </w:tcPr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1,5 – 2,5</w:t>
            </w:r>
          </w:p>
        </w:tc>
      </w:tr>
      <w:tr w:rsidR="001677A4" w:rsidRPr="00A8743F" w:rsidTr="00196A11">
        <w:tc>
          <w:tcPr>
            <w:tcW w:w="2392" w:type="dxa"/>
          </w:tcPr>
          <w:p w:rsidR="001677A4" w:rsidRPr="00A8743F" w:rsidRDefault="001677A4" w:rsidP="00196A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Коэффициент</w:t>
            </w:r>
          </w:p>
          <w:p w:rsidR="001677A4" w:rsidRPr="00A8743F" w:rsidRDefault="001677A4" w:rsidP="00196A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срочной</w:t>
            </w:r>
          </w:p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ликвидности</w:t>
            </w:r>
          </w:p>
        </w:tc>
        <w:tc>
          <w:tcPr>
            <w:tcW w:w="2393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(А1+А2)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(П1+П2)</m:t>
                    </m:r>
                  </m:den>
                </m:f>
              </m:oMath>
            </m:oMathPara>
          </w:p>
        </w:tc>
        <w:tc>
          <w:tcPr>
            <w:tcW w:w="2836" w:type="dxa"/>
          </w:tcPr>
          <w:p w:rsidR="001677A4" w:rsidRPr="00A8743F" w:rsidRDefault="001677A4" w:rsidP="0019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Показывает перспективу</w:t>
            </w:r>
          </w:p>
          <w:p w:rsidR="001677A4" w:rsidRPr="00A8743F" w:rsidRDefault="001677A4" w:rsidP="0019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платежеспособности предприятия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в период от трех до шести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месяцев, при условии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 xml:space="preserve">своевременной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743F">
              <w:rPr>
                <w:rFonts w:ascii="Times New Roman" w:hAnsi="Times New Roman" w:cs="Times New Roman"/>
                <w:sz w:val="24"/>
              </w:rPr>
              <w:t>нкассации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дебиторской задолженности.</w:t>
            </w:r>
          </w:p>
        </w:tc>
        <w:tc>
          <w:tcPr>
            <w:tcW w:w="1950" w:type="dxa"/>
          </w:tcPr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0,7-1</w:t>
            </w:r>
          </w:p>
        </w:tc>
      </w:tr>
      <w:tr w:rsidR="001677A4" w:rsidRPr="00A8743F" w:rsidTr="00196A11">
        <w:tc>
          <w:tcPr>
            <w:tcW w:w="2392" w:type="dxa"/>
          </w:tcPr>
          <w:p w:rsidR="001677A4" w:rsidRPr="00A8743F" w:rsidRDefault="001677A4" w:rsidP="00196A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Коэффициент</w:t>
            </w:r>
          </w:p>
          <w:p w:rsidR="001677A4" w:rsidRPr="00A8743F" w:rsidRDefault="001677A4" w:rsidP="00196A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абсолютной</w:t>
            </w:r>
          </w:p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ликвидности</w:t>
            </w:r>
          </w:p>
        </w:tc>
        <w:tc>
          <w:tcPr>
            <w:tcW w:w="2393" w:type="dxa"/>
          </w:tcPr>
          <w:p w:rsidR="001677A4" w:rsidRPr="00A8743F" w:rsidRDefault="001677A4" w:rsidP="00196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(А1)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(П1+П2)</m:t>
                    </m:r>
                  </m:den>
                </m:f>
              </m:oMath>
            </m:oMathPara>
          </w:p>
        </w:tc>
        <w:tc>
          <w:tcPr>
            <w:tcW w:w="2836" w:type="dxa"/>
          </w:tcPr>
          <w:p w:rsidR="001677A4" w:rsidRPr="00A8743F" w:rsidRDefault="001677A4" w:rsidP="0019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Показывает, какая часть</w:t>
            </w:r>
          </w:p>
          <w:p w:rsidR="001677A4" w:rsidRPr="00A8743F" w:rsidRDefault="001677A4" w:rsidP="0019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краткосрочных обязательств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 xml:space="preserve">может быть </w:t>
            </w:r>
            <w:proofErr w:type="gramStart"/>
            <w:r w:rsidRPr="00A8743F">
              <w:rPr>
                <w:rFonts w:ascii="Times New Roman" w:hAnsi="Times New Roman" w:cs="Times New Roman"/>
                <w:sz w:val="24"/>
              </w:rPr>
              <w:t>погашена</w:t>
            </w:r>
            <w:proofErr w:type="gramEnd"/>
            <w:r w:rsidRPr="00A8743F">
              <w:rPr>
                <w:rFonts w:ascii="Times New Roman" w:hAnsi="Times New Roman" w:cs="Times New Roman"/>
                <w:sz w:val="24"/>
              </w:rPr>
              <w:t xml:space="preserve"> за счет</w:t>
            </w:r>
          </w:p>
          <w:p w:rsidR="001677A4" w:rsidRPr="00A8743F" w:rsidRDefault="001677A4" w:rsidP="0019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743F">
              <w:rPr>
                <w:rFonts w:ascii="Times New Roman" w:hAnsi="Times New Roman" w:cs="Times New Roman"/>
                <w:sz w:val="24"/>
              </w:rPr>
              <w:t>имеющейся</w:t>
            </w:r>
            <w:proofErr w:type="gramEnd"/>
            <w:r w:rsidRPr="00A8743F">
              <w:rPr>
                <w:rFonts w:ascii="Times New Roman" w:hAnsi="Times New Roman" w:cs="Times New Roman"/>
                <w:sz w:val="24"/>
              </w:rPr>
              <w:t xml:space="preserve"> денежных активов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краткосрочных финансовых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43F">
              <w:rPr>
                <w:rFonts w:ascii="Times New Roman" w:hAnsi="Times New Roman" w:cs="Times New Roman"/>
                <w:sz w:val="24"/>
              </w:rPr>
              <w:t>вложений.</w:t>
            </w:r>
          </w:p>
        </w:tc>
        <w:tc>
          <w:tcPr>
            <w:tcW w:w="1950" w:type="dxa"/>
          </w:tcPr>
          <w:p w:rsidR="001677A4" w:rsidRPr="00A8743F" w:rsidRDefault="001677A4" w:rsidP="00196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43F">
              <w:rPr>
                <w:rFonts w:ascii="Times New Roman" w:hAnsi="Times New Roman" w:cs="Times New Roman"/>
                <w:sz w:val="24"/>
              </w:rPr>
              <w:t>0,2-0,5</w:t>
            </w:r>
          </w:p>
        </w:tc>
      </w:tr>
    </w:tbl>
    <w:p w:rsidR="001677A4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7A4" w:rsidRPr="003D0638" w:rsidRDefault="001677A4" w:rsidP="001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43F">
        <w:rPr>
          <w:rFonts w:ascii="Times New Roman" w:hAnsi="Times New Roman" w:cs="Times New Roman"/>
          <w:sz w:val="28"/>
        </w:rPr>
        <w:lastRenderedPageBreak/>
        <w:t>6. Этап - Диагностика вероятности банкротства. Диагностика банкротства</w:t>
      </w:r>
      <w:r>
        <w:rPr>
          <w:rFonts w:ascii="Times New Roman" w:hAnsi="Times New Roman" w:cs="Times New Roman"/>
          <w:sz w:val="28"/>
        </w:rPr>
        <w:t xml:space="preserve"> </w:t>
      </w:r>
      <w:r w:rsidRPr="00A8743F">
        <w:rPr>
          <w:rFonts w:ascii="Times New Roman" w:hAnsi="Times New Roman" w:cs="Times New Roman"/>
          <w:sz w:val="28"/>
        </w:rPr>
        <w:t>необходимо для тщательного изучения общего финансового состояния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8743F">
        <w:rPr>
          <w:rFonts w:ascii="Times New Roman" w:hAnsi="Times New Roman" w:cs="Times New Roman"/>
          <w:sz w:val="28"/>
        </w:rPr>
        <w:t xml:space="preserve">для того, чтобы как можно раньше выявить первые </w:t>
      </w:r>
      <w:r w:rsidRPr="003D0638">
        <w:rPr>
          <w:rFonts w:ascii="Times New Roman" w:hAnsi="Times New Roman" w:cs="Times New Roman"/>
          <w:sz w:val="28"/>
        </w:rPr>
        <w:t>признаки кризисной ситуации и не допустить крах предприятия.</w:t>
      </w:r>
    </w:p>
    <w:p w:rsidR="00C824B8" w:rsidRDefault="008164AA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638">
        <w:rPr>
          <w:rFonts w:ascii="Times New Roman" w:eastAsia="Calibri" w:hAnsi="Times New Roman" w:cs="Times New Roman"/>
          <w:sz w:val="28"/>
          <w:szCs w:val="28"/>
        </w:rPr>
        <w:t>Б</w:t>
      </w:r>
      <w:r w:rsidR="00C824B8" w:rsidRPr="003D0638">
        <w:rPr>
          <w:rFonts w:ascii="Times New Roman" w:eastAsia="Calibri" w:hAnsi="Times New Roman" w:cs="Times New Roman"/>
          <w:sz w:val="28"/>
          <w:szCs w:val="28"/>
        </w:rPr>
        <w:t>анкротство как публичное признание несостоятельности экономического субъекта в современных условиях предполагает обращение в суд и судебное разбирательство. Очевидно, что можно говорить о финансовой несостоятельности банка, если его финансовое состояние признается кризисным. Под финансовым состоянием можно понимать способность организации финансировать свою деятельность, характеризующуюся наличием определенных компонен</w:t>
      </w:r>
      <w:r w:rsidR="003E25E5" w:rsidRPr="003D0638">
        <w:rPr>
          <w:rFonts w:ascii="Times New Roman" w:eastAsia="Calibri" w:hAnsi="Times New Roman" w:cs="Times New Roman"/>
          <w:sz w:val="28"/>
          <w:szCs w:val="28"/>
        </w:rPr>
        <w:t>тов (см. рисунок</w:t>
      </w:r>
      <w:r w:rsidR="003E25E5"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C824B8" w:rsidRPr="00C824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1269660</wp:posOffset>
                </wp:positionH>
                <wp:positionV relativeFrom="paragraph">
                  <wp:posOffset>-114035</wp:posOffset>
                </wp:positionV>
                <wp:extent cx="3306726" cy="446567"/>
                <wp:effectExtent l="0" t="0" r="2730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6" cy="4465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09E" w:rsidRPr="00C824B8" w:rsidRDefault="00D5709E" w:rsidP="00C8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C824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Обеспеченность финансовыми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9.95pt;margin-top:-9pt;width:260.3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" filled="f" strokecolor="black [3213]" strokeweight="1pt">
                <v:textbox>
                  <w:txbxContent>
                    <w:p w:rsidR="00D5709E" w:rsidRPr="00C824B8" w:rsidRDefault="00D5709E" w:rsidP="00C824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C824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Обеспеченность финансовыми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14767</wp:posOffset>
                </wp:positionV>
                <wp:extent cx="0" cy="244549"/>
                <wp:effectExtent l="0" t="0" r="19050" b="222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.15pt" to="328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1461046</wp:posOffset>
                </wp:positionH>
                <wp:positionV relativeFrom="paragraph">
                  <wp:posOffset>25666</wp:posOffset>
                </wp:positionV>
                <wp:extent cx="0" cy="234079"/>
                <wp:effectExtent l="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2pt" to="11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A180F" wp14:editId="0559F781">
                <wp:simplePos x="0" y="0"/>
                <wp:positionH relativeFrom="column">
                  <wp:posOffset>3660775</wp:posOffset>
                </wp:positionH>
                <wp:positionV relativeFrom="paragraph">
                  <wp:posOffset>264795</wp:posOffset>
                </wp:positionV>
                <wp:extent cx="1860550" cy="892810"/>
                <wp:effectExtent l="0" t="0" r="2540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Эффективность использования и целесообразность размещения финансовых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8.25pt;margin-top:20.85pt;width:146.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Эффективность использования и целесообразность размещения финансовых ресурсов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07E5" wp14:editId="761A8480">
                <wp:simplePos x="0" y="0"/>
                <wp:positionH relativeFrom="column">
                  <wp:posOffset>341630</wp:posOffset>
                </wp:positionH>
                <wp:positionV relativeFrom="paragraph">
                  <wp:posOffset>266538</wp:posOffset>
                </wp:positionV>
                <wp:extent cx="1860550" cy="892810"/>
                <wp:effectExtent l="0" t="0" r="2540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C824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Финансовые взаимоотношения с физическими и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6.9pt;margin-top:21pt;width:146.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C824B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Финансовые взаимоотношения с физическими и юридическими лицами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010F1" w:rsidRDefault="007010F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10F1" w:rsidRDefault="007010F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7688" w:rsidRDefault="006C2EB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4172349</wp:posOffset>
                </wp:positionH>
                <wp:positionV relativeFrom="paragraph">
                  <wp:posOffset>132907</wp:posOffset>
                </wp:positionV>
                <wp:extent cx="0" cy="233680"/>
                <wp:effectExtent l="0" t="0" r="19050" b="139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10.45pt" to="328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" strokecolor="#4579b8 [3044]"/>
            </w:pict>
          </mc:Fallback>
        </mc:AlternateContent>
      </w:r>
      <w:r w:rsidR="00C824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1461046</wp:posOffset>
                </wp:positionH>
                <wp:positionV relativeFrom="paragraph">
                  <wp:posOffset>132582</wp:posOffset>
                </wp:positionV>
                <wp:extent cx="0" cy="234241"/>
                <wp:effectExtent l="0" t="0" r="19050" b="139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0.45pt" to="115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" strokecolor="#4579b8 [3044]"/>
            </w:pict>
          </mc:Fallback>
        </mc:AlternateContent>
      </w:r>
    </w:p>
    <w:p w:rsidR="00537688" w:rsidRDefault="00C824B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4DC8" wp14:editId="1729B612">
                <wp:simplePos x="0" y="0"/>
                <wp:positionH relativeFrom="column">
                  <wp:posOffset>1269365</wp:posOffset>
                </wp:positionH>
                <wp:positionV relativeFrom="paragraph">
                  <wp:posOffset>8890</wp:posOffset>
                </wp:positionV>
                <wp:extent cx="3306445" cy="488950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Платежеспособность и финансовая устойчивость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99.95pt;margin-top:.7pt;width:260.3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Платежеспособность и финансовая устойчивость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824B8" w:rsidRDefault="00C824B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7688" w:rsidRDefault="00C3156B" w:rsidP="006C2EB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="00C824B8">
        <w:rPr>
          <w:rFonts w:ascii="Times New Roman" w:eastAsia="Calibri" w:hAnsi="Times New Roman" w:cs="Times New Roman"/>
          <w:sz w:val="28"/>
          <w:szCs w:val="28"/>
        </w:rPr>
        <w:t>.1.</w:t>
      </w:r>
      <w:r w:rsidR="006C2EB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C2EB1" w:rsidRPr="006C2EB1">
        <w:rPr>
          <w:rFonts w:ascii="Times New Roman" w:eastAsia="Calibri" w:hAnsi="Times New Roman" w:cs="Times New Roman"/>
          <w:sz w:val="28"/>
          <w:szCs w:val="28"/>
        </w:rPr>
        <w:t>Компоненты, определя</w:t>
      </w:r>
      <w:r w:rsidR="006C2EB1">
        <w:rPr>
          <w:rFonts w:ascii="Times New Roman" w:eastAsia="Calibri" w:hAnsi="Times New Roman" w:cs="Times New Roman"/>
          <w:sz w:val="28"/>
          <w:szCs w:val="28"/>
        </w:rPr>
        <w:t>ющие способность кредитной орга</w:t>
      </w:r>
      <w:r w:rsidR="006C2EB1" w:rsidRPr="006C2EB1">
        <w:rPr>
          <w:rFonts w:ascii="Times New Roman" w:eastAsia="Calibri" w:hAnsi="Times New Roman" w:cs="Times New Roman"/>
          <w:sz w:val="28"/>
          <w:szCs w:val="28"/>
        </w:rPr>
        <w:t>низации финансировать свою деятельность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7"/>
      </w:r>
    </w:p>
    <w:p w:rsidR="006C2EB1" w:rsidRDefault="006C2EB1" w:rsidP="001308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2508" w:rsidRDefault="00282508" w:rsidP="0028250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508">
        <w:rPr>
          <w:rFonts w:ascii="Times New Roman" w:eastAsia="Calibri" w:hAnsi="Times New Roman" w:cs="Times New Roman"/>
          <w:sz w:val="28"/>
          <w:szCs w:val="28"/>
        </w:rPr>
        <w:t>Целесообразно рассмотреть также факторы банкротс</w:t>
      </w:r>
      <w:r>
        <w:rPr>
          <w:rFonts w:ascii="Times New Roman" w:eastAsia="Calibri" w:hAnsi="Times New Roman" w:cs="Times New Roman"/>
          <w:sz w:val="28"/>
          <w:szCs w:val="28"/>
        </w:rPr>
        <w:t>тва кредит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ных организаций. Большинство ученых разделяют данные факторы </w:t>
      </w:r>
      <w:proofErr w:type="gramStart"/>
      <w:r w:rsidRPr="0028250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внешние и внутренние, не классифицируя их более детально. Составим систему факторов банкротства кредитных организаций по группам, от-личным </w:t>
      </w:r>
      <w:proofErr w:type="gramStart"/>
      <w:r w:rsidR="00C3156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3156B">
        <w:rPr>
          <w:rFonts w:ascii="Times New Roman" w:eastAsia="Calibri" w:hAnsi="Times New Roman" w:cs="Times New Roman"/>
          <w:sz w:val="28"/>
          <w:szCs w:val="28"/>
        </w:rPr>
        <w:t xml:space="preserve"> внутр</w:t>
      </w:r>
      <w:r w:rsidR="003E25E5">
        <w:rPr>
          <w:rFonts w:ascii="Times New Roman" w:eastAsia="Calibri" w:hAnsi="Times New Roman" w:cs="Times New Roman"/>
          <w:sz w:val="28"/>
          <w:szCs w:val="28"/>
        </w:rPr>
        <w:t>енних и внешних (см. таблицу 1.2</w:t>
      </w:r>
      <w:r w:rsidR="00C3156B">
        <w:rPr>
          <w:rFonts w:ascii="Times New Roman" w:eastAsia="Calibri" w:hAnsi="Times New Roman" w:cs="Times New Roman"/>
          <w:sz w:val="28"/>
          <w:szCs w:val="28"/>
        </w:rPr>
        <w:t>.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82508" w:rsidRDefault="00282508" w:rsidP="0028250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508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 w:rsidR="003E25E5">
        <w:rPr>
          <w:rFonts w:ascii="Times New Roman" w:eastAsia="Calibri" w:hAnsi="Times New Roman" w:cs="Times New Roman"/>
          <w:sz w:val="28"/>
          <w:szCs w:val="28"/>
        </w:rPr>
        <w:t>.2</w:t>
      </w:r>
      <w:r w:rsidR="00C3156B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 Факторы банкро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тства кредитных организаций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82508" w:rsidTr="00282508">
        <w:tc>
          <w:tcPr>
            <w:tcW w:w="3510" w:type="dxa"/>
          </w:tcPr>
          <w:p w:rsidR="00282508" w:rsidRDefault="008164AA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фактора I катего</w:t>
            </w:r>
            <w:r w:rsidR="00282508"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фактора II категории</w:t>
            </w:r>
          </w:p>
        </w:tc>
      </w:tr>
      <w:tr w:rsidR="00282508" w:rsidTr="00282508">
        <w:trPr>
          <w:trHeight w:val="184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Социально-политические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Резкие изменения государс</w:t>
            </w:r>
            <w:r w:rsidR="00C3156B">
              <w:rPr>
                <w:rFonts w:ascii="Times New Roman" w:eastAsia="Calibri" w:hAnsi="Times New Roman" w:cs="Times New Roman"/>
                <w:sz w:val="28"/>
                <w:szCs w:val="28"/>
              </w:rPr>
              <w:t>твенной экономической и финансо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вой политики, правил игры на финансовых рынках, неудачные институциональные решения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Излишний налоговый контроль</w:t>
            </w:r>
          </w:p>
        </w:tc>
      </w:tr>
      <w:tr w:rsidR="00282508" w:rsidTr="00282508">
        <w:trPr>
          <w:trHeight w:val="18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Ограничения в отношении иностранного капитала и изменение условий экспорта и импорта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Разрыв экономических свя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зей со странами ближнего зарубе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жья органов власти</w:t>
            </w:r>
          </w:p>
        </w:tc>
      </w:tr>
      <w:tr w:rsidR="00282508" w:rsidTr="00282508">
        <w:trPr>
          <w:trHeight w:val="30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Жесткие требования к учредителям банков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Монополизация рынка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Нестабильность в финансово-кредитном секторе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Тяжелое экономическое состояние в стране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дохода среди населения</w:t>
            </w:r>
          </w:p>
        </w:tc>
      </w:tr>
      <w:tr w:rsidR="00282508" w:rsidTr="00282508">
        <w:trPr>
          <w:trHeight w:val="30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Процветание теневой экономики</w:t>
            </w:r>
          </w:p>
        </w:tc>
      </w:tr>
      <w:tr w:rsidR="00282508" w:rsidTr="00282508">
        <w:trPr>
          <w:trHeight w:val="18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Высокие темпы инфляции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Неразвитость рынка ценных бумаг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Информационно-правовые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Противоречивость законодательства</w:t>
            </w:r>
          </w:p>
        </w:tc>
      </w:tr>
      <w:tr w:rsidR="00282508" w:rsidTr="00282508">
        <w:trPr>
          <w:trHeight w:val="21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Недостаток качественной информации о конъюнктуре рынка</w:t>
            </w:r>
          </w:p>
        </w:tc>
      </w:tr>
      <w:tr w:rsidR="00282508" w:rsidTr="00282508">
        <w:trPr>
          <w:trHeight w:val="318"/>
        </w:trPr>
        <w:tc>
          <w:tcPr>
            <w:tcW w:w="3510" w:type="dxa"/>
            <w:vMerge w:val="restart"/>
          </w:tcPr>
          <w:p w:rsidR="00282508" w:rsidRDefault="00DB606D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Стратегии, принципы и ограни</w:t>
            </w:r>
            <w:r w:rsidR="00282508"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чения деятельности кредитной организации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Неквалифицированное управление (недостаточно опытный административный персонал)</w:t>
            </w:r>
          </w:p>
        </w:tc>
      </w:tr>
      <w:tr w:rsidR="00282508" w:rsidTr="00282508">
        <w:trPr>
          <w:trHeight w:val="335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плана действий на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случай неблагоприятного для кре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дитной организации развития событий</w:t>
            </w:r>
          </w:p>
        </w:tc>
      </w:tr>
      <w:tr w:rsidR="00282508" w:rsidTr="00282508">
        <w:trPr>
          <w:trHeight w:val="435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Плохая система финансовой отчетности</w:t>
            </w:r>
          </w:p>
        </w:tc>
      </w:tr>
      <w:tr w:rsidR="00282508" w:rsidTr="00282508">
        <w:trPr>
          <w:trHeight w:val="318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внутренних регламентирующих документов</w:t>
            </w:r>
          </w:p>
        </w:tc>
      </w:tr>
      <w:tr w:rsidR="00282508" w:rsidTr="00282508">
        <w:trPr>
          <w:trHeight w:val="302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и способы их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Неспособность контролировать свои расходы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Неспособность «гасить» свои обязательства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Повышенные коммерческие риски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навыков быстрого реагирования в 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соответствии с рыночной ситуацией</w:t>
            </w:r>
          </w:p>
        </w:tc>
      </w:tr>
      <w:tr w:rsidR="00282508" w:rsidTr="00282508">
        <w:trPr>
          <w:trHeight w:val="232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Качество маркетинга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конкурентоспособности банковских продуктов</w:t>
            </w:r>
          </w:p>
        </w:tc>
      </w:tr>
      <w:tr w:rsidR="00282508" w:rsidTr="00282508">
        <w:trPr>
          <w:trHeight w:val="234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Потеря деловой репутации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Невосприимчивость службы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маркетинга в кредитной организа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ции к инновациям</w:t>
            </w:r>
          </w:p>
        </w:tc>
      </w:tr>
      <w:tr w:rsidR="00282508" w:rsidTr="00282508">
        <w:trPr>
          <w:trHeight w:val="234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(неубедительная) реклама</w:t>
            </w:r>
          </w:p>
        </w:tc>
      </w:tr>
      <w:tr w:rsidR="00E33A96" w:rsidTr="00E33A96">
        <w:trPr>
          <w:trHeight w:val="268"/>
        </w:trPr>
        <w:tc>
          <w:tcPr>
            <w:tcW w:w="3510" w:type="dxa"/>
            <w:vMerge w:val="restart"/>
          </w:tcPr>
          <w:p w:rsidR="00E33A96" w:rsidRDefault="00E33A96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Косвенные</w:t>
            </w:r>
          </w:p>
        </w:tc>
        <w:tc>
          <w:tcPr>
            <w:tcW w:w="6061" w:type="dxa"/>
          </w:tcPr>
          <w:p w:rsidR="00E33A96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>Мошенничество с отчетной и финансовой документацией</w:t>
            </w:r>
          </w:p>
        </w:tc>
      </w:tr>
      <w:tr w:rsidR="00E33A96" w:rsidTr="00E33A96">
        <w:trPr>
          <w:trHeight w:val="201"/>
        </w:trPr>
        <w:tc>
          <w:tcPr>
            <w:tcW w:w="3510" w:type="dxa"/>
            <w:vMerge/>
          </w:tcPr>
          <w:p w:rsidR="00E33A96" w:rsidRPr="00282508" w:rsidRDefault="00E33A96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33A96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специального банковского законодательства</w:t>
            </w:r>
          </w:p>
        </w:tc>
      </w:tr>
      <w:tr w:rsidR="00DB606D" w:rsidTr="00DB606D">
        <w:trPr>
          <w:trHeight w:val="937"/>
        </w:trPr>
        <w:tc>
          <w:tcPr>
            <w:tcW w:w="3510" w:type="dxa"/>
            <w:vMerge/>
          </w:tcPr>
          <w:p w:rsidR="00DB606D" w:rsidRPr="00282508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DB606D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противозаконных («черных») финансовых систем</w:t>
            </w:r>
          </w:p>
        </w:tc>
      </w:tr>
    </w:tbl>
    <w:p w:rsidR="00D5709E" w:rsidRDefault="00D5709E" w:rsidP="008164A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AA" w:rsidRDefault="008164AA" w:rsidP="008164A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Таким образом, рассмотрев показатели с помощью которых определяется ликвидность коммерческих банков можно сделать вывод, о том что ликвидность кредитной организации является важнейшим показателем деятельности и нуждается в определении непрерывно, так как если допустить падение уровня ликвидности слишком низко, то это может привести к затруднениям с исполнением своих обязательств перед кредиторами и другими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контрагентами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в крайнем случае привести к банкротству кредитной организации.</w:t>
      </w:r>
    </w:p>
    <w:p w:rsidR="00C824B8" w:rsidRDefault="00C824B8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B8" w:rsidRDefault="00C824B8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0C4325" w:rsidRDefault="007F683B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325">
        <w:rPr>
          <w:rFonts w:ascii="Times New Roman" w:eastAsia="Calibri" w:hAnsi="Times New Roman" w:cs="Times New Roman"/>
          <w:b/>
          <w:sz w:val="28"/>
          <w:szCs w:val="28"/>
        </w:rPr>
        <w:t xml:space="preserve">1.4 </w:t>
      </w:r>
      <w:r w:rsidR="00C35928" w:rsidRPr="000C4325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антикризисного управления в кредитной организации</w:t>
      </w:r>
    </w:p>
    <w:p w:rsidR="00C35928" w:rsidRDefault="00C35928" w:rsidP="00F77B3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4325" w:rsidRP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25">
        <w:rPr>
          <w:rFonts w:ascii="Times New Roman" w:eastAsia="Calibri" w:hAnsi="Times New Roman" w:cs="Times New Roman"/>
          <w:sz w:val="28"/>
          <w:szCs w:val="28"/>
        </w:rPr>
        <w:t>Исследованию инструментов и приемов антик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ризисного управления кредитными 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организациями посвящены работы </w:t>
      </w:r>
      <w:proofErr w:type="spellStart"/>
      <w:r w:rsidRPr="000C4325">
        <w:rPr>
          <w:rFonts w:ascii="Times New Roman" w:eastAsia="Calibri" w:hAnsi="Times New Roman" w:cs="Times New Roman"/>
          <w:sz w:val="28"/>
          <w:szCs w:val="28"/>
        </w:rPr>
        <w:t>Ворниковой</w:t>
      </w:r>
      <w:proofErr w:type="spellEnd"/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Н.И., Зверева О.А., </w:t>
      </w:r>
      <w:proofErr w:type="spellStart"/>
      <w:r w:rsidRPr="000C4325">
        <w:rPr>
          <w:rFonts w:ascii="Times New Roman" w:eastAsia="Calibri" w:hAnsi="Times New Roman" w:cs="Times New Roman"/>
          <w:sz w:val="28"/>
          <w:szCs w:val="28"/>
        </w:rPr>
        <w:t>Курушиной</w:t>
      </w:r>
      <w:proofErr w:type="spellEnd"/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О. А. и др.</w:t>
      </w:r>
    </w:p>
    <w:p w:rsidR="00F369E0" w:rsidRDefault="000E24CC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Сущность антикризисного управления 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>рассматривается экономистами ка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 и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отдельный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 процесс в частности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, а также как механизм 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контроля факторов </w:t>
      </w:r>
      <w:r w:rsidR="000C4325">
        <w:rPr>
          <w:rFonts w:ascii="Times New Roman" w:eastAsia="Calibri" w:hAnsi="Times New Roman" w:cs="Times New Roman"/>
          <w:sz w:val="28"/>
          <w:szCs w:val="28"/>
        </w:rPr>
        <w:t>риска с целью обеспечения устой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чивой и бесперебойной работы кредитной организации. </w:t>
      </w:r>
    </w:p>
    <w:p w:rsidR="000C4325" w:rsidRPr="00037167" w:rsidRDefault="00F369E0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мнением 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>Э.М. Коротковой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>такой м</w:t>
      </w:r>
      <w:r w:rsidR="000C4325">
        <w:rPr>
          <w:rFonts w:ascii="Times New Roman" w:eastAsia="Calibri" w:hAnsi="Times New Roman" w:cs="Times New Roman"/>
          <w:sz w:val="28"/>
          <w:szCs w:val="28"/>
        </w:rPr>
        <w:t>еханизм при соблюдении баланса «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риск </w:t>
      </w:r>
      <w:r w:rsidR="000C4325">
        <w:rPr>
          <w:rFonts w:ascii="Times New Roman" w:eastAsia="Calibri" w:hAnsi="Times New Roman" w:cs="Times New Roman"/>
          <w:sz w:val="28"/>
          <w:szCs w:val="28"/>
        </w:rPr>
        <w:t>–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 доходность</w:t>
      </w:r>
      <w:r w:rsidR="000C4325">
        <w:rPr>
          <w:rFonts w:ascii="Times New Roman" w:eastAsia="Calibri" w:hAnsi="Times New Roman" w:cs="Times New Roman"/>
          <w:sz w:val="28"/>
          <w:szCs w:val="28"/>
        </w:rPr>
        <w:t>»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 позволяет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 управлять фак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 xml:space="preserve">торами кризиса, свести к минимуму его негативные </w:t>
      </w:r>
      <w:r w:rsidR="000C4325">
        <w:rPr>
          <w:rFonts w:ascii="Times New Roman" w:eastAsia="Calibri" w:hAnsi="Times New Roman" w:cs="Times New Roman"/>
          <w:sz w:val="28"/>
          <w:szCs w:val="28"/>
        </w:rPr>
        <w:t>последствия и предотвратить воз</w:t>
      </w:r>
      <w:r w:rsidR="000C4325" w:rsidRPr="000C4325">
        <w:rPr>
          <w:rFonts w:ascii="Times New Roman" w:eastAsia="Calibri" w:hAnsi="Times New Roman" w:cs="Times New Roman"/>
          <w:sz w:val="28"/>
          <w:szCs w:val="28"/>
        </w:rPr>
        <w:t>никн</w:t>
      </w:r>
      <w:r w:rsidR="000C4325">
        <w:rPr>
          <w:rFonts w:ascii="Times New Roman" w:eastAsia="Calibri" w:hAnsi="Times New Roman" w:cs="Times New Roman"/>
          <w:sz w:val="28"/>
          <w:szCs w:val="28"/>
        </w:rPr>
        <w:t xml:space="preserve">овение </w:t>
      </w:r>
      <w:r w:rsidR="000C4325" w:rsidRPr="00037167">
        <w:rPr>
          <w:rFonts w:ascii="Times New Roman" w:eastAsia="Calibri" w:hAnsi="Times New Roman" w:cs="Times New Roman"/>
          <w:sz w:val="28"/>
          <w:szCs w:val="28"/>
        </w:rPr>
        <w:t>неблагоприятных явлений</w:t>
      </w:r>
      <w:r w:rsidR="00715EC2" w:rsidRPr="0003716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8"/>
      </w:r>
      <w:r w:rsidR="000C4325" w:rsidRPr="00037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325" w:rsidRPr="00037167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167">
        <w:rPr>
          <w:rFonts w:ascii="Times New Roman" w:eastAsia="Calibri" w:hAnsi="Times New Roman" w:cs="Times New Roman"/>
          <w:sz w:val="28"/>
          <w:szCs w:val="28"/>
        </w:rPr>
        <w:t xml:space="preserve">Инструментарий антикризисного управления воздействует как </w:t>
      </w:r>
      <w:proofErr w:type="gramStart"/>
      <w:r w:rsidRPr="00037167">
        <w:rPr>
          <w:rFonts w:ascii="Times New Roman" w:eastAsia="Calibri" w:hAnsi="Times New Roman" w:cs="Times New Roman"/>
          <w:sz w:val="28"/>
          <w:szCs w:val="28"/>
        </w:rPr>
        <w:t>уровне</w:t>
      </w:r>
      <w:proofErr w:type="gramEnd"/>
      <w:r w:rsidRPr="0003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167" w:rsidRPr="00037167">
        <w:rPr>
          <w:rFonts w:ascii="Times New Roman" w:eastAsia="Calibri" w:hAnsi="Times New Roman" w:cs="Times New Roman"/>
          <w:sz w:val="28"/>
          <w:szCs w:val="28"/>
        </w:rPr>
        <w:t>отдельного коммерческого банка</w:t>
      </w:r>
      <w:r w:rsidRPr="00037167">
        <w:rPr>
          <w:rFonts w:ascii="Times New Roman" w:eastAsia="Calibri" w:hAnsi="Times New Roman" w:cs="Times New Roman"/>
          <w:sz w:val="28"/>
          <w:szCs w:val="28"/>
        </w:rPr>
        <w:t xml:space="preserve">, так </w:t>
      </w:r>
      <w:r w:rsidR="00037167" w:rsidRPr="0003716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37167">
        <w:rPr>
          <w:rFonts w:ascii="Times New Roman" w:eastAsia="Calibri" w:hAnsi="Times New Roman" w:cs="Times New Roman"/>
          <w:sz w:val="28"/>
          <w:szCs w:val="28"/>
        </w:rPr>
        <w:t xml:space="preserve">на банковскую систему в целом. </w:t>
      </w:r>
      <w:r w:rsidR="00715EC2" w:rsidRPr="00037167">
        <w:rPr>
          <w:rFonts w:ascii="Times New Roman" w:eastAsia="Calibri" w:hAnsi="Times New Roman" w:cs="Times New Roman"/>
          <w:sz w:val="28"/>
          <w:szCs w:val="28"/>
        </w:rPr>
        <w:t xml:space="preserve">Амосов А.Н. </w:t>
      </w:r>
      <w:r w:rsidRPr="00037167">
        <w:rPr>
          <w:rFonts w:ascii="Times New Roman" w:eastAsia="Calibri" w:hAnsi="Times New Roman" w:cs="Times New Roman"/>
          <w:sz w:val="28"/>
          <w:szCs w:val="28"/>
        </w:rPr>
        <w:t>предлагает использовать, прежде всего, макроэкономические инструменты (</w:t>
      </w:r>
      <w:r w:rsidR="003E25E5" w:rsidRPr="00037167">
        <w:rPr>
          <w:rFonts w:ascii="Times New Roman" w:eastAsia="Calibri" w:hAnsi="Times New Roman" w:cs="Times New Roman"/>
          <w:sz w:val="28"/>
          <w:szCs w:val="28"/>
        </w:rPr>
        <w:t>см. таблицу 1.3</w:t>
      </w:r>
      <w:r w:rsidRPr="00037167">
        <w:rPr>
          <w:rFonts w:ascii="Times New Roman" w:eastAsia="Calibri" w:hAnsi="Times New Roman" w:cs="Times New Roman"/>
          <w:sz w:val="28"/>
          <w:szCs w:val="28"/>
        </w:rPr>
        <w:t>)</w:t>
      </w:r>
      <w:r w:rsidR="00715EC2" w:rsidRPr="0003716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9"/>
      </w:r>
      <w:r w:rsidRPr="00037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325" w:rsidRPr="006963B2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3B2"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3E25E5" w:rsidRPr="006963B2">
        <w:rPr>
          <w:rFonts w:ascii="Times New Roman" w:eastAsia="Calibri" w:hAnsi="Times New Roman" w:cs="Times New Roman"/>
          <w:sz w:val="28"/>
          <w:szCs w:val="28"/>
        </w:rPr>
        <w:t>.3.</w:t>
      </w:r>
      <w:r w:rsidRPr="006963B2">
        <w:rPr>
          <w:rFonts w:ascii="Times New Roman" w:eastAsia="Calibri" w:hAnsi="Times New Roman" w:cs="Times New Roman"/>
          <w:sz w:val="28"/>
          <w:szCs w:val="28"/>
        </w:rPr>
        <w:t xml:space="preserve">  - Основные макроэкономические инструменты антикризисного управления кредитными организациями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C4325" w:rsidRPr="004C093A" w:rsidTr="000C4325">
        <w:tc>
          <w:tcPr>
            <w:tcW w:w="3085" w:type="dxa"/>
          </w:tcPr>
          <w:p w:rsidR="000C4325" w:rsidRPr="006963B2" w:rsidRDefault="000C4325" w:rsidP="000C43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486" w:type="dxa"/>
          </w:tcPr>
          <w:p w:rsidR="000C4325" w:rsidRPr="006963B2" w:rsidRDefault="000C4325" w:rsidP="000C43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0C4325" w:rsidRPr="004C093A" w:rsidTr="000C4325">
        <w:tc>
          <w:tcPr>
            <w:tcW w:w="3085" w:type="dxa"/>
          </w:tcPr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Реструктуризация</w:t>
            </w:r>
          </w:p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пассивов</w:t>
            </w:r>
          </w:p>
        </w:tc>
        <w:tc>
          <w:tcPr>
            <w:tcW w:w="6486" w:type="dxa"/>
          </w:tcPr>
          <w:p w:rsidR="000C4325" w:rsidRPr="006963B2" w:rsidRDefault="006963B2" w:rsidP="006963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 выпуска акций для третьей стороны или рос количества акционеров. Выкуп акций по премиальной цене у действующих акционеров. </w:t>
            </w:r>
          </w:p>
        </w:tc>
      </w:tr>
      <w:tr w:rsidR="000C4325" w:rsidRPr="004C093A" w:rsidTr="000C4325">
        <w:tc>
          <w:tcPr>
            <w:tcW w:w="3085" w:type="dxa"/>
          </w:tcPr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активов</w:t>
            </w:r>
          </w:p>
        </w:tc>
        <w:tc>
          <w:tcPr>
            <w:tcW w:w="6486" w:type="dxa"/>
          </w:tcPr>
          <w:p w:rsidR="000C4325" w:rsidRPr="006963B2" w:rsidRDefault="006963B2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 продажи имущества посредством проведения аукциона или конкретному предпринимателю (физическому лицу). </w:t>
            </w:r>
          </w:p>
        </w:tc>
      </w:tr>
      <w:tr w:rsidR="000C4325" w:rsidRPr="004C093A" w:rsidTr="000C4325">
        <w:tc>
          <w:tcPr>
            <w:tcW w:w="3085" w:type="dxa"/>
          </w:tcPr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Рекапитализация</w:t>
            </w:r>
          </w:p>
        </w:tc>
        <w:tc>
          <w:tcPr>
            <w:tcW w:w="6486" w:type="dxa"/>
          </w:tcPr>
          <w:p w:rsidR="000C4325" w:rsidRPr="006963B2" w:rsidRDefault="006963B2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изменения структуры собственного и заемного капитала организации посредством обмена одного вида ценных бумаг на другие</w:t>
            </w:r>
          </w:p>
        </w:tc>
      </w:tr>
      <w:tr w:rsidR="000C4325" w:rsidRPr="004C093A" w:rsidTr="000C4325">
        <w:tc>
          <w:tcPr>
            <w:tcW w:w="3085" w:type="dxa"/>
          </w:tcPr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</w:t>
            </w:r>
          </w:p>
          <w:p w:rsidR="000C4325" w:rsidRPr="006963B2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</w:t>
            </w:r>
          </w:p>
        </w:tc>
        <w:tc>
          <w:tcPr>
            <w:tcW w:w="6486" w:type="dxa"/>
          </w:tcPr>
          <w:p w:rsidR="000C4325" w:rsidRPr="006963B2" w:rsidRDefault="006963B2" w:rsidP="006963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по восстановлению платежеспособности и росту уровня конкурентоспособности кредитного учреждения. План составляется совместно с 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надзорным</w:t>
            </w: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рганами 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="00494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0C4325"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Pr="006963B2">
              <w:rPr>
                <w:rFonts w:ascii="Times New Roman" w:eastAsia="Calibri" w:hAnsi="Times New Roman" w:cs="Times New Roman"/>
                <w:sz w:val="28"/>
                <w:szCs w:val="28"/>
              </w:rPr>
              <w:t>реструктуризацию капитала</w:t>
            </w:r>
          </w:p>
        </w:tc>
      </w:tr>
      <w:tr w:rsidR="000C4325" w:rsidRPr="004C093A" w:rsidTr="000C4325">
        <w:tc>
          <w:tcPr>
            <w:tcW w:w="3085" w:type="dxa"/>
          </w:tcPr>
          <w:p w:rsidR="000C4325" w:rsidRPr="005E636F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3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Продажа акций</w:t>
            </w:r>
          </w:p>
        </w:tc>
        <w:tc>
          <w:tcPr>
            <w:tcW w:w="6486" w:type="dxa"/>
          </w:tcPr>
          <w:p w:rsidR="000C4325" w:rsidRPr="005E636F" w:rsidRDefault="005E636F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36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акций кредитного учреждения посредством аукциона или конкретному собственнику</w:t>
            </w:r>
          </w:p>
        </w:tc>
      </w:tr>
    </w:tbl>
    <w:p w:rsidR="000C4325" w:rsidRPr="004C093A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4325" w:rsidRPr="002F7220" w:rsidRDefault="00A873E9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мнением 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Н.С. </w:t>
      </w:r>
      <w:proofErr w:type="spellStart"/>
      <w:r w:rsidR="00DA56F0" w:rsidRPr="002F7220">
        <w:rPr>
          <w:rFonts w:ascii="Times New Roman" w:eastAsia="Calibri" w:hAnsi="Times New Roman" w:cs="Times New Roman"/>
          <w:sz w:val="28"/>
          <w:szCs w:val="28"/>
        </w:rPr>
        <w:t>Дзюбан</w:t>
      </w:r>
      <w:r w:rsidRPr="002F722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F7220">
        <w:rPr>
          <w:rFonts w:ascii="Times New Roman" w:eastAsia="Calibri" w:hAnsi="Times New Roman" w:cs="Times New Roman"/>
          <w:sz w:val="28"/>
          <w:szCs w:val="28"/>
        </w:rPr>
        <w:t>,  приоритетным направлением является использование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 микроэкономических инструментов, </w:t>
      </w:r>
      <w:r w:rsidRPr="002F7220">
        <w:rPr>
          <w:rFonts w:ascii="Times New Roman" w:eastAsia="Calibri" w:hAnsi="Times New Roman" w:cs="Times New Roman"/>
          <w:sz w:val="28"/>
          <w:szCs w:val="28"/>
        </w:rPr>
        <w:t>применяемых на уровне отдельного кредитного учреждения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. Микроэкономические инструменты, </w:t>
      </w:r>
      <w:r w:rsidR="00453ABC" w:rsidRPr="002F7220">
        <w:rPr>
          <w:rFonts w:ascii="Times New Roman" w:eastAsia="Calibri" w:hAnsi="Times New Roman" w:cs="Times New Roman"/>
          <w:sz w:val="28"/>
          <w:szCs w:val="28"/>
        </w:rPr>
        <w:t xml:space="preserve">применяемые 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на уровне отдельных кредитных </w:t>
      </w:r>
      <w:r w:rsidR="00453ABC" w:rsidRPr="002F7220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ABC" w:rsidRPr="002F7220">
        <w:rPr>
          <w:rFonts w:ascii="Times New Roman" w:eastAsia="Calibri" w:hAnsi="Times New Roman" w:cs="Times New Roman"/>
          <w:sz w:val="28"/>
          <w:szCs w:val="28"/>
        </w:rPr>
        <w:t xml:space="preserve">подразделяются 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на две группы: количественные и качественные (см. </w:t>
      </w:r>
      <w:r w:rsidR="00C3156B" w:rsidRPr="002F7220">
        <w:rPr>
          <w:rFonts w:ascii="Times New Roman" w:eastAsia="Calibri" w:hAnsi="Times New Roman" w:cs="Times New Roman"/>
          <w:sz w:val="28"/>
          <w:szCs w:val="28"/>
        </w:rPr>
        <w:t>таблицу 1.</w:t>
      </w:r>
      <w:r w:rsidR="003E25E5" w:rsidRPr="002F7220">
        <w:rPr>
          <w:rFonts w:ascii="Times New Roman" w:eastAsia="Calibri" w:hAnsi="Times New Roman" w:cs="Times New Roman"/>
          <w:sz w:val="28"/>
          <w:szCs w:val="28"/>
        </w:rPr>
        <w:t>4</w:t>
      </w:r>
      <w:r w:rsidR="00C3156B" w:rsidRPr="002F7220">
        <w:rPr>
          <w:rFonts w:ascii="Times New Roman" w:eastAsia="Calibri" w:hAnsi="Times New Roman" w:cs="Times New Roman"/>
          <w:sz w:val="28"/>
          <w:szCs w:val="28"/>
        </w:rPr>
        <w:t>.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56F0" w:rsidRPr="002F7220" w:rsidRDefault="003E25E5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>Таблица 1.4</w:t>
      </w:r>
      <w:r w:rsidR="00C3156B" w:rsidRPr="002F7220">
        <w:rPr>
          <w:rFonts w:ascii="Times New Roman" w:eastAsia="Calibri" w:hAnsi="Times New Roman" w:cs="Times New Roman"/>
          <w:sz w:val="28"/>
          <w:szCs w:val="28"/>
        </w:rPr>
        <w:t>.</w:t>
      </w:r>
      <w:r w:rsidR="00DA56F0" w:rsidRPr="002F7220">
        <w:rPr>
          <w:rFonts w:ascii="Times New Roman" w:eastAsia="Calibri" w:hAnsi="Times New Roman" w:cs="Times New Roman"/>
          <w:sz w:val="28"/>
          <w:szCs w:val="28"/>
        </w:rPr>
        <w:t xml:space="preserve"> - Микроэкономические инструменты антикризисного управления кредитными организациями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28"/>
      </w:tblGrid>
      <w:tr w:rsidR="00DA56F0" w:rsidRPr="002F7220" w:rsidTr="00715EC2">
        <w:tc>
          <w:tcPr>
            <w:tcW w:w="2693" w:type="dxa"/>
          </w:tcPr>
          <w:p w:rsidR="00DA56F0" w:rsidRPr="002F7220" w:rsidRDefault="00DA56F0" w:rsidP="001773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628" w:type="dxa"/>
          </w:tcPr>
          <w:p w:rsidR="00DA56F0" w:rsidRPr="002F7220" w:rsidRDefault="00DA56F0" w:rsidP="001773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DA56F0" w:rsidRPr="002F7220" w:rsidTr="00715EC2">
        <w:tc>
          <w:tcPr>
            <w:tcW w:w="2693" w:type="dxa"/>
          </w:tcPr>
          <w:p w:rsidR="00DA56F0" w:rsidRPr="002F722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</w:p>
        </w:tc>
        <w:tc>
          <w:tcPr>
            <w:tcW w:w="6628" w:type="dxa"/>
          </w:tcPr>
          <w:p w:rsidR="00DA56F0" w:rsidRPr="002F7220" w:rsidRDefault="00453ABC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и установление лимитов для заемщика</w:t>
            </w:r>
          </w:p>
        </w:tc>
      </w:tr>
      <w:tr w:rsidR="00DA56F0" w:rsidRPr="002F7220" w:rsidTr="00715EC2">
        <w:tc>
          <w:tcPr>
            <w:tcW w:w="2693" w:type="dxa"/>
          </w:tcPr>
          <w:p w:rsidR="00DA56F0" w:rsidRPr="002F722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628" w:type="dxa"/>
          </w:tcPr>
          <w:p w:rsidR="00DA56F0" w:rsidRPr="002F722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Стресс тестирование (оценка показателей)</w:t>
            </w:r>
          </w:p>
        </w:tc>
      </w:tr>
      <w:tr w:rsidR="00DA56F0" w:rsidRPr="002F7220" w:rsidTr="00715EC2">
        <w:tc>
          <w:tcPr>
            <w:tcW w:w="2693" w:type="dxa"/>
          </w:tcPr>
          <w:p w:rsidR="00DA56F0" w:rsidRPr="002F722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рисками</w:t>
            </w:r>
          </w:p>
        </w:tc>
        <w:tc>
          <w:tcPr>
            <w:tcW w:w="6628" w:type="dxa"/>
          </w:tcPr>
          <w:p w:rsidR="00DA56F0" w:rsidRPr="002F722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«Суммы под риском» - максимального потенциального убытка при определенном интервале времени</w:t>
            </w:r>
          </w:p>
        </w:tc>
      </w:tr>
      <w:tr w:rsidR="00DA56F0" w:rsidRPr="002F7220" w:rsidTr="00715EC2">
        <w:tc>
          <w:tcPr>
            <w:tcW w:w="2693" w:type="dxa"/>
          </w:tcPr>
          <w:p w:rsidR="00DA56F0" w:rsidRPr="002F722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6628" w:type="dxa"/>
          </w:tcPr>
          <w:p w:rsidR="00DA56F0" w:rsidRPr="002F722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22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размеров резервов</w:t>
            </w:r>
          </w:p>
        </w:tc>
      </w:tr>
    </w:tbl>
    <w:p w:rsidR="00DA56F0" w:rsidRPr="002F722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6F0" w:rsidRPr="002F722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Аналитиками компании </w:t>
      </w:r>
      <w:proofErr w:type="spellStart"/>
      <w:r w:rsidRPr="002F7220">
        <w:rPr>
          <w:rFonts w:ascii="Times New Roman" w:eastAsia="Calibri" w:hAnsi="Times New Roman" w:cs="Times New Roman"/>
          <w:sz w:val="28"/>
          <w:szCs w:val="28"/>
        </w:rPr>
        <w:t>Ernst</w:t>
      </w:r>
      <w:proofErr w:type="spellEnd"/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 w:rsidRPr="002F7220">
        <w:rPr>
          <w:rFonts w:ascii="Times New Roman" w:eastAsia="Calibri" w:hAnsi="Times New Roman" w:cs="Times New Roman"/>
          <w:sz w:val="28"/>
          <w:szCs w:val="28"/>
        </w:rPr>
        <w:t>Young</w:t>
      </w:r>
      <w:proofErr w:type="spellEnd"/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 были опубликованы результаты аналитических исследований, проведенных с целью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наиболее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>применяемые</w:t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инструменты антикризисного управления кредитными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 xml:space="preserve">учреждениями </w:t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- так, установлено, что чаще всего руководство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 xml:space="preserve">коммерческих </w:t>
      </w:r>
      <w:r w:rsidRPr="002F7220">
        <w:rPr>
          <w:rFonts w:ascii="Times New Roman" w:eastAsia="Calibri" w:hAnsi="Times New Roman" w:cs="Times New Roman"/>
          <w:sz w:val="28"/>
          <w:szCs w:val="28"/>
        </w:rPr>
        <w:lastRenderedPageBreak/>
        <w:t>банков использует такие традиционные инструменты, как кредитные лимиты и лимиты концентрации на контрагентов</w:t>
      </w:r>
      <w:r w:rsidR="00715EC2" w:rsidRPr="002F7220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0"/>
      </w:r>
      <w:r w:rsidRPr="002F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F0" w:rsidRPr="002F722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>По нашему мнению, в рамках антикризисного управления кредитными организациями необходимо комплексно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>е сочетание макроэкономических и микроэкономических</w:t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>ов</w:t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, что позволит увеличить эффективность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 xml:space="preserve">и рациональность </w:t>
      </w:r>
      <w:r w:rsidRPr="002F7220">
        <w:rPr>
          <w:rFonts w:ascii="Times New Roman" w:eastAsia="Calibri" w:hAnsi="Times New Roman" w:cs="Times New Roman"/>
          <w:sz w:val="28"/>
          <w:szCs w:val="28"/>
        </w:rPr>
        <w:t>проводимых мероприятий антикризисного управления.</w:t>
      </w:r>
    </w:p>
    <w:p w:rsidR="00DA56F0" w:rsidRPr="002F7220" w:rsidRDefault="00DA56F0" w:rsidP="002F72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В то же время, на уровне кредитной организации проводятся стресс-тестирование, пересмотр размеров резервов </w:t>
      </w:r>
      <w:r w:rsidR="002F7220" w:rsidRPr="002F7220">
        <w:rPr>
          <w:rFonts w:ascii="Times New Roman" w:eastAsia="Calibri" w:hAnsi="Times New Roman" w:cs="Times New Roman"/>
          <w:sz w:val="28"/>
          <w:szCs w:val="28"/>
        </w:rPr>
        <w:t>и политики внутреннего контроля</w:t>
      </w:r>
      <w:r w:rsidR="00715EC2" w:rsidRPr="002F7220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1"/>
      </w:r>
      <w:r w:rsidRPr="002F72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20">
        <w:rPr>
          <w:rFonts w:ascii="Times New Roman" w:eastAsia="Calibri" w:hAnsi="Times New Roman" w:cs="Times New Roman"/>
          <w:sz w:val="28"/>
          <w:szCs w:val="28"/>
        </w:rPr>
        <w:t>Таким образом, эффективное использование макроэкономических и микроэкономических инструментов антикризисного управления в условиях ухудшения геополитических условий обеспечивает снижение системных рисков в банковском секторе и повышает финансовую устойчивость кредитных организаций к внешним шокам.</w:t>
      </w: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220" w:rsidRDefault="002F722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5A" w:rsidRPr="00AF025A" w:rsidRDefault="00AF025A" w:rsidP="00AF02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2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Анализ финансового состояния кредитной организации на примере ПАО «Почта Банк»</w:t>
      </w:r>
    </w:p>
    <w:p w:rsidR="00AF025A" w:rsidRPr="00AF025A" w:rsidRDefault="00C22F73" w:rsidP="00AF02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 Организационно-</w:t>
      </w:r>
      <w:r w:rsidR="00AF025A" w:rsidRPr="00AF025A">
        <w:rPr>
          <w:rFonts w:ascii="Times New Roman" w:eastAsia="Calibri" w:hAnsi="Times New Roman" w:cs="Times New Roman"/>
          <w:b/>
          <w:sz w:val="28"/>
          <w:szCs w:val="28"/>
        </w:rPr>
        <w:t>экономическая характеристика кредитной организации ПАО  «Почта Банк»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22F73" w:rsidRPr="00C22F73" w:rsidRDefault="00C22F73" w:rsidP="00C2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ПАО «Почта Банк» создан решением учредителей-пайщиков от 28 сентября 1990 года. </w:t>
      </w:r>
      <w:proofErr w:type="gramStart"/>
      <w:r w:rsidRPr="00C22F73">
        <w:rPr>
          <w:rFonts w:ascii="Times New Roman" w:eastAsia="Calibri" w:hAnsi="Times New Roman" w:cs="Times New Roman"/>
          <w:sz w:val="28"/>
          <w:szCs w:val="28"/>
        </w:rPr>
        <w:t>Дата регистрации Банка Госбанком РСФСР с первоначальным наименованием Коммерческий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-банк»: 31 октября 1990 г. Решением собрания учредителей от 27 октября 1992 г. Коммерческий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 реорганизован в форме преобразования в акционерное общество открытого типа с наименованием коммерческий акционерный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-банк», регистрационный номер Банка, присвоенный ему Госбанком РСФСР 31 октября 1990 г., т.е. до государственной регистрации реорганизации Банка в</w:t>
      </w:r>
      <w:proofErr w:type="gram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форме преобразования, </w:t>
      </w:r>
      <w:proofErr w:type="gramStart"/>
      <w:r w:rsidRPr="00C22F73">
        <w:rPr>
          <w:rFonts w:ascii="Times New Roman" w:eastAsia="Calibri" w:hAnsi="Times New Roman" w:cs="Times New Roman"/>
          <w:sz w:val="28"/>
          <w:szCs w:val="28"/>
        </w:rPr>
        <w:t>оставлен</w:t>
      </w:r>
      <w:proofErr w:type="gram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без изменений. Дата перерегистрации Банка ГУ ЦБ РФ по Брянской области: 11 ноября 1992 г.</w:t>
      </w:r>
    </w:p>
    <w:p w:rsidR="002427BF" w:rsidRDefault="00C22F73" w:rsidP="00715E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С 2012 года Банк является дочерней организацией ВТБ 24 (ПАО) и входит в состав участников банковской группы, головной организацией которой является Банк ВТБ (ПАО). В 2012 году в результате 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ребрендинга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Банк был переименован в ОАО «Лето Банк» и изменил место нахождения на г. Москва. </w:t>
      </w:r>
    </w:p>
    <w:p w:rsidR="00AF025A" w:rsidRDefault="00C22F73" w:rsidP="00C22F7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>Группа ВТБ обладает уникальной для российских банков международной сетью, которая насчитывает более 20 кредитных и финансовых компаний в Российской Федерации и за рубежом, которая предоставляет своим клиентам комплексное обслуживание в странах СНГ, Европы, Азии и Африки. На российском банковском рынке группа ВТБ занимает второе место по всем основным показателям.</w:t>
      </w:r>
    </w:p>
    <w:p w:rsidR="002427BF" w:rsidRPr="00593FF0" w:rsidRDefault="002427BF" w:rsidP="00242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FF0">
        <w:rPr>
          <w:noProof/>
          <w:lang w:eastAsia="ru-RU"/>
        </w:rPr>
        <w:lastRenderedPageBreak/>
        <w:drawing>
          <wp:inline distT="0" distB="0" distL="0" distR="0" wp14:anchorId="2595ED30" wp14:editId="03B91273">
            <wp:extent cx="4890976" cy="419079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1956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3FF0">
        <w:rPr>
          <w:rFonts w:ascii="Times New Roman" w:hAnsi="Times New Roman" w:cs="Times New Roman"/>
          <w:sz w:val="28"/>
          <w:szCs w:val="28"/>
        </w:rPr>
        <w:t xml:space="preserve">. – Структура органов управления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</w:p>
    <w:p w:rsidR="002427BF" w:rsidRDefault="002427BF" w:rsidP="002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Система корпоративного управления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F0">
        <w:rPr>
          <w:rFonts w:ascii="Times New Roman" w:hAnsi="Times New Roman" w:cs="Times New Roman"/>
          <w:sz w:val="28"/>
          <w:szCs w:val="28"/>
        </w:rPr>
        <w:t>строится на принципе безусловного соблюдения требований российского законодательства и Банка России и максимально учитывает лучшую мировую практику.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F0">
        <w:rPr>
          <w:rFonts w:ascii="Times New Roman" w:hAnsi="Times New Roman" w:cs="Times New Roman"/>
          <w:sz w:val="28"/>
          <w:szCs w:val="28"/>
        </w:rPr>
        <w:t>гарантирует равное отношение ко всем акционерам.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Высшим органом управления банка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является Общее собрание акционеров</w:t>
      </w:r>
      <w:r>
        <w:rPr>
          <w:rFonts w:ascii="Times New Roman" w:hAnsi="Times New Roman" w:cs="Times New Roman"/>
          <w:sz w:val="28"/>
          <w:szCs w:val="28"/>
        </w:rPr>
        <w:t xml:space="preserve"> (ПАО «ВТБ 24)</w:t>
      </w:r>
      <w:r w:rsidRPr="00593FF0">
        <w:rPr>
          <w:rFonts w:ascii="Times New Roman" w:hAnsi="Times New Roman" w:cs="Times New Roman"/>
          <w:sz w:val="28"/>
          <w:szCs w:val="28"/>
        </w:rPr>
        <w:t xml:space="preserve">. Наблюдательный совет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, избираемый акционерами и им подотчетный, обеспечивает стратегическое управление и контроль деятельности исполнительных органов – Президента – Председателя Правления и Правления.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Исполнительные органы осуществляют текущее руководство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и реализуют задачи, поставленные перед ними акционерами и Наблюдательным советом.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lastRenderedPageBreak/>
        <w:t xml:space="preserve">Система корпоративного управления и внутреннего контроля финансово-хозяйственной деятельности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>направлена в первую очередь на защиту прав и интересов акционеров.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При Наблюдательном совете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функционирует Комитет по аудиту, который совместно с Департаментом внутреннего аудита помогает органам управления обеспечивать эффективную работу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 xml:space="preserve">. В целях проведения проверки и подтверждения финансовой отчетности банк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привлекает внешнего аудитора, не связанного имущественными интересами с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и его акционерами. Ревизионная комиссия осуществляет </w:t>
      </w:r>
      <w:proofErr w:type="gramStart"/>
      <w:r w:rsidRPr="00593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FF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>Действующий при Наблюдательном совете Комитет по кадрам и вознаграждениям готовит рекомендации по ключевым вопросам назначений и мотивации членов Наблюдательного совета, исполнительных органов и органов контроля.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Комитет Наблюдательного совета по стратегии и корпоративному управлению рассматривает и готовит рекомендации по вопросам стратегического развития, повышения уровня 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593FF0">
        <w:rPr>
          <w:rFonts w:ascii="Times New Roman" w:hAnsi="Times New Roman" w:cs="Times New Roman"/>
          <w:sz w:val="28"/>
          <w:szCs w:val="28"/>
        </w:rPr>
        <w:t xml:space="preserve">и совершенствования управления собственным капиталом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.</w:t>
      </w:r>
    </w:p>
    <w:p w:rsidR="00C22F73" w:rsidRPr="00C22F73" w:rsidRDefault="00C22F73" w:rsidP="00C2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Продуктовое предложение </w:t>
      </w:r>
      <w:r w:rsidR="00EF1F3F" w:rsidRPr="00EF1F3F">
        <w:rPr>
          <w:rFonts w:ascii="Times New Roman" w:eastAsia="Calibri" w:hAnsi="Times New Roman" w:cs="Times New Roman"/>
          <w:sz w:val="28"/>
          <w:szCs w:val="28"/>
        </w:rPr>
        <w:t xml:space="preserve">ПАО «Почта Банк» </w:t>
      </w: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нецелевые потребительские кредиты, выдаваемые в собственной сети отделений, кредиты на покупки в торговых организациях-партнерах, кредитные карты, сберегательные счета и вклады, а также обслуживание зарплатных клиентов. Посредством каналов дистанционного обслуживания (интернет-банк и мобильное приложение) и 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банкоматной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сети предоставляются услуги по платежам и переводам денежных средств. Банк также предлагает специальные условия для пенсионеров и онлайн-покупателей.</w:t>
      </w:r>
    </w:p>
    <w:p w:rsidR="00C22F73" w:rsidRDefault="00C22F7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 </w:t>
      </w:r>
      <w:r w:rsidR="00EF1F3F" w:rsidRPr="00EF1F3F">
        <w:rPr>
          <w:rFonts w:ascii="Times New Roman" w:eastAsia="Calibri" w:hAnsi="Times New Roman" w:cs="Times New Roman"/>
          <w:sz w:val="28"/>
          <w:szCs w:val="28"/>
        </w:rPr>
        <w:t xml:space="preserve">ПАО «Почта Банк» </w:t>
      </w: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максимально качественное банковское обслуживание клиентов. В рамках утвержденной стратегии развития Банк разрабатывает и совершенствует линейки продуктов и услуг для клиентов - физических лиц, преимуществами которых являются выгодные условия кредитования, высокое качество клиентского обслуживания, технические возможности банкинга и индивидуальный подход к заемщикам.</w:t>
      </w:r>
    </w:p>
    <w:p w:rsidR="00C22F7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BF3">
        <w:rPr>
          <w:rFonts w:ascii="Times New Roman" w:eastAsia="Calibri" w:hAnsi="Times New Roman" w:cs="Times New Roman"/>
          <w:sz w:val="28"/>
          <w:szCs w:val="28"/>
        </w:rPr>
        <w:t>Результаты развития ПАО «Почта Банк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12BF3">
        <w:rPr>
          <w:rFonts w:ascii="Times New Roman" w:eastAsia="Calibri" w:hAnsi="Times New Roman" w:cs="Times New Roman"/>
          <w:sz w:val="28"/>
          <w:szCs w:val="28"/>
        </w:rPr>
        <w:t xml:space="preserve"> по приоритетным напра</w:t>
      </w:r>
      <w:r>
        <w:rPr>
          <w:rFonts w:ascii="Times New Roman" w:eastAsia="Calibri" w:hAnsi="Times New Roman" w:cs="Times New Roman"/>
          <w:sz w:val="28"/>
          <w:szCs w:val="28"/>
        </w:rPr>
        <w:t>влениям деятельности за 2016 год приведены в таблице 2.1.</w:t>
      </w:r>
    </w:p>
    <w:p w:rsidR="00012BF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2.1. - </w:t>
      </w:r>
      <w:r w:rsidRPr="00012BF3">
        <w:rPr>
          <w:rFonts w:ascii="Times New Roman" w:eastAsia="Calibri" w:hAnsi="Times New Roman" w:cs="Times New Roman"/>
          <w:sz w:val="28"/>
          <w:szCs w:val="28"/>
        </w:rPr>
        <w:t>Результаты развития ПАО «Почта Банк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0D69BB" w:rsidTr="00C3156B"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01.01.16 год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01.01.17 год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</w:t>
            </w:r>
          </w:p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(+,-)</w:t>
            </w:r>
          </w:p>
        </w:tc>
      </w:tr>
      <w:tr w:rsidR="000D69BB" w:rsidTr="00C3156B"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1416771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84181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-1332590</w:t>
            </w:r>
          </w:p>
        </w:tc>
      </w:tr>
      <w:tr w:rsidR="000D69BB" w:rsidTr="00C3156B"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ROA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(прибыль/средние активы)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-2,0</w:t>
            </w:r>
          </w:p>
        </w:tc>
      </w:tr>
      <w:tr w:rsidR="000D69BB" w:rsidTr="00C3156B"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(прибыль/средний капитал)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17,3%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-16,5</w:t>
            </w:r>
          </w:p>
        </w:tc>
      </w:tr>
      <w:tr w:rsidR="000D69BB" w:rsidTr="00C3156B">
        <w:trPr>
          <w:trHeight w:val="252"/>
        </w:trPr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CIR</w:t>
            </w:r>
            <w:r w:rsidRPr="000D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неоперац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расходы/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результат)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34,9%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49,4%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+14,5</w:t>
            </w:r>
          </w:p>
        </w:tc>
      </w:tr>
      <w:tr w:rsidR="000D69BB" w:rsidTr="00C3156B">
        <w:trPr>
          <w:trHeight w:val="234"/>
        </w:trPr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Чистая % маржа (чистые % доходы/средние процентные активы)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+8,8</w:t>
            </w:r>
          </w:p>
        </w:tc>
      </w:tr>
    </w:tbl>
    <w:p w:rsidR="00012BF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5A" w:rsidRDefault="00256A7D" w:rsidP="00256A7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3FFC6" wp14:editId="78177887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A7D" w:rsidRDefault="00256A7D" w:rsidP="00256A7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2.2. – Динамика чистой прибыли ПАО «Почта Банк»</w:t>
      </w:r>
    </w:p>
    <w:p w:rsidR="005D6831" w:rsidRDefault="00C3156B" w:rsidP="00C315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показывают данные таблицы 2.1. и рисунка 2.2., по результатам деятельности банка в 2016 году величина чистой прибыли банка значительно снизилась, а именно на 94,06%. Причина данного снижения будут выявлены в ходе оценки финансового состояния и ликвидности банка. 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31">
        <w:rPr>
          <w:rFonts w:ascii="Times New Roman" w:eastAsia="Calibri" w:hAnsi="Times New Roman" w:cs="Times New Roman"/>
          <w:sz w:val="28"/>
          <w:szCs w:val="28"/>
        </w:rPr>
        <w:t>Основными направлениями деятельности ПАО «Почта Банк</w:t>
      </w:r>
      <w:r w:rsidR="00012BF3">
        <w:rPr>
          <w:rFonts w:ascii="Times New Roman" w:eastAsia="Calibri" w:hAnsi="Times New Roman" w:cs="Times New Roman"/>
          <w:sz w:val="28"/>
          <w:szCs w:val="28"/>
        </w:rPr>
        <w:t>»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году стали: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Кредитование населения в </w:t>
      </w:r>
      <w:proofErr w:type="gramStart"/>
      <w:r w:rsidRPr="005D6831">
        <w:rPr>
          <w:rFonts w:ascii="Times New Roman" w:eastAsia="Calibri" w:hAnsi="Times New Roman" w:cs="Times New Roman"/>
          <w:sz w:val="28"/>
          <w:szCs w:val="28"/>
        </w:rPr>
        <w:t>массовом</w:t>
      </w:r>
      <w:proofErr w:type="gramEnd"/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и нижне-массовом сегментах через собственные клиентские центры, отделения почтовой связи, магазины-партнеры и стойки продаж;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Привлечение средств населения в депозиты и на сберегательные счета;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Запуск и развитие сети окон продаж в отделениях ФГУП «Почта России»;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Запуск зарплатных проектов и привлечение пенсионеров для получения пенсии на карту ПАО «Почта Банк;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Увеличение доли продаж через дистанционные каналы банковского обслуживания;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Оптимизация клиентской сети в соответствии со стратегией развития;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Формирование широкой сети устройств самообслуживания;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Создание и развитие, технологий, ИТ-систем, уникальных продуктов, эффективных систем продаж и управления рисками;</w:t>
      </w:r>
    </w:p>
    <w:p w:rsid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Поддержание принципов открытости и прозрачности бизнеса, предложение населению качественных и доступных финансовых услуг.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156B" w:rsidRPr="00C3156B" w:rsidRDefault="00C3156B" w:rsidP="00C3156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5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  Анализ финансового состояния банка (На основе методики анализа финансового состояния банка, утвержденной в Центральном Банке России (про баланс)) </w:t>
      </w:r>
    </w:p>
    <w:p w:rsidR="00177316" w:rsidRDefault="004120EF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«Почта Банк»  занимает 32 место в рейтинге по активам-нетто среди крупнейших российских банков. Проанализируем структуру актива баланса ПАО «Почта Банк» (см. таблицу 2.2.). </w:t>
      </w:r>
    </w:p>
    <w:p w:rsidR="004120EF" w:rsidRDefault="004120EF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2.2. – Структура актива баланса ПАО «Почта Банк»</w:t>
      </w:r>
    </w:p>
    <w:tbl>
      <w:tblPr>
        <w:tblW w:w="8869" w:type="dxa"/>
        <w:jc w:val="center"/>
        <w:tblInd w:w="93" w:type="dxa"/>
        <w:tblLook w:val="04A0" w:firstRow="1" w:lastRow="0" w:firstColumn="1" w:lastColumn="0" w:noHBand="0" w:noVBand="1"/>
      </w:tblPr>
      <w:tblGrid>
        <w:gridCol w:w="3680"/>
        <w:gridCol w:w="1540"/>
        <w:gridCol w:w="2050"/>
        <w:gridCol w:w="1599"/>
      </w:tblGrid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марта 2017 года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0EF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2018 года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АКТИВЫ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7 549 453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15 534 862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205,77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резервы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1 416 103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1 390 173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98,17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Ссудная задолженность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121 915 151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258 357 870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211,92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841 550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153009,09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 расчетах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556 164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620 605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Дебиторская задолженность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5 004 479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5 140 463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102,72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получению 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1 019 646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1 853 088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181,74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4 146 225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5 880 910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141,84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активы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304 846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512 106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167,99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4 609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Отложенный 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4 392 503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3 351 124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Итого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146 309 729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293 482 751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200,59</w:t>
            </w:r>
          </w:p>
        </w:tc>
      </w:tr>
    </w:tbl>
    <w:p w:rsidR="00BC5712" w:rsidRDefault="00BC571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25ABA" wp14:editId="348BD55F">
            <wp:extent cx="4572000" cy="27432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2.3. – Динамика актива баланса ПАО «Почта Банк»</w:t>
      </w:r>
    </w:p>
    <w:p w:rsidR="004120EF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Данные таблицы 2.2. и рисунка 2.3. показывают рост общей величины активов ПАО «Почта Банк» по состоянию на 1 марта 2018 года в сравнении с данными на 1 марта 2017 года: темп роста составил 200,59%. Данный рост является следствием увеличения величины наличности – на 105,77%, ссудной задолженности – на 111,92% за анализируемый период, объема требований по получению процентов – на 81,74%, имущества – на 41,84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% и величины прочих активов – на 67,99%. Так же стоит отметить значительный рост величины стоимости финансовых инструментов – более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в тысячу раз. </w:t>
      </w:r>
    </w:p>
    <w:p w:rsidR="00727349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 в величине стоимости отмечается по следующим активам банка: обязательных резервов –  на 1,83% и размера отложенного налога на прибыль – на 23,71%. </w:t>
      </w:r>
    </w:p>
    <w:p w:rsidR="00727349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рассмотрим структуру актива баланса ПАО «Почта Банк» по состоянию на 01 марта 2018 года (см. рисунок 2.4.).</w:t>
      </w:r>
    </w:p>
    <w:p w:rsidR="00727349" w:rsidRDefault="00727349" w:rsidP="0072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7C57C" wp14:editId="14AFD9D3">
            <wp:extent cx="5273749" cy="3221665"/>
            <wp:effectExtent l="0" t="0" r="2222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2.4. – Структура актива баланса ПАО «Почта Банк» на 01.03.2018 год</w:t>
      </w:r>
    </w:p>
    <w:p w:rsidR="00551A0D" w:rsidRDefault="00551A0D" w:rsidP="00551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190" w:rsidRDefault="008107C4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рисунка 2.4., можно сделать вывод, что наибольший удельный вес </w:t>
      </w:r>
      <w:r w:rsidR="00551A0D">
        <w:rPr>
          <w:rFonts w:ascii="Times New Roman" w:eastAsia="Calibri" w:hAnsi="Times New Roman" w:cs="Times New Roman"/>
          <w:sz w:val="28"/>
          <w:szCs w:val="28"/>
        </w:rPr>
        <w:t xml:space="preserve">в структуре актива ПАО «Почта Банк»  занимает ссудная </w:t>
      </w:r>
      <w:r w:rsidR="00551A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задолженность – 84%, что свидетельствует о значительных объемах дебиторской задолженности банка. </w:t>
      </w:r>
    </w:p>
    <w:p w:rsidR="00551A0D" w:rsidRDefault="00551A0D" w:rsidP="0055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рисунке 2.5. приведена структура активов ПАО «Почта Банк»  по состоянию на 1 марта 2017 года.</w:t>
      </w:r>
    </w:p>
    <w:p w:rsidR="00B95190" w:rsidRDefault="00B95190" w:rsidP="00551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5CCB6" wp14:editId="69BA761F">
            <wp:extent cx="5092995" cy="3476846"/>
            <wp:effectExtent l="0" t="0" r="1270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2.5. – Структура актива баланса ПАО «Почта Банк» на 01.03.2017 год</w:t>
      </w:r>
    </w:p>
    <w:p w:rsidR="00CA6C27" w:rsidRDefault="00CA6C27" w:rsidP="00CA6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0EF" w:rsidRDefault="00CA6C27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данных рисунка 2.5., можно сделать вывод, что наибольший удельный вес в структуре актива баланса ПАО «Почта Банк»</w:t>
      </w:r>
      <w:r w:rsidR="00BC76D2">
        <w:rPr>
          <w:rFonts w:ascii="Times New Roman" w:eastAsia="Calibri" w:hAnsi="Times New Roman" w:cs="Times New Roman"/>
          <w:sz w:val="28"/>
          <w:szCs w:val="28"/>
        </w:rPr>
        <w:t xml:space="preserve"> занимает так же ссудная задолженность (аналогично состоянию структуры на 01 марта 2018 года).  Доля ссудной задолженности составила 89% от общей величины актива банка.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рассмотрим структуру пассива баланса ПАО «Почта Банк» (см. таблицу 2.3.).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0EF" w:rsidRDefault="004120EF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2.3. – Структура </w:t>
      </w:r>
      <w:r w:rsidR="00BC76D2">
        <w:rPr>
          <w:rFonts w:ascii="Times New Roman" w:eastAsia="Calibri" w:hAnsi="Times New Roman" w:cs="Times New Roman"/>
          <w:sz w:val="28"/>
          <w:szCs w:val="28"/>
        </w:rPr>
        <w:t>пассива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баланса ПАО «Почта Банк»</w:t>
      </w:r>
    </w:p>
    <w:tbl>
      <w:tblPr>
        <w:tblW w:w="8869" w:type="dxa"/>
        <w:jc w:val="center"/>
        <w:tblInd w:w="93" w:type="dxa"/>
        <w:tblLook w:val="04A0" w:firstRow="1" w:lastRow="0" w:firstColumn="1" w:lastColumn="0" w:noHBand="0" w:noVBand="1"/>
      </w:tblPr>
      <w:tblGrid>
        <w:gridCol w:w="3680"/>
        <w:gridCol w:w="1540"/>
        <w:gridCol w:w="1767"/>
        <w:gridCol w:w="1882"/>
      </w:tblGrid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марта 2017 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марта 2018 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ПАССИВЫ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собственных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14 698 558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26 584 674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180,87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возможные потери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30 747 277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30 728 271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96 799 395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228 576 658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236,13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4 064 499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7 593 148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186,82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Итого пассивов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146 309 729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293 482 751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200,59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Активы, приносящие прямой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121 915 701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259 199 420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212,61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генерирующие процентные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96 799 395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757FEB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228 576 658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236,13</w:t>
            </w:r>
          </w:p>
        </w:tc>
      </w:tr>
    </w:tbl>
    <w:p w:rsidR="00BC5712" w:rsidRDefault="00BC571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BC57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0BC293" wp14:editId="7F0BC25B">
            <wp:extent cx="4848446" cy="2966484"/>
            <wp:effectExtent l="0" t="0" r="9525" b="2476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2.6. –</w:t>
      </w:r>
      <w:r w:rsidR="00BC76D2">
        <w:rPr>
          <w:rFonts w:ascii="Times New Roman" w:eastAsia="Calibri" w:hAnsi="Times New Roman" w:cs="Times New Roman"/>
          <w:sz w:val="28"/>
          <w:szCs w:val="28"/>
        </w:rPr>
        <w:t xml:space="preserve"> Динамика пассива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баланса ПАО «Почта Банк»</w:t>
      </w:r>
    </w:p>
    <w:p w:rsidR="00BC76D2" w:rsidRDefault="00BC76D2" w:rsidP="00BC7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таблицы 2.3. и рисунка 2.6.  показывает рост величины источников финансирования ПАО «Почта Банк». Положительным эффектов является увеличение размера собственных средств банка: на 80,87%  на 1 марта 2018 года по сравнению с данными прошлого года. Так же отмечается значительный рост величины привлеченных средств банка – на 136,13%. Незначительное снижение величины отмечается по резервам на возможные потери – на 0,06%.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рисунке 2.7. приведена структура пассива баланса банка на 1 марта 2018 года.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190" w:rsidRDefault="00B95190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F18C8" wp14:editId="5E22CF43">
            <wp:extent cx="5348177" cy="2551814"/>
            <wp:effectExtent l="0" t="0" r="24130" b="2032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2.7. – Структура пассива баланса ПАО «Почта Банк» на 01.03.2018 год</w:t>
      </w:r>
    </w:p>
    <w:p w:rsidR="00B95190" w:rsidRDefault="00B95190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E313E1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структуре пассива баланса ПАО «Почта Банк» по данным на 1 марта 2018 года, как показывает рисунок 2.7., занимают привлеченные средства, что свидетельствует о высоком уровне финансовой зависимости банка от внешних кредиторов. Доля привлеченных средств в общей структуре источников финансирования занимает 78%.</w:t>
      </w:r>
    </w:p>
    <w:p w:rsidR="00E313E1" w:rsidRDefault="00E313E1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95190" w:rsidP="00BC57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9A72F4" wp14:editId="63A67422">
            <wp:extent cx="5050465" cy="2381693"/>
            <wp:effectExtent l="0" t="0" r="17145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2.8. – Структура пассива баланса ПАО «Почта Банк» на 01.03.2017 год</w:t>
      </w:r>
    </w:p>
    <w:p w:rsidR="00E313E1" w:rsidRDefault="00E313E1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3E1" w:rsidRDefault="00E313E1" w:rsidP="00E31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марта 2017 года, в структуре источников финансирования так же преобладают привлеченные средства – 66%. При этом по результатам 2017 года доля резервов на возможные потери превышала долю резервов в 2018 году – 21% от общей структуры источников финансирования банка. </w:t>
      </w:r>
    </w:p>
    <w:p w:rsidR="008F1F2C" w:rsidRPr="008F1F2C" w:rsidRDefault="00E313E1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605BB0">
        <w:rPr>
          <w:rFonts w:ascii="Times New Roman" w:eastAsia="Calibri" w:hAnsi="Times New Roman" w:cs="Times New Roman"/>
          <w:sz w:val="28"/>
          <w:szCs w:val="28"/>
        </w:rPr>
        <w:t xml:space="preserve"> по данным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а отчетную дату (01 Марта 2018 г.) </w:t>
      </w:r>
      <w:r w:rsidR="00605BB0">
        <w:rPr>
          <w:rFonts w:ascii="Times New Roman" w:eastAsia="Calibri" w:hAnsi="Times New Roman" w:cs="Times New Roman"/>
          <w:sz w:val="28"/>
          <w:szCs w:val="28"/>
        </w:rPr>
        <w:t>объем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 активов-нетто банка </w:t>
      </w:r>
      <w:r w:rsidR="00605BB0">
        <w:rPr>
          <w:rFonts w:ascii="Times New Roman" w:eastAsia="Calibri" w:hAnsi="Times New Roman" w:cs="Times New Roman"/>
          <w:sz w:val="28"/>
          <w:szCs w:val="28"/>
        </w:rPr>
        <w:t>ПАО «Почта банк»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293,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proofErr w:type="spellStart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Start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. За год </w:t>
      </w:r>
      <w:r w:rsidR="001301F7">
        <w:rPr>
          <w:rFonts w:ascii="Times New Roman" w:eastAsia="Calibri" w:hAnsi="Times New Roman" w:cs="Times New Roman"/>
          <w:sz w:val="28"/>
          <w:szCs w:val="28"/>
        </w:rPr>
        <w:t xml:space="preserve">величина 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>актив</w:t>
      </w:r>
      <w:r w:rsidR="001301F7">
        <w:rPr>
          <w:rFonts w:ascii="Times New Roman" w:eastAsia="Calibri" w:hAnsi="Times New Roman" w:cs="Times New Roman"/>
          <w:sz w:val="28"/>
          <w:szCs w:val="28"/>
        </w:rPr>
        <w:t>ов возросла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 на 100,59%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 Прирост активов-нетто </w:t>
      </w:r>
      <w:r w:rsidR="001301F7">
        <w:rPr>
          <w:rFonts w:ascii="Times New Roman" w:eastAsia="Calibri" w:hAnsi="Times New Roman" w:cs="Times New Roman"/>
          <w:sz w:val="28"/>
          <w:szCs w:val="28"/>
        </w:rPr>
        <w:t xml:space="preserve">оказал положительное воздействие 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>на показатель рентабельности активов ROI (данные на 01 Января 2018 г.): за год рентабельность активов-нетт</w:t>
      </w:r>
      <w:r w:rsidR="002B5D00">
        <w:rPr>
          <w:rFonts w:ascii="Times New Roman" w:eastAsia="Calibri" w:hAnsi="Times New Roman" w:cs="Times New Roman"/>
          <w:sz w:val="28"/>
          <w:szCs w:val="28"/>
        </w:rPr>
        <w:t>о выросла с 0,72% до 3,45%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F2C" w:rsidRPr="008F1F2C" w:rsidRDefault="008F1F2C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2C">
        <w:rPr>
          <w:rFonts w:ascii="Times New Roman" w:eastAsia="Calibri" w:hAnsi="Times New Roman" w:cs="Times New Roman"/>
          <w:sz w:val="28"/>
          <w:szCs w:val="28"/>
        </w:rPr>
        <w:t>По оказываемым услугам банк в основном привлекает клиентские деньги, причем больше средств населения (т.е. в этом смысле является розничным клиентским), а вкладывает средства в основном в кредиты, причем больше в кредиты физическим лицам (т.е. является розничным кредитным).</w:t>
      </w:r>
    </w:p>
    <w:p w:rsidR="008F1F2C" w:rsidRPr="004120EF" w:rsidRDefault="008F1F2C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 приносящих доход банка составляет</w:t>
      </w:r>
      <w:proofErr w:type="gramEnd"/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6" w:history="1">
        <w:r w:rsidRPr="004120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88.32%</w:t>
        </w:r>
      </w:hyperlink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объеме активов, а объем процентных обязательств составляет </w:t>
      </w:r>
      <w:hyperlink r:id="rId57" w:history="1">
        <w:r w:rsidRPr="004120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77.88%</w:t>
        </w:r>
      </w:hyperlink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объеме пассивов. Объем доходных активов примерно соответствует среднему показателю по крупным российским банкам (84%)</w:t>
      </w:r>
      <w:r w:rsidR="002B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структура приведена в таблице 2.4</w:t>
      </w: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0EF" w:rsidRPr="004120EF" w:rsidRDefault="004120EF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2.4. – Структура доходных активов</w:t>
      </w:r>
    </w:p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2860"/>
        <w:gridCol w:w="1500"/>
        <w:gridCol w:w="1580"/>
        <w:gridCol w:w="1600"/>
        <w:gridCol w:w="1680"/>
      </w:tblGrid>
      <w:tr w:rsidR="002B5D00" w:rsidRPr="002B5D00" w:rsidTr="00D5709E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2017 год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2018 год</w:t>
            </w:r>
          </w:p>
        </w:tc>
      </w:tr>
      <w:tr w:rsidR="002B5D00" w:rsidRPr="002B5D00" w:rsidTr="00D5709E">
        <w:trPr>
          <w:trHeight w:val="167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2B5D00" w:rsidRPr="002B5D00" w:rsidTr="002B5D00">
        <w:trPr>
          <w:trHeight w:val="38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Межбанковские кредиты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757FEB" w:rsidP="0061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8" w:history="1">
              <w:r w:rsidR="002B5D00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105 000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757FEB" w:rsidP="0061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9" w:history="1">
              <w:r w:rsidR="002B5D00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47 007 000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  <w:proofErr w:type="spell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13 149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107 772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  <w:proofErr w:type="spell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121 734 472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211 208 248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81.48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158EF" w:rsidRPr="002B5D00" w:rsidTr="002B5D00">
        <w:trPr>
          <w:trHeight w:val="94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операции лизинга и приобретенные прав требования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62 530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34 850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6158EF" w:rsidRPr="002B5D00" w:rsidTr="002B5D00">
        <w:trPr>
          <w:trHeight w:val="63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 в ценные бумаги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841 550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доходные ссуды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активы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121 915 701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757FEB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259 199 420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</w:tbl>
    <w:p w:rsidR="006158EF" w:rsidRDefault="006158EF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8EF" w:rsidRDefault="006158EF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1F2C" w:rsidRDefault="002B5D00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 таблицы 2.4., можно сделать вывод, что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увеличились суммы м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ежбанковски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кредитов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кредитов, предоставленных юридическим лицам, кредитов физическим лицам, а так же объем вложений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ценные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значительно снизилась величина вложений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операции лизинга и приобретенные прав требования, а общая сумма доходных активов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увеличилась на 11,</w:t>
      </w:r>
      <w:r w:rsidR="008F1F2C" w:rsidRPr="0041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.6%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 </w:t>
      </w:r>
      <w:hyperlink r:id="rId74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121,</w:t>
        </w:r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</w:t>
        </w:r>
      </w:hyperlink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hyperlink r:id="rId75" w:history="1"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</w:t>
        </w:r>
      </w:hyperlink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37E1C" w:rsidRDefault="00437E1C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финансового состояния ПАО «Почта Банк» рассмотрим показатели (индикаторы) финансового состояния банка (см. таблицу 2.5.).</w:t>
      </w:r>
    </w:p>
    <w:p w:rsidR="00C46DE8" w:rsidRPr="004120EF" w:rsidRDefault="00C46DE8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2.5. – Показатели финансового состояния ПАО «Почта Банк»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590"/>
        <w:gridCol w:w="645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709"/>
      </w:tblGrid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1.04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.05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.06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.08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.10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.03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достаточности капитала Н</w:t>
            </w:r>
            <w:proofErr w:type="gramStart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(мин.8%)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достаточности базового капитала Н</w:t>
            </w:r>
            <w:proofErr w:type="gramStart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(мин.5%)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</w:tr>
      <w:tr w:rsidR="00FD7393" w:rsidRPr="00C46DE8" w:rsidTr="00FD7393">
        <w:trPr>
          <w:trHeight w:val="834"/>
        </w:trPr>
        <w:tc>
          <w:tcPr>
            <w:tcW w:w="1590" w:type="dxa"/>
            <w:tcBorders>
              <w:bottom w:val="single" w:sz="4" w:space="0" w:color="auto"/>
            </w:tcBorders>
          </w:tcPr>
          <w:p w:rsidR="008F1F2C" w:rsidRPr="00C46DE8" w:rsidRDefault="00FD7393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 (по ф.123 и 134)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собственных средств (по ф.101)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</w:t>
            </w:r>
          </w:p>
        </w:tc>
      </w:tr>
    </w:tbl>
    <w:p w:rsidR="00BC5712" w:rsidRDefault="00BC5712" w:rsidP="008F1F2C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437E1C" w:rsidRDefault="00437E1C" w:rsidP="009018DC">
      <w:pPr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1C" w:rsidRDefault="00437E1C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таблицы 2.5., все рассчитанные индикаторы за анализируемый период не содержат значения ниже минимально установленной величины, что свидетельствует о </w:t>
      </w:r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благоприятном финансовом состоянии банка. Так, достаточно высокие значения норматива Н</w:t>
      </w:r>
      <w:proofErr w:type="gramStart"/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 </w:t>
      </w:r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свидетельствуют о достаточности средств для нормального функционирования банка. </w:t>
      </w:r>
    </w:p>
    <w:p w:rsidR="008F1F2C" w:rsidRDefault="00437E1C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Экспресс-оценка кредитоспособности банка КАЛИПСО разработана советником первого заместителя Председателя Банка России, к.э.н. </w:t>
      </w:r>
      <w:proofErr w:type="spellStart"/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В.В.Ивановым</w:t>
      </w:r>
      <w:proofErr w:type="spellEnd"/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исследовании используется модель по двум факторам: платежеспособность и ликвидность, что позволяет оценить способность банка рассчитываться по своим обязательствам.</w:t>
      </w:r>
      <w:r w:rsidR="00FD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банка по методике КАЛИПСО представлены в таблице 2.6.</w:t>
      </w:r>
    </w:p>
    <w:p w:rsidR="00FD7393" w:rsidRDefault="00FD7393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2.6. –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кредитоспособности банка</w:t>
      </w:r>
    </w:p>
    <w:tbl>
      <w:tblPr>
        <w:tblStyle w:val="aa"/>
        <w:tblW w:w="9504" w:type="dxa"/>
        <w:tblLook w:val="04A0" w:firstRow="1" w:lastRow="0" w:firstColumn="1" w:lastColumn="0" w:noHBand="0" w:noVBand="1"/>
      </w:tblPr>
      <w:tblGrid>
        <w:gridCol w:w="5576"/>
        <w:gridCol w:w="1247"/>
        <w:gridCol w:w="702"/>
        <w:gridCol w:w="1979"/>
      </w:tblGrid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Платежеспособность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I. Наличие неоплаченных документов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банка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исполненные в срок документы и распоряжения (</w:t>
            </w:r>
            <w:proofErr w:type="spellStart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внебаланс</w:t>
            </w:r>
            <w:proofErr w:type="spellEnd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II. Скрытая картотека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возможно скрытой просрочки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278 475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возможно скрытой просрочки к валюте баланса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0.07%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счетов возможно скрытой просрочки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-0.05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по картотеке банка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по не исполненным в срок документам (</w:t>
            </w:r>
            <w:proofErr w:type="spellStart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внебаланс</w:t>
            </w:r>
            <w:proofErr w:type="spellEnd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III. Динамика платежей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проводимых операций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345 309 079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проводимых операций к валюте баланса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88.60%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 от валюты баланса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объема проводимых операций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54.43%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lang w:eastAsia="ru-RU"/>
              </w:rPr>
              <w:t>изменился более чем на 30%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риск платежеспособности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Ликвидность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I. Показатели ликвидной позиции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денежной позиции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5.10%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1%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ликвидная позиция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1.57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заимствований в ЦБ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lang w:eastAsia="ru-RU"/>
              </w:rPr>
              <w:t>нет остатка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II. Сбалансированность операций по срокам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1 месяца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47 008 450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1 месяца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1 месяца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101093.44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3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47 085 418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Пассивы до 3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3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101258.96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6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47 482 650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6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724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6 месяцев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65583.77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1 года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59 670 447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1 года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48 751 329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1 года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1.22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сбалансированность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III. Ликвидационная стоимость баланса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стоимость по балансу</w:t>
            </w:r>
          </w:p>
        </w:tc>
        <w:tc>
          <w:tcPr>
            <w:tcW w:w="0" w:type="auto"/>
            <w:hideMark/>
          </w:tcPr>
          <w:p w:rsidR="008F1F2C" w:rsidRPr="009018DC" w:rsidRDefault="00757FEB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1.08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риск ликвидности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риск КАЛИПСО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3956" w:rsidRDefault="004C3956" w:rsidP="004C39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платежеспособности банка дал положительные результаты, а именно: анализ показал отсутствие неоплаченных документов, а так же отсутствие скрытой просрочки у банка.  В результате риск платежеспособности банка, то есть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вероятность неуплаты по выставленным счетам составляет 30%.  Чистая ликвидная позиция или разрыв между  суммой поступления и суммой использованных средств составляет 1,57%, что свидетельствует об излишке ликвидности, который необходимо инвестировать. </w:t>
      </w:r>
      <w:r w:rsidRPr="004C3956">
        <w:rPr>
          <w:rFonts w:ascii="Times New Roman" w:eastAsia="Calibri" w:hAnsi="Times New Roman" w:cs="Times New Roman"/>
          <w:sz w:val="28"/>
          <w:szCs w:val="28"/>
        </w:rPr>
        <w:t>Ликвидационная стоимость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ПАО «Почта Банк»</w:t>
      </w:r>
      <w:r w:rsidRPr="004C3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показывает денежное выражение </w:t>
      </w:r>
      <w:r w:rsidRPr="004C3956">
        <w:rPr>
          <w:rFonts w:ascii="Times New Roman" w:eastAsia="Calibri" w:hAnsi="Times New Roman" w:cs="Times New Roman"/>
          <w:sz w:val="28"/>
          <w:szCs w:val="28"/>
        </w:rPr>
        <w:t xml:space="preserve"> объекта оценки, уменьшенный на величину издержек, которые связаны с его продажей (например, комиссии, расходов на рекламу, хранение, доставку и т. д.).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расчетов общий риск КАЛИПСО составляет 30%.</w:t>
      </w:r>
    </w:p>
    <w:p w:rsidR="004C3956" w:rsidRDefault="004C3956" w:rsidP="004C39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4B0" w:rsidRDefault="006774B0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228" w:rsidRPr="00801228" w:rsidRDefault="00801228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228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9018DC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состояния ликвидности </w:t>
      </w:r>
    </w:p>
    <w:p w:rsidR="00AF025A" w:rsidRDefault="00AF025A" w:rsidP="008012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ликвидности, рассмотрим период примерно в 30 дней, в течение которых банк будет в состоянии (или не в состоянии) выполнить часть взятых на себя финансовых обязательств (т.к. все обязательства 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вернуть в течение 30 дн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может ни один банк). Эта «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называется «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 оттоком средств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Ликвидность можно считать важной составляющей понятия надежности банка.</w:t>
      </w:r>
    </w:p>
    <w:p w:rsidR="002C1BA0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высоколиквидных активов представлена в таблице 2.7.</w:t>
      </w:r>
    </w:p>
    <w:p w:rsidR="002C1BA0" w:rsidRPr="008F1F2C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2.7. - 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высоколиквидных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«Почта Банк»</w:t>
      </w:r>
    </w:p>
    <w:tbl>
      <w:tblPr>
        <w:tblW w:w="9107" w:type="dxa"/>
        <w:jc w:val="center"/>
        <w:tblInd w:w="-719" w:type="dxa"/>
        <w:tblLook w:val="04A0" w:firstRow="1" w:lastRow="0" w:firstColumn="1" w:lastColumn="0" w:noHBand="0" w:noVBand="1"/>
      </w:tblPr>
      <w:tblGrid>
        <w:gridCol w:w="3527"/>
        <w:gridCol w:w="1311"/>
        <w:gridCol w:w="1194"/>
        <w:gridCol w:w="1499"/>
        <w:gridCol w:w="1576"/>
      </w:tblGrid>
      <w:tr w:rsidR="002C1BA0" w:rsidRPr="002C1BA0" w:rsidTr="00D5709E">
        <w:trPr>
          <w:trHeight w:val="450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Марта 2017 год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Марта 2018 год</w:t>
            </w:r>
          </w:p>
        </w:tc>
      </w:tr>
      <w:tr w:rsidR="002C1BA0" w:rsidRPr="002C1BA0" w:rsidTr="002C1BA0">
        <w:trPr>
          <w:trHeight w:val="208"/>
          <w:jc w:val="center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2C1BA0" w:rsidRPr="002C1BA0" w:rsidTr="002C1BA0">
        <w:trPr>
          <w:trHeight w:val="603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</w:t>
            </w:r>
            <w:proofErr w:type="gramStart"/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в к</w:t>
            </w:r>
            <w:proofErr w:type="gramEnd"/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757FEB" w:rsidP="0038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2" w:history="1">
              <w:r w:rsidR="002C1BA0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5 423 320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Default="00757FEB" w:rsidP="0038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3" w:history="1">
              <w:r w:rsidR="002C1BA0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12 058 408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A2443A" w:rsidP="00A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3832BE" w:rsidRPr="002C1BA0" w:rsidTr="002C1BA0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 на счетах в Банке России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4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831 068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5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2 919 235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</w:tr>
      <w:tr w:rsidR="003832BE" w:rsidRPr="002C1BA0" w:rsidTr="002C1BA0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корсчетов НОСТРО в банках (чистых)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6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1 295 065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D3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32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7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557 219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A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3832BE" w:rsidRPr="002C1BA0" w:rsidTr="00A2443A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межбанковских кредитов, размещенных на срок до 30 дней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8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9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47 000 000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</w:tr>
      <w:tr w:rsidR="003832BE" w:rsidRPr="002C1BA0" w:rsidTr="00A2443A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ценных бумаг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0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1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832BE" w:rsidRPr="002C1BA0" w:rsidTr="00A2443A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ценных бумаг банков и государств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2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3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832BE" w:rsidRPr="002C1BA0" w:rsidTr="002C1BA0">
        <w:trPr>
          <w:trHeight w:val="96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активов с учетом дисконтов и корректировок (на основе Указания №3269-У от 31.05.2014)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4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7 549 453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757FEB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5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62 534 862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A2443A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</w:t>
            </w:r>
            <w:r w:rsid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</w:tbl>
    <w:p w:rsidR="003832BE" w:rsidRDefault="003832BE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1F2C" w:rsidRDefault="008F1F2C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 видно, что 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 изменились суммы высоколиквидных ценных бумаг РФ, высоколиквидных ценн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бумаг банков и государств, значительно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величина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 кассе, средств на счетах в Банке России, межбанковских кредитов, размещенных на срок до 30 дней, сильно уменьшились суммы корсчетов НОСТРО в банках (чистых), при этом объем высоколиквидных активов с учетом дисконтов и корректировок (на основе Указания №3269-У</w:t>
      </w:r>
      <w:proofErr w:type="gramEnd"/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31.05.2014) вырос за год с </w:t>
      </w:r>
      <w:hyperlink r:id="rId116" w:history="1"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</w:t>
        </w:r>
        <w:r w:rsid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,</w:t>
        </w:r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55</w:t>
        </w:r>
      </w:hyperlink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 </w:t>
      </w:r>
      <w:hyperlink r:id="rId117" w:history="1">
        <w:r w:rsid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62,</w:t>
        </w:r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53</w:t>
        </w:r>
      </w:hyperlink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млрд</w:t>
      </w:r>
      <w:proofErr w:type="gramStart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1BA0" w:rsidRPr="002C1BA0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Графическое представление структуры высоколиквидных активов банка приведено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рисунка 2.9. и 2.10. </w:t>
      </w:r>
    </w:p>
    <w:p w:rsidR="003832BE" w:rsidRDefault="003832BE" w:rsidP="002C1BA0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32BE" w:rsidRDefault="0011427A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101895" wp14:editId="00A9BED2">
            <wp:extent cx="4976037" cy="2551814"/>
            <wp:effectExtent l="0" t="0" r="15240" b="2032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3832BE" w:rsidRPr="002C1BA0" w:rsidRDefault="002C1BA0" w:rsidP="002C1BA0">
      <w:pPr>
        <w:shd w:val="clear" w:color="auto" w:fill="FFFFFF"/>
        <w:spacing w:before="90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Рисунок 2.9. - Структура высоколиквидных активов ПАО «Почта Банк» по состоянию на 1 марта 2018 года, %</w:t>
      </w:r>
    </w:p>
    <w:p w:rsidR="0011427A" w:rsidRDefault="0011427A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C1BA0" w:rsidRPr="002C1BA0" w:rsidRDefault="009A04A0" w:rsidP="009A04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рисунок 2.9., в структуре высоколиквидных активов банка по состоянию на 1 марта 2018 года наибольший удельный вес занимают средства в кассе – 72%. </w:t>
      </w:r>
    </w:p>
    <w:p w:rsidR="003832BE" w:rsidRDefault="0011427A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140AC" wp14:editId="54CF15DE">
            <wp:extent cx="4986670" cy="2551814"/>
            <wp:effectExtent l="0" t="0" r="23495" b="2032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2C1BA0" w:rsidRDefault="002C1BA0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C1BA0" w:rsidRPr="002C1BA0" w:rsidRDefault="002C1BA0" w:rsidP="002C1BA0">
      <w:pPr>
        <w:shd w:val="clear" w:color="auto" w:fill="FFFFFF"/>
        <w:spacing w:before="90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Рисунок 2.9. - Структура высоколиквидных активов ПАО «Почта Банк»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состоянию на 1 марта 2017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года, %</w:t>
      </w:r>
    </w:p>
    <w:p w:rsidR="003832BE" w:rsidRDefault="003832BE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A04A0" w:rsidRDefault="009A04A0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марта 2017 года структура высоколиквидных активов ПАО «Почта банк» </w:t>
      </w:r>
      <w:r w:rsid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главным образом межбанковскими кредитами, размещенными на срок до 30 дней – 75% от общей структуры. 19% высоколиквидных активов представлены средствами в кассе. </w:t>
      </w:r>
      <w:proofErr w:type="gramEnd"/>
    </w:p>
    <w:p w:rsidR="00D93971" w:rsidRDefault="00D93971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более полной оценки ликвидности ПАО «Почта Банк» проанализируем структуру текущих обязательств (см. таблицу 2.8.).</w:t>
      </w:r>
    </w:p>
    <w:p w:rsidR="00D93971" w:rsidRPr="009A04A0" w:rsidRDefault="00D93971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2.8. – Структура </w:t>
      </w:r>
      <w:r w:rsidRP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«Почта Банк»</w:t>
      </w:r>
    </w:p>
    <w:tbl>
      <w:tblPr>
        <w:tblStyle w:val="aa"/>
        <w:tblW w:w="9767" w:type="dxa"/>
        <w:tblLook w:val="04A0" w:firstRow="1" w:lastRow="0" w:firstColumn="1" w:lastColumn="0" w:noHBand="0" w:noVBand="1"/>
      </w:tblPr>
      <w:tblGrid>
        <w:gridCol w:w="3226"/>
        <w:gridCol w:w="1611"/>
        <w:gridCol w:w="1585"/>
        <w:gridCol w:w="1760"/>
        <w:gridCol w:w="1585"/>
      </w:tblGrid>
      <w:tr w:rsidR="00D93971" w:rsidRPr="0011427A" w:rsidTr="0011427A">
        <w:tc>
          <w:tcPr>
            <w:tcW w:w="3227" w:type="dxa"/>
            <w:vMerge w:val="restart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01 Марта 2017 год</w:t>
            </w:r>
          </w:p>
        </w:tc>
        <w:tc>
          <w:tcPr>
            <w:tcW w:w="0" w:type="auto"/>
            <w:gridSpan w:val="2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01 Марта 2018 год</w:t>
            </w:r>
          </w:p>
        </w:tc>
      </w:tr>
      <w:tr w:rsidR="00D93971" w:rsidRPr="0011427A" w:rsidTr="00D5709E">
        <w:trPr>
          <w:trHeight w:val="267"/>
        </w:trPr>
        <w:tc>
          <w:tcPr>
            <w:tcW w:w="3227" w:type="dxa"/>
            <w:vMerge/>
            <w:hideMark/>
          </w:tcPr>
          <w:p w:rsidR="00D93971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D93971" w:rsidRPr="0011427A" w:rsidTr="0011427A">
        <w:trPr>
          <w:trHeight w:val="553"/>
        </w:trPr>
        <w:tc>
          <w:tcPr>
            <w:tcW w:w="3227" w:type="dxa"/>
          </w:tcPr>
          <w:p w:rsidR="00D93971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кладов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</w:t>
            </w:r>
            <w:proofErr w:type="gram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 сроком свыше года</w:t>
            </w:r>
          </w:p>
        </w:tc>
        <w:tc>
          <w:tcPr>
            <w:tcW w:w="0" w:type="auto"/>
          </w:tcPr>
          <w:p w:rsidR="00D93971" w:rsidRDefault="00757FEB" w:rsidP="0011427A">
            <w:pPr>
              <w:jc w:val="center"/>
            </w:pPr>
            <w:hyperlink r:id="rId120" w:history="1">
              <w:r w:rsidR="00D93971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19 296 725</w:t>
              </w:r>
            </w:hyperlink>
          </w:p>
        </w:tc>
        <w:tc>
          <w:tcPr>
            <w:tcW w:w="0" w:type="auto"/>
          </w:tcPr>
          <w:p w:rsidR="00D93971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</w:tcPr>
          <w:p w:rsidR="00D93971" w:rsidRDefault="00757FEB" w:rsidP="0011427A">
            <w:pPr>
              <w:jc w:val="center"/>
            </w:pPr>
            <w:hyperlink r:id="rId121" w:history="1">
              <w:r w:rsidR="00D93971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94 213 931</w:t>
              </w:r>
            </w:hyperlink>
          </w:p>
        </w:tc>
        <w:tc>
          <w:tcPr>
            <w:tcW w:w="0" w:type="auto"/>
          </w:tcPr>
          <w:p w:rsidR="00D93971" w:rsidRDefault="00D93971" w:rsidP="0049597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  <w:r w:rsidR="004959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72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стальных вкладов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</w:t>
            </w:r>
            <w:proofErr w:type="gram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т.ч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ИП) (сроком до 1 года)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2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23 779 423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3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91 455 817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епозитов и прочих средств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юр</w:t>
            </w:r>
            <w:proofErr w:type="gram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(сроком до 1 года)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4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73 247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5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106 910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8F1F2C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т.ч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текущих средств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юр</w:t>
            </w:r>
            <w:proofErr w:type="gram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(без ИП)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6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73 247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7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106 910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</w:p>
        </w:tc>
      </w:tr>
      <w:tr w:rsidR="0011427A" w:rsidRPr="0011427A" w:rsidTr="00495970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орсчетов ЛОРО банков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8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9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11427A" w:rsidRPr="0011427A" w:rsidTr="00495970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ежбанковских кредитов, полученных на срок до 30 дней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0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</w:tcPr>
          <w:p w:rsidR="008F1F2C" w:rsidRPr="008F1F2C" w:rsidRDefault="00495970" w:rsidP="0049597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1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обственных ценных бумаг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2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8F1F2C" w:rsidRPr="008F1F2C" w:rsidRDefault="00757FEB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3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бязательств по уплате процентов, просрочка, кредиторская и прочая задолженность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4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4 064 499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49597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4959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4959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5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7 593 148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жидаемый отток денежных средств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6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7 436 576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8F1F2C" w:rsidP="0049597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4959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7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21 492 190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D93971">
            <w:pPr>
              <w:tabs>
                <w:tab w:val="left" w:pos="636"/>
                <w:tab w:val="right" w:pos="3010"/>
              </w:tabs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="008F1F2C" w:rsidRPr="008F1F2C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екущих обязательств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8" w:history="1">
              <w:r w:rsidR="008F1F2C" w:rsidRPr="008F1F2C">
                <w:rPr>
                  <w:rFonts w:ascii="Times New Roman" w:eastAsia="Times New Roman" w:hAnsi="Times New Roman" w:cs="Times New Roman"/>
                  <w:iCs/>
                  <w:color w:val="0D0D0D" w:themeColor="text1" w:themeTint="F2"/>
                  <w:sz w:val="24"/>
                  <w:szCs w:val="24"/>
                  <w:lang w:eastAsia="ru-RU"/>
                </w:rPr>
                <w:t>47 213 894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100,</w:t>
            </w:r>
            <w:r w:rsidR="00D9397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8F1F2C" w:rsidRPr="008F1F2C" w:rsidRDefault="00757FEB" w:rsidP="008F1F2C">
            <w:pPr>
              <w:jc w:val="righ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9" w:history="1">
              <w:r w:rsidR="008F1F2C" w:rsidRPr="008F1F2C">
                <w:rPr>
                  <w:rFonts w:ascii="Times New Roman" w:eastAsia="Times New Roman" w:hAnsi="Times New Roman" w:cs="Times New Roman"/>
                  <w:iCs/>
                  <w:color w:val="0D0D0D" w:themeColor="text1" w:themeTint="F2"/>
                  <w:sz w:val="24"/>
                  <w:szCs w:val="24"/>
                  <w:lang w:eastAsia="ru-RU"/>
                </w:rPr>
                <w:t>193 369 806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495970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100,</w:t>
            </w:r>
            <w:r w:rsidR="00D9397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00</w:t>
            </w:r>
          </w:p>
        </w:tc>
      </w:tr>
    </w:tbl>
    <w:p w:rsidR="0011427A" w:rsidRDefault="0011427A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C" w:rsidRPr="008F1F2C" w:rsidRDefault="00D93971" w:rsidP="000D5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таблицы 2.8. позволяет сделать вывод, что з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рассматриваемый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отмечаются следующие изменения в ресурсной базе: </w:t>
      </w:r>
      <w:r w:rsidR="0067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незначительное изменение сумм корсчетов ЛОРО банков, а так же межбанковских кредитов, полученных на срок до 30 дней, собственных </w:t>
      </w:r>
      <w:r w:rsidR="000D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ценных бумаг, а так же возросла величина суммы депозитов и прочих средств организаций (со сроком менее 1 года),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 средств юридических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(без </w:t>
      </w:r>
      <w:r w:rsidR="000D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ИП), сильно увеличились суммы вкладов 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со сроком свыше года, остальных вкладов 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(в </w:t>
      </w:r>
      <w:proofErr w:type="spellStart"/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ИП) (сроком до 1 года), обязательств по уплате процентов, просрочка, кредиторская и прочая задолженность, при этом ожидаемый отток денежных средств увеличился за год с </w:t>
      </w:r>
      <w:hyperlink r:id="rId140" w:history="1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7,</w:t>
        </w:r>
        <w:r w:rsidR="008F1F2C"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44</w:t>
        </w:r>
      </w:hyperlink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 </w:t>
      </w:r>
      <w:hyperlink r:id="rId141" w:history="1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21,</w:t>
        </w:r>
        <w:r w:rsidR="008F1F2C"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49</w:t>
        </w:r>
      </w:hyperlink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млрд.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p w:rsidR="008F1F2C" w:rsidRPr="008F1F2C" w:rsidRDefault="008F1F2C" w:rsidP="00D93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рассматриваемый момент соотношение высоколиквидных активов (средств, которые легко доступны для банка в течение ближайшего месяца) и предполагаемого оттока текущих обязательств дает нам значение </w:t>
      </w:r>
      <w:hyperlink r:id="rId142" w:history="1">
        <w:r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290.97%</w:t>
        </w:r>
      </w:hyperlink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говорит </w:t>
      </w:r>
      <w:r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хорошем запасе прочности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преодоления возможного оттока средств клиентов банка.</w:t>
      </w:r>
      <w:proofErr w:type="gramEnd"/>
    </w:p>
    <w:p w:rsidR="008F1F2C" w:rsidRDefault="008F1F2C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корреляции с этим важны для рассмотрения нормативы мгновенной (Н</w:t>
      </w: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текущей (Н3) ликв</w:t>
      </w:r>
      <w:r w:rsidR="001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идности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минимальные значения которых установлены в 15% и 50% соответственно. Тут мы видим, что нормативы Н</w:t>
      </w: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Н3 сейчас на </w:t>
      </w:r>
      <w:proofErr w:type="spellStart"/>
      <w:r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достаточном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spellEnd"/>
      <w:r w:rsid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2.9.).</w:t>
      </w:r>
    </w:p>
    <w:p w:rsidR="00D93971" w:rsidRPr="008F1F2C" w:rsidRDefault="00D93971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2.9. – Динамика изменения ликвидности ПАО «Почта Банк» в течение анализируемого периода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67"/>
        <w:gridCol w:w="760"/>
        <w:gridCol w:w="711"/>
        <w:gridCol w:w="711"/>
        <w:gridCol w:w="711"/>
        <w:gridCol w:w="711"/>
        <w:gridCol w:w="591"/>
        <w:gridCol w:w="711"/>
        <w:gridCol w:w="586"/>
        <w:gridCol w:w="687"/>
      </w:tblGrid>
      <w:tr w:rsidR="0011427A" w:rsidRPr="0011427A" w:rsidTr="00D93971">
        <w:tc>
          <w:tcPr>
            <w:tcW w:w="1985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.04</w:t>
            </w:r>
          </w:p>
        </w:tc>
        <w:tc>
          <w:tcPr>
            <w:tcW w:w="708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.05</w:t>
            </w:r>
          </w:p>
        </w:tc>
        <w:tc>
          <w:tcPr>
            <w:tcW w:w="767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.06.</w:t>
            </w:r>
          </w:p>
        </w:tc>
        <w:tc>
          <w:tcPr>
            <w:tcW w:w="760" w:type="dxa"/>
            <w:hideMark/>
          </w:tcPr>
          <w:p w:rsidR="008F1F2C" w:rsidRPr="00D93971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1.07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.08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.09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.10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.11</w:t>
            </w:r>
          </w:p>
        </w:tc>
        <w:tc>
          <w:tcPr>
            <w:tcW w:w="59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.12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.01</w:t>
            </w:r>
          </w:p>
        </w:tc>
        <w:tc>
          <w:tcPr>
            <w:tcW w:w="586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.02</w:t>
            </w:r>
          </w:p>
        </w:tc>
        <w:tc>
          <w:tcPr>
            <w:tcW w:w="687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.03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мгновенной ликвидности Н</w:t>
            </w:r>
            <w:proofErr w:type="gramStart"/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(мин.15%)</w:t>
            </w:r>
          </w:p>
        </w:tc>
        <w:tc>
          <w:tcPr>
            <w:tcW w:w="709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65,3</w:t>
            </w:r>
          </w:p>
        </w:tc>
        <w:tc>
          <w:tcPr>
            <w:tcW w:w="708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76,1</w:t>
            </w:r>
          </w:p>
        </w:tc>
        <w:tc>
          <w:tcPr>
            <w:tcW w:w="767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79,9</w:t>
            </w:r>
          </w:p>
        </w:tc>
        <w:tc>
          <w:tcPr>
            <w:tcW w:w="760" w:type="dxa"/>
            <w:hideMark/>
          </w:tcPr>
          <w:p w:rsidR="008F1F2C" w:rsidRPr="00D93971" w:rsidRDefault="008F1F2C" w:rsidP="00DF53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  <w:r w:rsidR="00DF53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,4</w:t>
            </w:r>
          </w:p>
        </w:tc>
        <w:tc>
          <w:tcPr>
            <w:tcW w:w="711" w:type="dxa"/>
            <w:hideMark/>
          </w:tcPr>
          <w:p w:rsidR="008F1F2C" w:rsidRPr="00D93971" w:rsidRDefault="00770CE0" w:rsidP="00770C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59,3</w:t>
            </w:r>
          </w:p>
        </w:tc>
        <w:tc>
          <w:tcPr>
            <w:tcW w:w="711" w:type="dxa"/>
            <w:hideMark/>
          </w:tcPr>
          <w:p w:rsidR="008F1F2C" w:rsidRPr="00D93971" w:rsidRDefault="00770CE0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54,8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69,</w:t>
            </w:r>
            <w:r w:rsidR="008F1F2C"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75,0</w:t>
            </w:r>
          </w:p>
        </w:tc>
        <w:tc>
          <w:tcPr>
            <w:tcW w:w="591" w:type="dxa"/>
            <w:hideMark/>
          </w:tcPr>
          <w:p w:rsidR="008F1F2C" w:rsidRPr="00D93971" w:rsidRDefault="008F1F2C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  <w:r w:rsidR="007904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101,8</w:t>
            </w:r>
          </w:p>
        </w:tc>
        <w:tc>
          <w:tcPr>
            <w:tcW w:w="586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78,6</w:t>
            </w:r>
          </w:p>
        </w:tc>
        <w:tc>
          <w:tcPr>
            <w:tcW w:w="687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49,6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текущей ликвидности Н3 (мин.50%)</w:t>
            </w:r>
          </w:p>
        </w:tc>
        <w:tc>
          <w:tcPr>
            <w:tcW w:w="709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64,4</w:t>
            </w:r>
          </w:p>
        </w:tc>
        <w:tc>
          <w:tcPr>
            <w:tcW w:w="708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80,5</w:t>
            </w:r>
          </w:p>
        </w:tc>
        <w:tc>
          <w:tcPr>
            <w:tcW w:w="767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89,9</w:t>
            </w:r>
          </w:p>
        </w:tc>
        <w:tc>
          <w:tcPr>
            <w:tcW w:w="760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131,3</w:t>
            </w:r>
          </w:p>
        </w:tc>
        <w:tc>
          <w:tcPr>
            <w:tcW w:w="711" w:type="dxa"/>
            <w:hideMark/>
          </w:tcPr>
          <w:p w:rsidR="008F1F2C" w:rsidRPr="00D93971" w:rsidRDefault="00770CE0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137,1</w:t>
            </w:r>
          </w:p>
        </w:tc>
        <w:tc>
          <w:tcPr>
            <w:tcW w:w="711" w:type="dxa"/>
            <w:hideMark/>
          </w:tcPr>
          <w:p w:rsidR="008F1F2C" w:rsidRPr="00D93971" w:rsidRDefault="00770CE0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140,1</w:t>
            </w:r>
          </w:p>
        </w:tc>
        <w:tc>
          <w:tcPr>
            <w:tcW w:w="711" w:type="dxa"/>
            <w:hideMark/>
          </w:tcPr>
          <w:p w:rsidR="008F1F2C" w:rsidRPr="00D93971" w:rsidRDefault="008F1F2C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  <w:r w:rsidR="007904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123,2</w:t>
            </w:r>
          </w:p>
        </w:tc>
        <w:tc>
          <w:tcPr>
            <w:tcW w:w="591" w:type="dxa"/>
            <w:hideMark/>
          </w:tcPr>
          <w:p w:rsidR="008F1F2C" w:rsidRPr="00D93971" w:rsidRDefault="008F1F2C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</w:t>
            </w:r>
            <w:r w:rsidR="007904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,5</w:t>
            </w:r>
          </w:p>
        </w:tc>
        <w:tc>
          <w:tcPr>
            <w:tcW w:w="711" w:type="dxa"/>
            <w:hideMark/>
          </w:tcPr>
          <w:p w:rsidR="008F1F2C" w:rsidRPr="00D93971" w:rsidRDefault="0079049D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193,3</w:t>
            </w:r>
          </w:p>
        </w:tc>
        <w:tc>
          <w:tcPr>
            <w:tcW w:w="586" w:type="dxa"/>
            <w:hideMark/>
          </w:tcPr>
          <w:p w:rsidR="008F1F2C" w:rsidRPr="00D93971" w:rsidRDefault="0079049D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191,6</w:t>
            </w:r>
          </w:p>
        </w:tc>
        <w:tc>
          <w:tcPr>
            <w:tcW w:w="687" w:type="dxa"/>
            <w:hideMark/>
          </w:tcPr>
          <w:p w:rsidR="008F1F2C" w:rsidRPr="00D93971" w:rsidRDefault="0079049D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161,3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Экспертная надежность банка</w:t>
            </w:r>
          </w:p>
        </w:tc>
        <w:tc>
          <w:tcPr>
            <w:tcW w:w="709" w:type="dxa"/>
            <w:hideMark/>
          </w:tcPr>
          <w:p w:rsidR="008F1F2C" w:rsidRPr="00D93971" w:rsidRDefault="008F1F2C" w:rsidP="00DF53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</w:t>
            </w:r>
            <w:r w:rsidR="00DF53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142,0</w:t>
            </w:r>
          </w:p>
        </w:tc>
        <w:tc>
          <w:tcPr>
            <w:tcW w:w="767" w:type="dxa"/>
            <w:hideMark/>
          </w:tcPr>
          <w:p w:rsidR="008F1F2C" w:rsidRPr="00D93971" w:rsidRDefault="00DF53B7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159,2</w:t>
            </w:r>
          </w:p>
        </w:tc>
        <w:tc>
          <w:tcPr>
            <w:tcW w:w="760" w:type="dxa"/>
            <w:hideMark/>
          </w:tcPr>
          <w:p w:rsidR="00DF53B7" w:rsidRPr="00D93971" w:rsidRDefault="00DF53B7" w:rsidP="00DF53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259,8</w:t>
            </w:r>
          </w:p>
        </w:tc>
        <w:tc>
          <w:tcPr>
            <w:tcW w:w="711" w:type="dxa"/>
            <w:hideMark/>
          </w:tcPr>
          <w:p w:rsidR="008F1F2C" w:rsidRPr="00D93971" w:rsidRDefault="00770CE0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</w:t>
            </w:r>
          </w:p>
        </w:tc>
        <w:tc>
          <w:tcPr>
            <w:tcW w:w="711" w:type="dxa"/>
            <w:hideMark/>
          </w:tcPr>
          <w:p w:rsidR="008F1F2C" w:rsidRPr="00D93971" w:rsidRDefault="00770CE0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284,1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</w:t>
            </w:r>
            <w:r w:rsidR="008F1F2C"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11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166,2</w:t>
            </w:r>
          </w:p>
        </w:tc>
        <w:tc>
          <w:tcPr>
            <w:tcW w:w="591" w:type="dxa"/>
            <w:hideMark/>
          </w:tcPr>
          <w:p w:rsidR="008F1F2C" w:rsidRPr="00D93971" w:rsidRDefault="008F1F2C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  <w:r w:rsidR="007904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11" w:type="dxa"/>
            <w:hideMark/>
          </w:tcPr>
          <w:p w:rsidR="008F1F2C" w:rsidRPr="00D93971" w:rsidRDefault="0079049D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274,6</w:t>
            </w:r>
          </w:p>
        </w:tc>
        <w:tc>
          <w:tcPr>
            <w:tcW w:w="586" w:type="dxa"/>
            <w:hideMark/>
          </w:tcPr>
          <w:p w:rsidR="008F1F2C" w:rsidRPr="00D93971" w:rsidRDefault="0079049D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281,9</w:t>
            </w:r>
          </w:p>
        </w:tc>
        <w:tc>
          <w:tcPr>
            <w:tcW w:w="687" w:type="dxa"/>
            <w:hideMark/>
          </w:tcPr>
          <w:p w:rsidR="008F1F2C" w:rsidRPr="00D93971" w:rsidRDefault="0079049D" w:rsidP="007904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291,0</w:t>
            </w:r>
          </w:p>
        </w:tc>
      </w:tr>
    </w:tbl>
    <w:p w:rsidR="00F32636" w:rsidRDefault="00F32636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11427A" w:rsidRDefault="00F32636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Графическое представление динамики ликвидности ПАО «Почта Банка» приведено на рисунке 2.10. 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CE45B1" wp14:editId="50FBCC7D">
            <wp:extent cx="5391150" cy="2700338"/>
            <wp:effectExtent l="0" t="0" r="1905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lastRenderedPageBreak/>
        <w:t xml:space="preserve">Рисунок 2.10. – Динамика 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изменения ликвидности ПАО «Почта Банк»</w:t>
      </w:r>
    </w:p>
    <w:p w:rsidR="00F32636" w:rsidRDefault="00F32636" w:rsidP="00F3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Данные рисунка 2.10. показывают, что во всех показателях отмечается идентичная тенденция: в период с 1 апреля по 1 июня 2017 года  все показатели демонстрируют рост. В июне 2017 года отмечается резкий рост, после чего снижение величин всех показателей. С октября 2017 года до конца года наблюдается постепенный рост. С начала 2018 года снова отмечается снижение анализируемых показателей ликвидности. 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В таблице 2.10. приведены суммарные значения показателей ликвидности на 1 марта 2018 года.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Таблица 2.10. - С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уммарные значения показателей ликвидности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ПАО «Почта Банк» 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на 1 марта 2018 года.</w:t>
      </w:r>
    </w:p>
    <w:tbl>
      <w:tblPr>
        <w:tblW w:w="8952" w:type="dxa"/>
        <w:jc w:val="center"/>
        <w:tblInd w:w="93" w:type="dxa"/>
        <w:tblLook w:val="04A0" w:firstRow="1" w:lastRow="0" w:firstColumn="1" w:lastColumn="0" w:noHBand="0" w:noVBand="1"/>
      </w:tblPr>
      <w:tblGrid>
        <w:gridCol w:w="4403"/>
        <w:gridCol w:w="1977"/>
        <w:gridCol w:w="2572"/>
      </w:tblGrid>
      <w:tr w:rsidR="0011427A" w:rsidRPr="0011427A" w:rsidTr="0011427A">
        <w:trPr>
          <w:trHeight w:val="900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Минимальное установленное значение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F32636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Сумма на 01 Марта 2018 года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Нормативы ликвидности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мгновенной ликвидности (Н2)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49,61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текущей ликвидности (Н3)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161,34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долгосрочной ликвидности (Н</w:t>
            </w:r>
            <w:proofErr w:type="gramStart"/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105,74</w:t>
            </w:r>
          </w:p>
        </w:tc>
      </w:tr>
    </w:tbl>
    <w:p w:rsidR="0011427A" w:rsidRDefault="0011427A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8F1F2C" w:rsidRDefault="008F1F2C" w:rsidP="00715E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По медианному методу (отброс резких пиков): сумма норматива мгновенной ликвидности Н</w:t>
      </w:r>
      <w:proofErr w:type="gramStart"/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незначительному росту, однако за последнее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полугодие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увеличению, сумма норматива текущей ликвидности Н3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 и последнего полугодия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неустойчива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 имеет тенденцию к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значительному росту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, а экспертная надежность банка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увеличению, однако за последнее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полугодие</w:t>
      </w:r>
      <w:r w:rsidR="00F3263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имеет тенденцию к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значительному росту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.</w:t>
      </w:r>
    </w:p>
    <w:p w:rsidR="00592DAB" w:rsidRPr="008F1F2C" w:rsidRDefault="00592DAB" w:rsidP="00715E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Таким образом, говорить об абсолютной ликвидности средств банка да отчетную дату нельзя. Так же отрицательным фактором является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lastRenderedPageBreak/>
        <w:t xml:space="preserve">присутствие колебаний в динамике ликвидности средств в анализируемом периоде. 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7FEB" w:rsidRDefault="00757FEB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F025A" w:rsidRDefault="000313AD" w:rsidP="000313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3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по 1 главе:</w:t>
      </w:r>
    </w:p>
    <w:p w:rsidR="00715EC2" w:rsidRDefault="00715EC2" w:rsidP="00715E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Амосов, А.Н. Особенности антикризисного управления / А.Н. Амосов // Финансист. – 2015. – №2. – С.45-47.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Банковский менеджмент и бизнес-инжиниринг. В 2-х т. Т. 1 / Р.А. Исаев. - 2-e изд.,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и доп. - М.: НИЦ ИНФРА-М, 2015. —286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Баринов, В.А. Антикризисное управление / В.А. Баринов. – М.: ИД ФБК-ПРЕСС, 2016. – 520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Водолажская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, Е.Л. Причины возникновения экономических кризисов и их характеристика / Е.Л.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Водолажская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// Вестник Казанского технологического университета.- 2013.- Том 16, №13. - С.215-218.- Режим доступа: http://cyberleninka.ru/article/n/prichiny-vozniknoveniyaekonomicheskih-krizisov-i-ih-harakteristika Дата обращения 30.03.2017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Жарковская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Е.П., Бродский Б.Е., Бродский И.Б. Антикризисное управление: учебник /– М.: 6-е изд.,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- Москва: Омега-Л, 2014. – 514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Ивасенко А.Г. Антикризисное управление: учебное пособие  А.Г. Ивасенко, Я.И. Никонова, М.В.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Каркавин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— 3-е изд., стер. — М.  КНОРУС, 2016. — 504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Качалов, М.И. Три параметра кризиса / М.И. Качалов // Управление компанией. – 2015. – №12. – С. 25-29.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Коротков, Э.М. Антикризисное управление / Под ред. Э.М. Короткова. – М.: ИНФРА-М, 2015. – 432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Крассов О. И. Антикризисное управление в современной России. — М., 2015. —С. 44.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lastRenderedPageBreak/>
        <w:t>Морозова Т.Ю. О совершенствовании проверки и оценки качества управления кредитной организацией // Аналитический банковский журнал. 2016. - № 3. - C. 28-36.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Муртазина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А.И., Егоров В.А. Причины и типология кризисов // Инновации, технологии, наука: сборник статей Международной научно-практической конференции. Уфа: МЦИИ ОМЕГА САЙНС, 2016. - С. 149-151.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Бойко И. И. Меры по преодолению кризисных ситуаций в экономике. – СПб. 2017. – С. 68.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, А.И. Неплатежеспособность в современных условиях / А.И.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// Экономика и жизнь. – 2016. – №3. – С. 5-6.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статистики - http://www.gks.ru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Ханова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Черненко В.А. Шведова Н.Ю. Антикризисное управление: учебник и практикум 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академического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, 2015. – 409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Энциклопедия финансового 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>риск-менеджмента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 под ред. А.А. Лобанова, А.В. Чугунова. М.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Альпина Бизнес Букс, 2013.- 388 с. 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Энциклопедия экономиста - http://www.grandars.ru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Remaking financial services: risk management five years after the crisis: a survey of major financial institutions. </w:t>
      </w: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EYGM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Limited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., 2013. – 543 с. </w:t>
      </w:r>
    </w:p>
    <w:p w:rsidR="000313AD" w:rsidRPr="00FA3B40" w:rsidRDefault="000313AD" w:rsidP="000313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B40" w:rsidRDefault="00FA3B40" w:rsidP="00FA3B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C35928" w:rsidSect="00C3156B">
      <w:footerReference w:type="default" r:id="rId14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9E" w:rsidRDefault="00D5709E" w:rsidP="002427BF">
      <w:pPr>
        <w:spacing w:after="0" w:line="240" w:lineRule="auto"/>
      </w:pPr>
      <w:r>
        <w:separator/>
      </w:r>
    </w:p>
  </w:endnote>
  <w:endnote w:type="continuationSeparator" w:id="0">
    <w:p w:rsidR="00D5709E" w:rsidRDefault="00D5709E" w:rsidP="0024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3286"/>
      <w:docPartObj>
        <w:docPartGallery w:val="Page Numbers (Bottom of Page)"/>
        <w:docPartUnique/>
      </w:docPartObj>
    </w:sdtPr>
    <w:sdtEndPr/>
    <w:sdtContent>
      <w:p w:rsidR="00D5709E" w:rsidRDefault="00D570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EB">
          <w:rPr>
            <w:noProof/>
          </w:rPr>
          <w:t>45</w:t>
        </w:r>
        <w:r>
          <w:fldChar w:fldCharType="end"/>
        </w:r>
      </w:p>
    </w:sdtContent>
  </w:sdt>
  <w:p w:rsidR="00D5709E" w:rsidRDefault="00D570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9E" w:rsidRDefault="00D5709E" w:rsidP="002427BF">
      <w:pPr>
        <w:spacing w:after="0" w:line="240" w:lineRule="auto"/>
      </w:pPr>
      <w:r>
        <w:separator/>
      </w:r>
    </w:p>
  </w:footnote>
  <w:footnote w:type="continuationSeparator" w:id="0">
    <w:p w:rsidR="00D5709E" w:rsidRDefault="00D5709E" w:rsidP="002427BF">
      <w:pPr>
        <w:spacing w:after="0" w:line="240" w:lineRule="auto"/>
      </w:pPr>
      <w:r>
        <w:continuationSeparator/>
      </w:r>
    </w:p>
  </w:footnote>
  <w:footnote w:id="1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Черненко В.А. Шведова Н.Ю. Антикризисное управление: учебник и практикум </w:t>
      </w:r>
      <w:proofErr w:type="gramStart"/>
      <w:r w:rsidRPr="00D5709E">
        <w:rPr>
          <w:rFonts w:ascii="Times New Roman" w:hAnsi="Times New Roman" w:cs="Times New Roman"/>
          <w:sz w:val="24"/>
        </w:rPr>
        <w:t>для</w:t>
      </w:r>
      <w:proofErr w:type="gramEnd"/>
      <w:r w:rsidRPr="00D5709E">
        <w:rPr>
          <w:rFonts w:ascii="Times New Roman" w:hAnsi="Times New Roman" w:cs="Times New Roman"/>
          <w:sz w:val="24"/>
        </w:rPr>
        <w:t xml:space="preserve"> академического </w:t>
      </w:r>
      <w:proofErr w:type="spellStart"/>
      <w:r w:rsidRPr="00D5709E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D5709E">
        <w:rPr>
          <w:rFonts w:ascii="Times New Roman" w:hAnsi="Times New Roman" w:cs="Times New Roman"/>
          <w:sz w:val="24"/>
        </w:rPr>
        <w:t>Юрайт</w:t>
      </w:r>
      <w:proofErr w:type="spellEnd"/>
      <w:r w:rsidRPr="00D5709E">
        <w:rPr>
          <w:rFonts w:ascii="Times New Roman" w:hAnsi="Times New Roman" w:cs="Times New Roman"/>
          <w:sz w:val="24"/>
        </w:rPr>
        <w:t>, 2015. – 409 с.</w:t>
      </w:r>
    </w:p>
  </w:footnote>
  <w:footnote w:id="2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Амосов, А.Н. Особенности антикризисного управления / А.Н. Амосов // Финансист. – 2015. – №2. – С.45-47.</w:t>
      </w:r>
    </w:p>
  </w:footnote>
  <w:footnote w:id="3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  <w:sz w:val="24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Баринов, В.А. Антикризисное управление / В.А. Баринов. – М.: ИД ФБК-ПРЕСС, 2016. – 520 с.</w:t>
      </w:r>
    </w:p>
  </w:footnote>
  <w:footnote w:id="4">
    <w:p w:rsidR="00D5709E" w:rsidRDefault="00D5709E" w:rsidP="00D5709E">
      <w:pPr>
        <w:pStyle w:val="a4"/>
        <w:jc w:val="both"/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Крассов О. И. Антикризисное управление в современной России. — М., 2015. —С. 44.</w:t>
      </w:r>
    </w:p>
  </w:footnote>
  <w:footnote w:id="5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Жарковская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Е.П., Бродский Б.Е., Бродский И.Б. Антикризисное управление: учебник /– М.: 6-е изд., </w:t>
      </w:r>
      <w:proofErr w:type="spellStart"/>
      <w:r w:rsidRPr="00D5709E">
        <w:rPr>
          <w:rFonts w:ascii="Times New Roman" w:hAnsi="Times New Roman" w:cs="Times New Roman"/>
          <w:sz w:val="24"/>
        </w:rPr>
        <w:t>испр</w:t>
      </w:r>
      <w:proofErr w:type="spellEnd"/>
      <w:r w:rsidRPr="00D5709E">
        <w:rPr>
          <w:rFonts w:ascii="Times New Roman" w:hAnsi="Times New Roman" w:cs="Times New Roman"/>
          <w:sz w:val="24"/>
        </w:rPr>
        <w:t>. - Москва: Омега-Л, 2014. – 514 с.</w:t>
      </w:r>
    </w:p>
  </w:footnote>
  <w:footnote w:id="6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  <w:sz w:val="24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Ивасенко А.Г. Антикризисное управление: учебное пособие  А.Г. Ивасенко, Я.И. Никонова, М.В. </w:t>
      </w:r>
      <w:proofErr w:type="spellStart"/>
      <w:r w:rsidRPr="00D5709E">
        <w:rPr>
          <w:rFonts w:ascii="Times New Roman" w:hAnsi="Times New Roman" w:cs="Times New Roman"/>
          <w:sz w:val="24"/>
        </w:rPr>
        <w:t>Каркавин</w:t>
      </w:r>
      <w:proofErr w:type="spellEnd"/>
      <w:r w:rsidRPr="00D5709E">
        <w:rPr>
          <w:rFonts w:ascii="Times New Roman" w:hAnsi="Times New Roman" w:cs="Times New Roman"/>
          <w:sz w:val="24"/>
        </w:rPr>
        <w:t>. — 3-е изд., стер. — М.  КНОРУС, 2016. — 504 с.</w:t>
      </w:r>
    </w:p>
  </w:footnote>
  <w:footnote w:id="7">
    <w:p w:rsidR="00D5709E" w:rsidRDefault="00D5709E" w:rsidP="00D5709E">
      <w:pPr>
        <w:pStyle w:val="a4"/>
        <w:jc w:val="both"/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Водолажская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, Е.Л. Причины возникновения экономических кризисов и их характеристика / Е.Л. </w:t>
      </w:r>
      <w:proofErr w:type="spellStart"/>
      <w:r w:rsidRPr="00D5709E">
        <w:rPr>
          <w:rFonts w:ascii="Times New Roman" w:hAnsi="Times New Roman" w:cs="Times New Roman"/>
          <w:sz w:val="24"/>
        </w:rPr>
        <w:t>Водолажская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// Вестник Казанского технологического университета.- 2013.- Том 16, №13. - С.215-218.- Режим доступа: http://cyberleninka.ru/article/n/prichiny-vozniknoveniyaekonomicheskih-krizisov-i-ih-harakteristika Дата обращения 30.03.2017</w:t>
      </w:r>
    </w:p>
  </w:footnote>
  <w:footnote w:id="8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Коротков, Э.М. Антикризисное управление / Под ред. Э.М. Короткова. – М.: ИНФРА-М, 2015. – 432 с.</w:t>
      </w:r>
    </w:p>
  </w:footnote>
  <w:footnote w:id="9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Качалов, М.И. Три параметра кризиса / М.И. Качалов // Управление компанией. – 2015. – №12. – С. 25-29.</w:t>
      </w:r>
    </w:p>
  </w:footnote>
  <w:footnote w:id="10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</w:footnote>
  <w:footnote w:id="11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Муртазина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А.И., Егоров В.А. Причины и типология кризисов // Инновации, технологии, наука: сборник статей Международной научно-практической конференции. Уфа: МЦИИ ОМЕГА САЙНС, 2016. - С. 149-151.</w:t>
      </w:r>
    </w:p>
  </w:footnote>
  <w:footnote w:id="12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Бойко И. И. Меры по преодолению кризисных ситуаций в экономике. – СПб. 2017. – С. 68.</w:t>
      </w:r>
    </w:p>
  </w:footnote>
  <w:footnote w:id="13">
    <w:p w:rsidR="00D5709E" w:rsidRDefault="00D5709E" w:rsidP="00D5709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5709E">
        <w:rPr>
          <w:rFonts w:ascii="Times New Roman" w:hAnsi="Times New Roman" w:cs="Times New Roman"/>
          <w:sz w:val="24"/>
        </w:rPr>
        <w:t>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</w:footnote>
  <w:footnote w:id="14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Ткаля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, А.И. Неплатежеспособность в современных условиях / А.И. </w:t>
      </w:r>
      <w:proofErr w:type="spellStart"/>
      <w:r w:rsidRPr="00D5709E">
        <w:rPr>
          <w:rFonts w:ascii="Times New Roman" w:hAnsi="Times New Roman" w:cs="Times New Roman"/>
          <w:sz w:val="24"/>
        </w:rPr>
        <w:t>Ткаля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// Экономика и жизнь. – 2016. – №3. – С. 5-6.</w:t>
      </w:r>
    </w:p>
  </w:footnote>
  <w:footnote w:id="15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Банковский менеджмент и бизнес-инжиниринг. В 2-х т. Т. 1 / Р.А. Исаев. - 2-e изд., </w:t>
      </w:r>
      <w:proofErr w:type="spellStart"/>
      <w:r w:rsidRPr="00D5709E">
        <w:rPr>
          <w:rFonts w:ascii="Times New Roman" w:hAnsi="Times New Roman" w:cs="Times New Roman"/>
          <w:sz w:val="24"/>
        </w:rPr>
        <w:t>перераб</w:t>
      </w:r>
      <w:proofErr w:type="spellEnd"/>
      <w:r w:rsidRPr="00D5709E">
        <w:rPr>
          <w:rFonts w:ascii="Times New Roman" w:hAnsi="Times New Roman" w:cs="Times New Roman"/>
          <w:sz w:val="24"/>
        </w:rPr>
        <w:t>. и доп. - М.: НИЦ ИНФРА-М, 2015. —286 с.</w:t>
      </w:r>
    </w:p>
  </w:footnote>
  <w:footnote w:id="16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Морозова Т.Ю. О совершенствовании проверки и оценки качества управления кредитной организацией // Аналитический банковский журнал. 2016. - № 3. - C. 28-36.</w:t>
      </w:r>
    </w:p>
  </w:footnote>
  <w:footnote w:id="17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5709E">
        <w:rPr>
          <w:rFonts w:ascii="Times New Roman" w:hAnsi="Times New Roman" w:cs="Times New Roman"/>
          <w:sz w:val="24"/>
        </w:rPr>
        <w:t>Ханова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</w:footnote>
  <w:footnote w:id="18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Коротков, Э.М. Антикризисное управление / Под ред. Э.М. Короткова. – М.: ИНФРА-М, 2015. – 432 с.</w:t>
      </w:r>
    </w:p>
  </w:footnote>
  <w:footnote w:id="19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Амосов, А.Н. Особенности антикризисного управления / А.Н. Амосов // Финансист. – 2015. – №2. – С.45-47.</w:t>
      </w:r>
    </w:p>
  </w:footnote>
  <w:footnote w:id="20">
    <w:p w:rsidR="00715EC2" w:rsidRPr="0063404F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  <w:lang w:val="en-US"/>
        </w:rPr>
        <w:t xml:space="preserve"> Remaking financial services: risk management five years after the crisis: a survey of major financial institutions. EYGM</w:t>
      </w:r>
      <w:r w:rsidRPr="006340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5EC2">
        <w:rPr>
          <w:rFonts w:ascii="Times New Roman" w:hAnsi="Times New Roman" w:cs="Times New Roman"/>
          <w:sz w:val="24"/>
          <w:lang w:val="en-US"/>
        </w:rPr>
        <w:t>Limited</w:t>
      </w:r>
      <w:r w:rsidRPr="0063404F">
        <w:rPr>
          <w:rFonts w:ascii="Times New Roman" w:hAnsi="Times New Roman" w:cs="Times New Roman"/>
          <w:sz w:val="24"/>
        </w:rPr>
        <w:t>.,</w:t>
      </w:r>
      <w:proofErr w:type="gramEnd"/>
      <w:r w:rsidRPr="0063404F">
        <w:rPr>
          <w:rFonts w:ascii="Times New Roman" w:hAnsi="Times New Roman" w:cs="Times New Roman"/>
          <w:sz w:val="24"/>
        </w:rPr>
        <w:t xml:space="preserve"> 2013. – 543 </w:t>
      </w:r>
      <w:r w:rsidRPr="00715EC2">
        <w:rPr>
          <w:rFonts w:ascii="Times New Roman" w:hAnsi="Times New Roman" w:cs="Times New Roman"/>
          <w:sz w:val="24"/>
        </w:rPr>
        <w:t>с</w:t>
      </w:r>
      <w:r w:rsidRPr="0063404F">
        <w:rPr>
          <w:rFonts w:ascii="Times New Roman" w:hAnsi="Times New Roman" w:cs="Times New Roman"/>
          <w:sz w:val="24"/>
        </w:rPr>
        <w:t>.</w:t>
      </w:r>
    </w:p>
  </w:footnote>
  <w:footnote w:id="21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EC2">
        <w:rPr>
          <w:rFonts w:ascii="Times New Roman" w:hAnsi="Times New Roman" w:cs="Times New Roman"/>
          <w:sz w:val="24"/>
        </w:rPr>
        <w:t>Ханова</w:t>
      </w:r>
      <w:proofErr w:type="spellEnd"/>
      <w:r w:rsidRPr="00715EC2">
        <w:rPr>
          <w:rFonts w:ascii="Times New Roman" w:hAnsi="Times New Roman" w:cs="Times New Roman"/>
          <w:sz w:val="24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9EE1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1D90195"/>
    <w:multiLevelType w:val="multilevel"/>
    <w:tmpl w:val="A41C3148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2215EAA"/>
    <w:multiLevelType w:val="hybridMultilevel"/>
    <w:tmpl w:val="BF42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7BF3"/>
    <w:multiLevelType w:val="hybridMultilevel"/>
    <w:tmpl w:val="395CD220"/>
    <w:lvl w:ilvl="0" w:tplc="9B6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A1EC7"/>
    <w:multiLevelType w:val="hybridMultilevel"/>
    <w:tmpl w:val="55367AAC"/>
    <w:lvl w:ilvl="0" w:tplc="C90AFB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6BE"/>
    <w:multiLevelType w:val="multilevel"/>
    <w:tmpl w:val="7ECCE6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6">
    <w:nsid w:val="7C1336B8"/>
    <w:multiLevelType w:val="hybridMultilevel"/>
    <w:tmpl w:val="D08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8"/>
    <w:rsid w:val="000125E9"/>
    <w:rsid w:val="00012BF3"/>
    <w:rsid w:val="000313AD"/>
    <w:rsid w:val="00037167"/>
    <w:rsid w:val="00052041"/>
    <w:rsid w:val="000A18B6"/>
    <w:rsid w:val="000C4325"/>
    <w:rsid w:val="000D1AEB"/>
    <w:rsid w:val="000D5F7F"/>
    <w:rsid w:val="000D69BB"/>
    <w:rsid w:val="000E24CC"/>
    <w:rsid w:val="00104760"/>
    <w:rsid w:val="00106CD2"/>
    <w:rsid w:val="0011427A"/>
    <w:rsid w:val="001301F7"/>
    <w:rsid w:val="001308F4"/>
    <w:rsid w:val="001506FF"/>
    <w:rsid w:val="001677A4"/>
    <w:rsid w:val="00177316"/>
    <w:rsid w:val="001B6F3B"/>
    <w:rsid w:val="001D1C6A"/>
    <w:rsid w:val="002063E5"/>
    <w:rsid w:val="0023121D"/>
    <w:rsid w:val="002427BF"/>
    <w:rsid w:val="00256A7D"/>
    <w:rsid w:val="002612FA"/>
    <w:rsid w:val="0026190A"/>
    <w:rsid w:val="00282508"/>
    <w:rsid w:val="002B5D00"/>
    <w:rsid w:val="002C1BA0"/>
    <w:rsid w:val="002F7220"/>
    <w:rsid w:val="003163D1"/>
    <w:rsid w:val="00321DED"/>
    <w:rsid w:val="00333D62"/>
    <w:rsid w:val="00342B5D"/>
    <w:rsid w:val="00376D31"/>
    <w:rsid w:val="003832BE"/>
    <w:rsid w:val="00391CE3"/>
    <w:rsid w:val="003A5D2C"/>
    <w:rsid w:val="003B21FF"/>
    <w:rsid w:val="003C767F"/>
    <w:rsid w:val="003D0638"/>
    <w:rsid w:val="003D6E82"/>
    <w:rsid w:val="003E25E5"/>
    <w:rsid w:val="004047DF"/>
    <w:rsid w:val="004120EF"/>
    <w:rsid w:val="00437E1C"/>
    <w:rsid w:val="00453ABC"/>
    <w:rsid w:val="0046424B"/>
    <w:rsid w:val="00470D92"/>
    <w:rsid w:val="00487DFA"/>
    <w:rsid w:val="00494888"/>
    <w:rsid w:val="00495970"/>
    <w:rsid w:val="004A42CB"/>
    <w:rsid w:val="004B0CC0"/>
    <w:rsid w:val="004C093A"/>
    <w:rsid w:val="004C3371"/>
    <w:rsid w:val="004C3956"/>
    <w:rsid w:val="004E7C15"/>
    <w:rsid w:val="00521544"/>
    <w:rsid w:val="00532BA3"/>
    <w:rsid w:val="00537688"/>
    <w:rsid w:val="00551A0D"/>
    <w:rsid w:val="00566906"/>
    <w:rsid w:val="00583366"/>
    <w:rsid w:val="00585196"/>
    <w:rsid w:val="00590366"/>
    <w:rsid w:val="00592DAB"/>
    <w:rsid w:val="005D47EF"/>
    <w:rsid w:val="005D6831"/>
    <w:rsid w:val="005E636F"/>
    <w:rsid w:val="00605BB0"/>
    <w:rsid w:val="006158EF"/>
    <w:rsid w:val="0062574F"/>
    <w:rsid w:val="00626933"/>
    <w:rsid w:val="0063404F"/>
    <w:rsid w:val="00647DDC"/>
    <w:rsid w:val="00650125"/>
    <w:rsid w:val="00655217"/>
    <w:rsid w:val="006774B0"/>
    <w:rsid w:val="006843A7"/>
    <w:rsid w:val="006963B2"/>
    <w:rsid w:val="006C2EB1"/>
    <w:rsid w:val="007010F1"/>
    <w:rsid w:val="00715EC2"/>
    <w:rsid w:val="00725D44"/>
    <w:rsid w:val="00726362"/>
    <w:rsid w:val="00727349"/>
    <w:rsid w:val="00730B89"/>
    <w:rsid w:val="00757FEB"/>
    <w:rsid w:val="00770CE0"/>
    <w:rsid w:val="00786EEF"/>
    <w:rsid w:val="0079049D"/>
    <w:rsid w:val="007A3AEC"/>
    <w:rsid w:val="007C642C"/>
    <w:rsid w:val="007D3D88"/>
    <w:rsid w:val="007F683B"/>
    <w:rsid w:val="00801228"/>
    <w:rsid w:val="00810400"/>
    <w:rsid w:val="008107C4"/>
    <w:rsid w:val="00814E0C"/>
    <w:rsid w:val="008164AA"/>
    <w:rsid w:val="00824197"/>
    <w:rsid w:val="008320F6"/>
    <w:rsid w:val="008F1F2C"/>
    <w:rsid w:val="009018DC"/>
    <w:rsid w:val="0091074A"/>
    <w:rsid w:val="00912A46"/>
    <w:rsid w:val="00954E9C"/>
    <w:rsid w:val="00961BD5"/>
    <w:rsid w:val="00987B5C"/>
    <w:rsid w:val="009A04A0"/>
    <w:rsid w:val="009A22A9"/>
    <w:rsid w:val="009B50CD"/>
    <w:rsid w:val="009F4CF5"/>
    <w:rsid w:val="00A039FA"/>
    <w:rsid w:val="00A2443A"/>
    <w:rsid w:val="00A51974"/>
    <w:rsid w:val="00A52DBE"/>
    <w:rsid w:val="00A873E9"/>
    <w:rsid w:val="00A8774C"/>
    <w:rsid w:val="00AA1551"/>
    <w:rsid w:val="00AD09E0"/>
    <w:rsid w:val="00AE2DD7"/>
    <w:rsid w:val="00AF025A"/>
    <w:rsid w:val="00B056B9"/>
    <w:rsid w:val="00B95190"/>
    <w:rsid w:val="00BB18FB"/>
    <w:rsid w:val="00BB191D"/>
    <w:rsid w:val="00BB1B06"/>
    <w:rsid w:val="00BC2668"/>
    <w:rsid w:val="00BC5712"/>
    <w:rsid w:val="00BC76D2"/>
    <w:rsid w:val="00BE13BD"/>
    <w:rsid w:val="00BE6267"/>
    <w:rsid w:val="00C009ED"/>
    <w:rsid w:val="00C0463A"/>
    <w:rsid w:val="00C22F73"/>
    <w:rsid w:val="00C3156B"/>
    <w:rsid w:val="00C35928"/>
    <w:rsid w:val="00C46DE8"/>
    <w:rsid w:val="00C76A98"/>
    <w:rsid w:val="00C824B8"/>
    <w:rsid w:val="00CA6C27"/>
    <w:rsid w:val="00CA7A95"/>
    <w:rsid w:val="00CC3AAA"/>
    <w:rsid w:val="00D32BC5"/>
    <w:rsid w:val="00D51DD6"/>
    <w:rsid w:val="00D5709E"/>
    <w:rsid w:val="00D62386"/>
    <w:rsid w:val="00D82649"/>
    <w:rsid w:val="00D93971"/>
    <w:rsid w:val="00DA56F0"/>
    <w:rsid w:val="00DB606D"/>
    <w:rsid w:val="00DD1A4E"/>
    <w:rsid w:val="00DE5AE4"/>
    <w:rsid w:val="00DF53B7"/>
    <w:rsid w:val="00E313E1"/>
    <w:rsid w:val="00E33A96"/>
    <w:rsid w:val="00E94E88"/>
    <w:rsid w:val="00EC7E2E"/>
    <w:rsid w:val="00ED09AE"/>
    <w:rsid w:val="00EF1F3F"/>
    <w:rsid w:val="00F25727"/>
    <w:rsid w:val="00F32636"/>
    <w:rsid w:val="00F369E0"/>
    <w:rsid w:val="00F60383"/>
    <w:rsid w:val="00F77B32"/>
    <w:rsid w:val="00FA3B40"/>
    <w:rsid w:val="00FB40D3"/>
    <w:rsid w:val="00FC5F9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7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7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7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4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6C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56B"/>
  </w:style>
  <w:style w:type="paragraph" w:styleId="ad">
    <w:name w:val="footer"/>
    <w:basedOn w:val="a"/>
    <w:link w:val="ae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7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7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7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4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6C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56B"/>
  </w:style>
  <w:style w:type="paragraph" w:styleId="ad">
    <w:name w:val="footer"/>
    <w:basedOn w:val="a"/>
    <w:link w:val="ae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alizbankov.ru/bank.php?BankRegn=650&amp;BankMenu=check&amp;PokId=4745" TargetMode="External"/><Relationship Id="rId117" Type="http://schemas.openxmlformats.org/officeDocument/2006/relationships/hyperlink" Target="http://analizbankov.ru/bank.php?BankRegn=650&amp;BankMenu=check&amp;PokId=6611&amp;Date=2018-03-01" TargetMode="External"/><Relationship Id="rId21" Type="http://schemas.openxmlformats.org/officeDocument/2006/relationships/hyperlink" Target="http://www.analizbankov.ru/bank.php?BankRegn=650&amp;BankMenu=check&amp;PokId=4739" TargetMode="External"/><Relationship Id="rId42" Type="http://schemas.openxmlformats.org/officeDocument/2006/relationships/hyperlink" Target="http://www.analizbankov.ru/bank.php?BankRegn=650&amp;BankMenu=check&amp;PokId=4962" TargetMode="External"/><Relationship Id="rId47" Type="http://schemas.openxmlformats.org/officeDocument/2006/relationships/hyperlink" Target="http://www.analizbankov.ru/bank.php?BankRegn=650&amp;BankMenu=check&amp;PokId=5103" TargetMode="External"/><Relationship Id="rId63" Type="http://schemas.openxmlformats.org/officeDocument/2006/relationships/hyperlink" Target="http://analizbankov.ru/bank.php?BankRegn=650&amp;BankMenu=check&amp;PokId=4589&amp;Date=2018-03-01" TargetMode="External"/><Relationship Id="rId68" Type="http://schemas.openxmlformats.org/officeDocument/2006/relationships/hyperlink" Target="http://analizbankov.ru/bank.php?BankRegn=650&amp;BankMenu=check&amp;PokId=4651&amp;Date=2017-03-01" TargetMode="External"/><Relationship Id="rId84" Type="http://schemas.openxmlformats.org/officeDocument/2006/relationships/hyperlink" Target="http://www.analizbankov.ru/bank.php?BankRegn=650&amp;BankMenu=check&amp;PokId=8507&amp;Date=2018-03-01" TargetMode="External"/><Relationship Id="rId89" Type="http://schemas.openxmlformats.org/officeDocument/2006/relationships/hyperlink" Target="http://www.analizbankov.ru/bank.php?BankRegn=650&amp;BankMenu=check&amp;PokId=8510&amp;Date=2018-03-01" TargetMode="External"/><Relationship Id="rId112" Type="http://schemas.openxmlformats.org/officeDocument/2006/relationships/hyperlink" Target="http://analizbankov.ru/bank.php?BankRegn=650&amp;BankMenu=check&amp;PokId=6608&amp;Date=2017-03-01" TargetMode="External"/><Relationship Id="rId133" Type="http://schemas.openxmlformats.org/officeDocument/2006/relationships/hyperlink" Target="http://analizbankov.ru/bank.php?BankRegn=650&amp;BankMenu=check&amp;PokId=6677&amp;Date=2018-03-01" TargetMode="External"/><Relationship Id="rId138" Type="http://schemas.openxmlformats.org/officeDocument/2006/relationships/hyperlink" Target="http://analizbankov.ru/bank.php?BankRegn=650&amp;BankMenu=check&amp;PokId=6679&amp;Date=2017-03-01" TargetMode="External"/><Relationship Id="rId16" Type="http://schemas.openxmlformats.org/officeDocument/2006/relationships/hyperlink" Target="http://www.analizbankov.ru/bank.php?BankRegn=650&amp;BankMenu=check&amp;PokId=4553" TargetMode="External"/><Relationship Id="rId107" Type="http://schemas.openxmlformats.org/officeDocument/2006/relationships/hyperlink" Target="http://analizbankov.ru/bank.php?BankRegn=650&amp;BankMenu=check&amp;PokId=4541&amp;Date=2018-03-01" TargetMode="External"/><Relationship Id="rId11" Type="http://schemas.openxmlformats.org/officeDocument/2006/relationships/chart" Target="charts/chart1.xml"/><Relationship Id="rId32" Type="http://schemas.openxmlformats.org/officeDocument/2006/relationships/hyperlink" Target="http://www.analizbankov.ru/bank.php?BankRegn=650&amp;BankMenu=check&amp;PokId=5819" TargetMode="External"/><Relationship Id="rId37" Type="http://schemas.openxmlformats.org/officeDocument/2006/relationships/chart" Target="charts/chart3.xml"/><Relationship Id="rId53" Type="http://schemas.openxmlformats.org/officeDocument/2006/relationships/chart" Target="charts/chart5.xml"/><Relationship Id="rId58" Type="http://schemas.openxmlformats.org/officeDocument/2006/relationships/hyperlink" Target="http://analizbankov.ru/bank.php?BankRegn=650&amp;BankMenu=check&amp;PokId=4556&amp;Date=2017-03-01" TargetMode="External"/><Relationship Id="rId74" Type="http://schemas.openxmlformats.org/officeDocument/2006/relationships/hyperlink" Target="http://analizbankov.ru/bank.php?BankRegn=650&amp;BankMenu=check&amp;PokId=6473&amp;Date=2017-03-01" TargetMode="External"/><Relationship Id="rId79" Type="http://schemas.openxmlformats.org/officeDocument/2006/relationships/hyperlink" Target="http://www.analizbankov.ru/bank.php?BankRegn=650&amp;BankMenu=check&amp;PokId=8500&amp;Date=2018-03-01" TargetMode="External"/><Relationship Id="rId102" Type="http://schemas.openxmlformats.org/officeDocument/2006/relationships/hyperlink" Target="http://analizbankov.ru/bank.php?BankRegn=650&amp;BankMenu=check&amp;PokId=4385&amp;Date=2017-03-01" TargetMode="External"/><Relationship Id="rId123" Type="http://schemas.openxmlformats.org/officeDocument/2006/relationships/hyperlink" Target="http://analizbankov.ru/bank.php?BankRegn=650&amp;BankMenu=check&amp;PokId=6613&amp;Date=2018-03-01" TargetMode="External"/><Relationship Id="rId128" Type="http://schemas.openxmlformats.org/officeDocument/2006/relationships/hyperlink" Target="http://analizbankov.ru/bank.php?BankRegn=650&amp;BankMenu=check&amp;PokId=4983&amp;Date=2017-03-01" TargetMode="External"/><Relationship Id="rId144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://www.analizbankov.ru/bank.php?BankRegn=650&amp;BankMenu=check&amp;PokId=8511&amp;Date=2018-03-01" TargetMode="External"/><Relationship Id="rId95" Type="http://schemas.openxmlformats.org/officeDocument/2006/relationships/hyperlink" Target="http://www.analizbankov.ru/bank.php?BankRegn=650&amp;BankMenu=check&amp;PokId=8518&amp;Date=2018-03-01" TargetMode="External"/><Relationship Id="rId22" Type="http://schemas.openxmlformats.org/officeDocument/2006/relationships/hyperlink" Target="http://www.analizbankov.ru/bank.php?BankRegn=650&amp;BankMenu=check&amp;PokId=4742" TargetMode="External"/><Relationship Id="rId27" Type="http://schemas.openxmlformats.org/officeDocument/2006/relationships/hyperlink" Target="http://www.analizbankov.ru/bank.php?BankRegn=650&amp;BankMenu=check&amp;PokId=4745" TargetMode="External"/><Relationship Id="rId43" Type="http://schemas.openxmlformats.org/officeDocument/2006/relationships/hyperlink" Target="http://www.analizbankov.ru/bank.php?BankRegn=650&amp;BankMenu=check&amp;PokId=4981" TargetMode="External"/><Relationship Id="rId48" Type="http://schemas.openxmlformats.org/officeDocument/2006/relationships/hyperlink" Target="http://www.analizbankov.ru/bank.php?BankRegn=650&amp;BankMenu=check&amp;PokId=5103" TargetMode="External"/><Relationship Id="rId64" Type="http://schemas.openxmlformats.org/officeDocument/2006/relationships/hyperlink" Target="http://analizbankov.ru/bank.php?BankRegn=650&amp;BankMenu=check&amp;PokId=4600&amp;Date=2017-03-01" TargetMode="External"/><Relationship Id="rId69" Type="http://schemas.openxmlformats.org/officeDocument/2006/relationships/hyperlink" Target="http://analizbankov.ru/bank.php?BankRegn=650&amp;BankMenu=check&amp;PokId=4651&amp;Date=2018-03-01" TargetMode="External"/><Relationship Id="rId113" Type="http://schemas.openxmlformats.org/officeDocument/2006/relationships/hyperlink" Target="http://analizbankov.ru/bank.php?BankRegn=650&amp;BankMenu=check&amp;PokId=6608&amp;Date=2018-03-01" TargetMode="External"/><Relationship Id="rId118" Type="http://schemas.openxmlformats.org/officeDocument/2006/relationships/chart" Target="charts/chart8.xml"/><Relationship Id="rId134" Type="http://schemas.openxmlformats.org/officeDocument/2006/relationships/hyperlink" Target="http://analizbankov.ru/bank.php?BankRegn=650&amp;BankMenu=check&amp;PokId=6678&amp;Date=2017-03-01" TargetMode="External"/><Relationship Id="rId139" Type="http://schemas.openxmlformats.org/officeDocument/2006/relationships/hyperlink" Target="http://analizbankov.ru/bank.php?BankRegn=650&amp;BankMenu=check&amp;PokId=6679&amp;Date=2018-03-01" TargetMode="External"/><Relationship Id="rId80" Type="http://schemas.openxmlformats.org/officeDocument/2006/relationships/hyperlink" Target="http://www.analizbankov.ru/bank.php?BankRegn=650&amp;BankMenu=check&amp;PokId=8501&amp;Date=2018-03-01" TargetMode="External"/><Relationship Id="rId85" Type="http://schemas.openxmlformats.org/officeDocument/2006/relationships/hyperlink" Target="http://www.analizbankov.ru/bank.php?BankRegn=650&amp;BankMenu=check&amp;PokId=8508&amp;Date=2018-03-0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nalizbankov.ru/bank.php?BankRegn=650&amp;BankMenu=check&amp;PokId=4383" TargetMode="External"/><Relationship Id="rId17" Type="http://schemas.openxmlformats.org/officeDocument/2006/relationships/hyperlink" Target="http://www.analizbankov.ru/bank.php?BankRegn=650&amp;BankMenu=check&amp;PokId=4553" TargetMode="External"/><Relationship Id="rId25" Type="http://schemas.openxmlformats.org/officeDocument/2006/relationships/hyperlink" Target="http://www.analizbankov.ru/bank.php?BankRegn=650&amp;BankMenu=check&amp;PokId=4743" TargetMode="External"/><Relationship Id="rId33" Type="http://schemas.openxmlformats.org/officeDocument/2006/relationships/hyperlink" Target="http://www.analizbankov.ru/bank.php?BankRegn=650&amp;BankMenu=check&amp;PokId=5819" TargetMode="External"/><Relationship Id="rId38" Type="http://schemas.openxmlformats.org/officeDocument/2006/relationships/chart" Target="charts/chart4.xml"/><Relationship Id="rId46" Type="http://schemas.openxmlformats.org/officeDocument/2006/relationships/hyperlink" Target="http://www.analizbankov.ru/bank.php?BankRegn=650&amp;BankMenu=check&amp;PokId=5086" TargetMode="External"/><Relationship Id="rId59" Type="http://schemas.openxmlformats.org/officeDocument/2006/relationships/hyperlink" Target="http://analizbankov.ru/bank.php?BankRegn=650&amp;BankMenu=check&amp;PokId=4556&amp;Date=2018-03-01" TargetMode="External"/><Relationship Id="rId67" Type="http://schemas.openxmlformats.org/officeDocument/2006/relationships/hyperlink" Target="http://analizbankov.ru/bank.php?BankRegn=650&amp;BankMenu=check&amp;PokId=4648&amp;Date=2018-03-01" TargetMode="External"/><Relationship Id="rId103" Type="http://schemas.openxmlformats.org/officeDocument/2006/relationships/hyperlink" Target="http://analizbankov.ru/bank.php?BankRegn=650&amp;BankMenu=check&amp;PokId=4385&amp;Date=2018-03-01" TargetMode="External"/><Relationship Id="rId108" Type="http://schemas.openxmlformats.org/officeDocument/2006/relationships/hyperlink" Target="http://analizbankov.ru/bank.php?BankRegn=650&amp;BankMenu=check&amp;PokId=6674&amp;Date=2017-03-01" TargetMode="External"/><Relationship Id="rId116" Type="http://schemas.openxmlformats.org/officeDocument/2006/relationships/hyperlink" Target="http://analizbankov.ru/bank.php?BankRegn=650&amp;BankMenu=check&amp;PokId=6611&amp;Date=2017-03-01" TargetMode="External"/><Relationship Id="rId124" Type="http://schemas.openxmlformats.org/officeDocument/2006/relationships/hyperlink" Target="http://analizbankov.ru/bank.php?BankRegn=650&amp;BankMenu=check&amp;PokId=6615&amp;Date=2017-03-01" TargetMode="External"/><Relationship Id="rId129" Type="http://schemas.openxmlformats.org/officeDocument/2006/relationships/hyperlink" Target="http://analizbankov.ru/bank.php?BankRegn=650&amp;BankMenu=check&amp;PokId=4983&amp;Date=2018-03-01" TargetMode="External"/><Relationship Id="rId137" Type="http://schemas.openxmlformats.org/officeDocument/2006/relationships/hyperlink" Target="http://analizbankov.ru/bank.php?BankRegn=650&amp;BankMenu=check&amp;PokId=6617&amp;Date=2018-03-01" TargetMode="External"/><Relationship Id="rId20" Type="http://schemas.openxmlformats.org/officeDocument/2006/relationships/hyperlink" Target="http://www.analizbankov.ru/bank.php?BankRegn=650&amp;BankMenu=check&amp;PokId=4739" TargetMode="External"/><Relationship Id="rId41" Type="http://schemas.openxmlformats.org/officeDocument/2006/relationships/hyperlink" Target="http://www.analizbankov.ru/bank.php?BankRegn=650&amp;BankMenu=check&amp;PokId=4962" TargetMode="External"/><Relationship Id="rId54" Type="http://schemas.openxmlformats.org/officeDocument/2006/relationships/chart" Target="charts/chart6.xml"/><Relationship Id="rId62" Type="http://schemas.openxmlformats.org/officeDocument/2006/relationships/hyperlink" Target="http://analizbankov.ru/bank.php?BankRegn=650&amp;BankMenu=check&amp;PokId=4589&amp;Date=2017-03-01" TargetMode="External"/><Relationship Id="rId70" Type="http://schemas.openxmlformats.org/officeDocument/2006/relationships/hyperlink" Target="http://analizbankov.ru/bank.php?BankRegn=650&amp;BankMenu=check&amp;PokId=6681&amp;Date=2017-03-01" TargetMode="External"/><Relationship Id="rId75" Type="http://schemas.openxmlformats.org/officeDocument/2006/relationships/hyperlink" Target="http://analizbankov.ru/bank.php?BankRegn=650&amp;BankMenu=check&amp;PokId=6473&amp;Date=2018-03-01" TargetMode="External"/><Relationship Id="rId83" Type="http://schemas.openxmlformats.org/officeDocument/2006/relationships/hyperlink" Target="http://www.analizbankov.ru/bank.php?BankRegn=650&amp;BankMenu=check&amp;PokId=8506&amp;Date=2018-03-01" TargetMode="External"/><Relationship Id="rId88" Type="http://schemas.openxmlformats.org/officeDocument/2006/relationships/hyperlink" Target="http://www.analizbankov.ru/bank.php?BankRegn=650&amp;BankMenu=check&amp;PokId=8509&amp;Date=2018-03-01" TargetMode="External"/><Relationship Id="rId91" Type="http://schemas.openxmlformats.org/officeDocument/2006/relationships/hyperlink" Target="http://www.analizbankov.ru/bank.php?BankRegn=650&amp;BankMenu=check&amp;PokId=8512&amp;Date=2018-03-01" TargetMode="External"/><Relationship Id="rId96" Type="http://schemas.openxmlformats.org/officeDocument/2006/relationships/hyperlink" Target="http://www.analizbankov.ru/bank.php?BankRegn=650&amp;BankMenu=check&amp;PokId=8519&amp;Date=2018-03-01" TargetMode="External"/><Relationship Id="rId111" Type="http://schemas.openxmlformats.org/officeDocument/2006/relationships/hyperlink" Target="http://analizbankov.ru/bank.php?BankRegn=650&amp;BankMenu=check&amp;PokId=6607&amp;Date=2018-03-01" TargetMode="External"/><Relationship Id="rId132" Type="http://schemas.openxmlformats.org/officeDocument/2006/relationships/hyperlink" Target="http://analizbankov.ru/bank.php?BankRegn=650&amp;BankMenu=check&amp;PokId=6677&amp;Date=2017-03-01" TargetMode="External"/><Relationship Id="rId140" Type="http://schemas.openxmlformats.org/officeDocument/2006/relationships/hyperlink" Target="http://analizbankov.ru/bank.php?BankRegn=650&amp;BankMenu=check&amp;PokId=6617&amp;Date=2017-03-01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nalizbankov.ru/bank.php?BankRegn=650&amp;BankMenu=check&amp;PokId=4552" TargetMode="External"/><Relationship Id="rId23" Type="http://schemas.openxmlformats.org/officeDocument/2006/relationships/hyperlink" Target="http://www.analizbankov.ru/bank.php?BankRegn=650&amp;BankMenu=check&amp;PokId=4742" TargetMode="External"/><Relationship Id="rId28" Type="http://schemas.openxmlformats.org/officeDocument/2006/relationships/hyperlink" Target="http://www.analizbankov.ru/bank.php?BankRegn=650&amp;BankMenu=check&amp;PokId=4752" TargetMode="External"/><Relationship Id="rId36" Type="http://schemas.openxmlformats.org/officeDocument/2006/relationships/chart" Target="charts/chart2.xml"/><Relationship Id="rId49" Type="http://schemas.openxmlformats.org/officeDocument/2006/relationships/hyperlink" Target="http://www.analizbankov.ru/bank.php?BankRegn=650&amp;BankMenu=check&amp;PokId=6473" TargetMode="External"/><Relationship Id="rId57" Type="http://schemas.openxmlformats.org/officeDocument/2006/relationships/hyperlink" Target="http://analizbankov.ru/bank.php?BankRegn=650&amp;BankMenu=check&amp;PokId=6680&amp;Date=2018-03-01" TargetMode="External"/><Relationship Id="rId106" Type="http://schemas.openxmlformats.org/officeDocument/2006/relationships/hyperlink" Target="http://analizbankov.ru/bank.php?BankRegn=650&amp;BankMenu=check&amp;PokId=4541&amp;Date=2017-03-01" TargetMode="External"/><Relationship Id="rId114" Type="http://schemas.openxmlformats.org/officeDocument/2006/relationships/hyperlink" Target="http://analizbankov.ru/bank.php?BankRegn=650&amp;BankMenu=check&amp;PokId=6611&amp;Date=2017-03-01" TargetMode="External"/><Relationship Id="rId119" Type="http://schemas.openxmlformats.org/officeDocument/2006/relationships/chart" Target="charts/chart9.xml"/><Relationship Id="rId127" Type="http://schemas.openxmlformats.org/officeDocument/2006/relationships/hyperlink" Target="http://analizbankov.ru/bank.php?BankRegn=650&amp;BankMenu=check&amp;PokId=6675&amp;Date=2018-03-01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analizbankov.ru/bank.php?BankRegn=650&amp;BankMenu=check&amp;PokId=7021" TargetMode="External"/><Relationship Id="rId44" Type="http://schemas.openxmlformats.org/officeDocument/2006/relationships/hyperlink" Target="http://www.analizbankov.ru/bank.php?BankRegn=650&amp;BankMenu=check&amp;PokId=4981" TargetMode="External"/><Relationship Id="rId52" Type="http://schemas.openxmlformats.org/officeDocument/2006/relationships/hyperlink" Target="http://www.analizbankov.ru/bank.php?BankRegn=650&amp;BankMenu=check&amp;PokId=6474" TargetMode="External"/><Relationship Id="rId60" Type="http://schemas.openxmlformats.org/officeDocument/2006/relationships/hyperlink" Target="http://analizbankov.ru/bank.php?BankRegn=650&amp;BankMenu=check&amp;PokId=4578&amp;Date=2017-03-01" TargetMode="External"/><Relationship Id="rId65" Type="http://schemas.openxmlformats.org/officeDocument/2006/relationships/hyperlink" Target="http://analizbankov.ru/bank.php?BankRegn=650&amp;BankMenu=check&amp;PokId=4600&amp;Date=2018-03-01" TargetMode="External"/><Relationship Id="rId73" Type="http://schemas.openxmlformats.org/officeDocument/2006/relationships/hyperlink" Target="http://analizbankov.ru/bank.php?BankRegn=650&amp;BankMenu=check&amp;PokId=6473&amp;Date=2018-03-01" TargetMode="External"/><Relationship Id="rId78" Type="http://schemas.openxmlformats.org/officeDocument/2006/relationships/hyperlink" Target="http://www.analizbankov.ru/bank.php?BankRegn=650&amp;BankMenu=check&amp;PokId=8499&amp;Date=2018-03-01" TargetMode="External"/><Relationship Id="rId81" Type="http://schemas.openxmlformats.org/officeDocument/2006/relationships/hyperlink" Target="http://www.analizbankov.ru/bank.php?BankRegn=650&amp;BankMenu=check&amp;PokId=8502&amp;Date=2018-03-01" TargetMode="External"/><Relationship Id="rId86" Type="http://schemas.openxmlformats.org/officeDocument/2006/relationships/hyperlink" Target="http://www.analizbankov.ru/bank.php?BankRegn=650&amp;BankMenu=check&amp;PokId=8504&amp;Date=2018-03-01" TargetMode="External"/><Relationship Id="rId94" Type="http://schemas.openxmlformats.org/officeDocument/2006/relationships/hyperlink" Target="http://www.analizbankov.ru/bank.php?BankRegn=650&amp;BankMenu=check&amp;PokId=8520&amp;Date=2018-03-01" TargetMode="External"/><Relationship Id="rId99" Type="http://schemas.openxmlformats.org/officeDocument/2006/relationships/hyperlink" Target="http://www.analizbankov.ru/bank.php?BankRegn=650&amp;BankMenu=check&amp;PokId=8523&amp;Date=2018-03-01" TargetMode="External"/><Relationship Id="rId101" Type="http://schemas.openxmlformats.org/officeDocument/2006/relationships/hyperlink" Target="http://www.analizbankov.ru/bank.php?BankRegn=650&amp;BankMenu=check&amp;PokId=8525&amp;Date=2018-03-01" TargetMode="External"/><Relationship Id="rId122" Type="http://schemas.openxmlformats.org/officeDocument/2006/relationships/hyperlink" Target="http://analizbankov.ru/bank.php?BankRegn=650&amp;BankMenu=check&amp;PokId=6613&amp;Date=2017-03-01" TargetMode="External"/><Relationship Id="rId130" Type="http://schemas.openxmlformats.org/officeDocument/2006/relationships/hyperlink" Target="http://analizbankov.ru/bank.php?BankRegn=650&amp;BankMenu=check&amp;PokId=6676&amp;Date=2017-03-01" TargetMode="External"/><Relationship Id="rId135" Type="http://schemas.openxmlformats.org/officeDocument/2006/relationships/hyperlink" Target="http://analizbankov.ru/bank.php?BankRegn=650&amp;BankMenu=check&amp;PokId=6678&amp;Date=2018-03-01" TargetMode="External"/><Relationship Id="rId143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analizbankov.ru/bank.php?BankRegn=650&amp;BankMenu=check&amp;PokId=4383" TargetMode="External"/><Relationship Id="rId18" Type="http://schemas.openxmlformats.org/officeDocument/2006/relationships/hyperlink" Target="http://www.analizbankov.ru/bank.php?BankRegn=650&amp;BankMenu=check&amp;PokId=5430" TargetMode="External"/><Relationship Id="rId39" Type="http://schemas.openxmlformats.org/officeDocument/2006/relationships/hyperlink" Target="http://www.analizbankov.ru/bank.php?BankRegn=650&amp;BankMenu=check&amp;PokId=4764" TargetMode="External"/><Relationship Id="rId109" Type="http://schemas.openxmlformats.org/officeDocument/2006/relationships/hyperlink" Target="http://analizbankov.ru/bank.php?BankRegn=650&amp;BankMenu=check&amp;PokId=6674&amp;Date=2018-03-01" TargetMode="External"/><Relationship Id="rId34" Type="http://schemas.openxmlformats.org/officeDocument/2006/relationships/hyperlink" Target="http://www.analizbankov.ru/bank.php?BankRegn=650&amp;BankMenu=check&amp;PokId=4763" TargetMode="External"/><Relationship Id="rId50" Type="http://schemas.openxmlformats.org/officeDocument/2006/relationships/hyperlink" Target="http://www.analizbankov.ru/bank.php?BankRegn=650&amp;BankMenu=check&amp;PokId=6473" TargetMode="External"/><Relationship Id="rId55" Type="http://schemas.openxmlformats.org/officeDocument/2006/relationships/chart" Target="charts/chart7.xml"/><Relationship Id="rId76" Type="http://schemas.openxmlformats.org/officeDocument/2006/relationships/hyperlink" Target="http://www.analizbankov.ru/bank.php?BankRegn=650&amp;BankMenu=check&amp;PokId=8497&amp;Date=2018-03-01" TargetMode="External"/><Relationship Id="rId97" Type="http://schemas.openxmlformats.org/officeDocument/2006/relationships/hyperlink" Target="http://www.analizbankov.ru/bank.php?BankRegn=650&amp;BankMenu=check&amp;PokId=8521&amp;Date=2018-03-01" TargetMode="External"/><Relationship Id="rId104" Type="http://schemas.openxmlformats.org/officeDocument/2006/relationships/hyperlink" Target="http://analizbankov.ru/bank.php?BankRegn=650&amp;BankMenu=check&amp;PokId=4523&amp;Date=2017-03-01" TargetMode="External"/><Relationship Id="rId120" Type="http://schemas.openxmlformats.org/officeDocument/2006/relationships/hyperlink" Target="http://analizbankov.ru/bank.php?BankRegn=650&amp;BankMenu=check&amp;PokId=6612&amp;Date=2017-03-01" TargetMode="External"/><Relationship Id="rId125" Type="http://schemas.openxmlformats.org/officeDocument/2006/relationships/hyperlink" Target="http://analizbankov.ru/bank.php?BankRegn=650&amp;BankMenu=check&amp;PokId=6615&amp;Date=2018-03-01" TargetMode="External"/><Relationship Id="rId141" Type="http://schemas.openxmlformats.org/officeDocument/2006/relationships/hyperlink" Target="http://analizbankov.ru/bank.php?BankRegn=650&amp;BankMenu=check&amp;PokId=6617&amp;Date=2018-03-01" TargetMode="Externa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analizbankov.ru/bank.php?BankRegn=650&amp;BankMenu=check&amp;PokId=6681&amp;Date=2018-03-01" TargetMode="External"/><Relationship Id="rId92" Type="http://schemas.openxmlformats.org/officeDocument/2006/relationships/hyperlink" Target="http://www.analizbankov.ru/bank.php?BankRegn=650&amp;BankMenu=check&amp;PokId=8513&amp;Date=2018-03-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alizbankov.ru/bank.php?BankRegn=650&amp;BankMenu=check&amp;PokId=4752" TargetMode="External"/><Relationship Id="rId24" Type="http://schemas.openxmlformats.org/officeDocument/2006/relationships/hyperlink" Target="http://www.analizbankov.ru/bank.php?BankRegn=650&amp;BankMenu=check&amp;PokId=4743" TargetMode="External"/><Relationship Id="rId40" Type="http://schemas.openxmlformats.org/officeDocument/2006/relationships/hyperlink" Target="http://www.analizbankov.ru/bank.php?BankRegn=650&amp;BankMenu=check&amp;PokId=4764" TargetMode="External"/><Relationship Id="rId45" Type="http://schemas.openxmlformats.org/officeDocument/2006/relationships/hyperlink" Target="http://www.analizbankov.ru/bank.php?BankRegn=650&amp;BankMenu=check&amp;PokId=5086" TargetMode="External"/><Relationship Id="rId66" Type="http://schemas.openxmlformats.org/officeDocument/2006/relationships/hyperlink" Target="http://analizbankov.ru/bank.php?BankRegn=650&amp;BankMenu=check&amp;PokId=4648&amp;Date=2017-03-01" TargetMode="External"/><Relationship Id="rId87" Type="http://schemas.openxmlformats.org/officeDocument/2006/relationships/hyperlink" Target="http://www.analizbankov.ru/bank.php?BankRegn=650&amp;BankMenu=check&amp;PokId=8505&amp;Date=2018-03-01" TargetMode="External"/><Relationship Id="rId110" Type="http://schemas.openxmlformats.org/officeDocument/2006/relationships/hyperlink" Target="http://analizbankov.ru/bank.php?BankRegn=650&amp;BankMenu=check&amp;PokId=6607&amp;Date=2017-03-01" TargetMode="External"/><Relationship Id="rId115" Type="http://schemas.openxmlformats.org/officeDocument/2006/relationships/hyperlink" Target="http://analizbankov.ru/bank.php?BankRegn=650&amp;BankMenu=check&amp;PokId=6611&amp;Date=2018-03-01" TargetMode="External"/><Relationship Id="rId131" Type="http://schemas.openxmlformats.org/officeDocument/2006/relationships/hyperlink" Target="http://analizbankov.ru/bank.php?BankRegn=650&amp;BankMenu=check&amp;PokId=6676&amp;Date=2018-03-01" TargetMode="External"/><Relationship Id="rId136" Type="http://schemas.openxmlformats.org/officeDocument/2006/relationships/hyperlink" Target="http://analizbankov.ru/bank.php?BankRegn=650&amp;BankMenu=check&amp;PokId=6617&amp;Date=2017-03-01" TargetMode="External"/><Relationship Id="rId61" Type="http://schemas.openxmlformats.org/officeDocument/2006/relationships/hyperlink" Target="http://analizbankov.ru/bank.php?BankRegn=650&amp;BankMenu=check&amp;PokId=4578&amp;Date=2018-03-01" TargetMode="External"/><Relationship Id="rId82" Type="http://schemas.openxmlformats.org/officeDocument/2006/relationships/hyperlink" Target="http://www.analizbankov.ru/bank.php?BankRegn=650&amp;BankMenu=check&amp;PokId=8503&amp;Date=2018-03-01" TargetMode="External"/><Relationship Id="rId19" Type="http://schemas.openxmlformats.org/officeDocument/2006/relationships/hyperlink" Target="http://www.analizbankov.ru/bank.php?BankRegn=650&amp;BankMenu=check&amp;PokId=5430" TargetMode="External"/><Relationship Id="rId14" Type="http://schemas.openxmlformats.org/officeDocument/2006/relationships/hyperlink" Target="http://www.analizbankov.ru/bank.php?BankRegn=650&amp;BankMenu=check&amp;PokId=4552" TargetMode="External"/><Relationship Id="rId30" Type="http://schemas.openxmlformats.org/officeDocument/2006/relationships/hyperlink" Target="http://www.analizbankov.ru/bank.php?BankRegn=650&amp;BankMenu=check&amp;PokId=7021" TargetMode="External"/><Relationship Id="rId35" Type="http://schemas.openxmlformats.org/officeDocument/2006/relationships/hyperlink" Target="http://www.analizbankov.ru/bank.php?BankRegn=650&amp;BankMenu=check&amp;PokId=4763" TargetMode="External"/><Relationship Id="rId56" Type="http://schemas.openxmlformats.org/officeDocument/2006/relationships/hyperlink" Target="http://analizbankov.ru/bank.php?BankRegn=650&amp;BankMenu=check&amp;PokId=6572&amp;Date=2018-03-01" TargetMode="External"/><Relationship Id="rId77" Type="http://schemas.openxmlformats.org/officeDocument/2006/relationships/hyperlink" Target="http://www.analizbankov.ru/bank.php?BankRegn=650&amp;BankMenu=check&amp;PokId=8498&amp;Date=2018-03-01" TargetMode="External"/><Relationship Id="rId100" Type="http://schemas.openxmlformats.org/officeDocument/2006/relationships/hyperlink" Target="http://www.analizbankov.ru/bank.php?BankRegn=650&amp;BankMenu=check&amp;PokId=8524&amp;Date=2018-03-01" TargetMode="External"/><Relationship Id="rId105" Type="http://schemas.openxmlformats.org/officeDocument/2006/relationships/hyperlink" Target="http://analizbankov.ru/bank.php?BankRegn=650&amp;BankMenu=check&amp;PokId=4523&amp;Date=2018-03-01" TargetMode="External"/><Relationship Id="rId126" Type="http://schemas.openxmlformats.org/officeDocument/2006/relationships/hyperlink" Target="http://analizbankov.ru/bank.php?BankRegn=650&amp;BankMenu=check&amp;PokId=6675&amp;Date=2017-03-0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nalizbankov.ru/bank.php?BankRegn=650&amp;BankMenu=check&amp;PokId=6474" TargetMode="External"/><Relationship Id="rId72" Type="http://schemas.openxmlformats.org/officeDocument/2006/relationships/hyperlink" Target="http://analizbankov.ru/bank.php?BankRegn=650&amp;BankMenu=check&amp;PokId=6473&amp;Date=2017-03-01" TargetMode="External"/><Relationship Id="rId93" Type="http://schemas.openxmlformats.org/officeDocument/2006/relationships/hyperlink" Target="http://www.analizbankov.ru/bank.php?BankRegn=650&amp;BankMenu=check&amp;PokId=8517&amp;Date=2018-03-01" TargetMode="External"/><Relationship Id="rId98" Type="http://schemas.openxmlformats.org/officeDocument/2006/relationships/hyperlink" Target="http://www.analizbankov.ru/bank.php?BankRegn=650&amp;BankMenu=check&amp;PokId=8522&amp;Date=2018-03-01" TargetMode="External"/><Relationship Id="rId121" Type="http://schemas.openxmlformats.org/officeDocument/2006/relationships/hyperlink" Target="http://analizbankov.ru/bank.php?BankRegn=650&amp;BankMenu=check&amp;PokId=6612&amp;Date=2018-03-01" TargetMode="External"/><Relationship Id="rId142" Type="http://schemas.openxmlformats.org/officeDocument/2006/relationships/hyperlink" Target="http://analizbankov.ru/bank.php?BankRegn=650&amp;BankMenu=check&amp;PokId=6618&amp;Date=2018-03-0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Лист1!$F$6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Лист1!$G$4:$H$5</c:f>
              <c:strCache>
                <c:ptCount val="2"/>
                <c:pt idx="0">
                  <c:v>На 01.01.16 год</c:v>
                </c:pt>
                <c:pt idx="1">
                  <c:v>На 01.01.17 год</c:v>
                </c:pt>
              </c:strCache>
            </c:strRef>
          </c:cat>
          <c:val>
            <c:numRef>
              <c:f>Лист1!$G$6:$H$6</c:f>
              <c:numCache>
                <c:formatCode>General</c:formatCode>
                <c:ptCount val="2"/>
                <c:pt idx="0">
                  <c:v>1416771</c:v>
                </c:pt>
                <c:pt idx="1">
                  <c:v>84181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897984"/>
        <c:axId val="85899520"/>
        <c:axId val="0"/>
      </c:bar3DChart>
      <c:catAx>
        <c:axId val="8589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5899520"/>
        <c:crosses val="autoZero"/>
        <c:auto val="1"/>
        <c:lblAlgn val="ctr"/>
        <c:lblOffset val="100"/>
        <c:noMultiLvlLbl val="0"/>
      </c:catAx>
      <c:valAx>
        <c:axId val="8589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97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Лист4!$E$34</c:f>
              <c:strCache>
                <c:ptCount val="1"/>
                <c:pt idx="0">
                  <c:v>Норматив мгновенной ликвидности Н2 (мин.15%)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Лист4!$F$34:$P$34</c:f>
              <c:numCache>
                <c:formatCode>General</c:formatCode>
                <c:ptCount val="11"/>
                <c:pt idx="0">
                  <c:v>65.3</c:v>
                </c:pt>
                <c:pt idx="1">
                  <c:v>76.099999999999994</c:v>
                </c:pt>
                <c:pt idx="2">
                  <c:v>79.900000000000006</c:v>
                </c:pt>
                <c:pt idx="3">
                  <c:v>128.4</c:v>
                </c:pt>
                <c:pt idx="4">
                  <c:v>59.3</c:v>
                </c:pt>
                <c:pt idx="5">
                  <c:v>54.8</c:v>
                </c:pt>
                <c:pt idx="6">
                  <c:v>69.7</c:v>
                </c:pt>
                <c:pt idx="7">
                  <c:v>75</c:v>
                </c:pt>
                <c:pt idx="8">
                  <c:v>66.2</c:v>
                </c:pt>
                <c:pt idx="9">
                  <c:v>101.8</c:v>
                </c:pt>
                <c:pt idx="10">
                  <c:v>78.599999999999994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Лист4!$E$35</c:f>
              <c:strCache>
                <c:ptCount val="1"/>
                <c:pt idx="0">
                  <c:v>Норматив текущей ликвидности Н3 (мин.50%)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Лист4!$F$35:$P$35</c:f>
              <c:numCache>
                <c:formatCode>General</c:formatCode>
                <c:ptCount val="11"/>
                <c:pt idx="0">
                  <c:v>64.400000000000006</c:v>
                </c:pt>
                <c:pt idx="1">
                  <c:v>80.5</c:v>
                </c:pt>
                <c:pt idx="2">
                  <c:v>89.9</c:v>
                </c:pt>
                <c:pt idx="3">
                  <c:v>131.30000000000001</c:v>
                </c:pt>
                <c:pt idx="4">
                  <c:v>137.1</c:v>
                </c:pt>
                <c:pt idx="5">
                  <c:v>140.1</c:v>
                </c:pt>
                <c:pt idx="6">
                  <c:v>114.5</c:v>
                </c:pt>
                <c:pt idx="7">
                  <c:v>123.2</c:v>
                </c:pt>
                <c:pt idx="8">
                  <c:v>148.5</c:v>
                </c:pt>
                <c:pt idx="9">
                  <c:v>193.3</c:v>
                </c:pt>
                <c:pt idx="10">
                  <c:v>191.6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Лист4!$E$36</c:f>
              <c:strCache>
                <c:ptCount val="1"/>
                <c:pt idx="0">
                  <c:v>Экспертная надежность банка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Лист4!$F$36:$P$36</c:f>
              <c:numCache>
                <c:formatCode>General</c:formatCode>
                <c:ptCount val="11"/>
                <c:pt idx="0">
                  <c:v>138.69999999999999</c:v>
                </c:pt>
                <c:pt idx="1">
                  <c:v>142</c:v>
                </c:pt>
                <c:pt idx="2">
                  <c:v>159.19999999999999</c:v>
                </c:pt>
                <c:pt idx="3">
                  <c:v>258</c:v>
                </c:pt>
                <c:pt idx="4">
                  <c:v>251.8</c:v>
                </c:pt>
                <c:pt idx="5">
                  <c:v>284.10000000000002</c:v>
                </c:pt>
                <c:pt idx="6">
                  <c:v>164.8</c:v>
                </c:pt>
                <c:pt idx="7">
                  <c:v>166.2</c:v>
                </c:pt>
                <c:pt idx="8">
                  <c:v>206.8</c:v>
                </c:pt>
                <c:pt idx="9">
                  <c:v>274.60000000000002</c:v>
                </c:pt>
                <c:pt idx="10">
                  <c:v>281.89999999999998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86432"/>
        <c:axId val="63187968"/>
      </c:lineChart>
      <c:catAx>
        <c:axId val="63186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63187968"/>
        <c:crosses val="autoZero"/>
        <c:auto val="1"/>
        <c:lblAlgn val="ctr"/>
        <c:lblOffset val="100"/>
        <c:noMultiLvlLbl val="0"/>
      </c:catAx>
      <c:valAx>
        <c:axId val="631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8643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Лист2!$E$4</c:f>
              <c:strCache>
                <c:ptCount val="1"/>
                <c:pt idx="0">
                  <c:v>    АКТИВЫ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Лист2!$F$3:$G$3</c:f>
              <c:strCache>
                <c:ptCount val="2"/>
                <c:pt idx="0">
                  <c:v>На 01 марта 2017 года</c:v>
                </c:pt>
                <c:pt idx="1">
                  <c:v>На 01 марта 2018 года</c:v>
                </c:pt>
              </c:strCache>
            </c:strRef>
          </c:cat>
          <c:val>
            <c:numRef>
              <c:f>Лист2!$F$16:$G$16</c:f>
              <c:numCache>
                <c:formatCode>#,##0</c:formatCode>
                <c:ptCount val="2"/>
                <c:pt idx="0">
                  <c:v>146309729</c:v>
                </c:pt>
                <c:pt idx="1">
                  <c:v>293482751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745408"/>
        <c:axId val="103746944"/>
        <c:axId val="0"/>
      </c:bar3DChart>
      <c:catAx>
        <c:axId val="10374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746944"/>
        <c:crosses val="autoZero"/>
        <c:auto val="1"/>
        <c:lblAlgn val="ctr"/>
        <c:lblOffset val="100"/>
        <c:noMultiLvlLbl val="0"/>
      </c:catAx>
      <c:valAx>
        <c:axId val="1037469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3745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Лист4!$E$5:$E$11</c:f>
              <c:strCache>
                <c:ptCount val="7"/>
                <c:pt idx="0">
                  <c:v>    Наличность</c:v>
                </c:pt>
                <c:pt idx="1">
                  <c:v>    Обязательные резервы</c:v>
                </c:pt>
                <c:pt idx="2">
                  <c:v>    Ссудная задолженность</c:v>
                </c:pt>
                <c:pt idx="3">
                  <c:v>    Дебиторская задолженность</c:v>
                </c:pt>
                <c:pt idx="4">
                  <c:v>    Требования по получению процентов</c:v>
                </c:pt>
                <c:pt idx="5">
                  <c:v>    Имущество</c:v>
                </c:pt>
                <c:pt idx="6">
                  <c:v>    Отложенный налог на прибыль</c:v>
                </c:pt>
              </c:strCache>
            </c:strRef>
          </c:cat>
          <c:val>
            <c:numRef>
              <c:f>Лист4!$G$5:$G$11</c:f>
              <c:numCache>
                <c:formatCode>#,##0</c:formatCode>
                <c:ptCount val="7"/>
                <c:pt idx="0">
                  <c:v>5.159911819671267</c:v>
                </c:pt>
                <c:pt idx="1">
                  <c:v>0.96788026994431786</c:v>
                </c:pt>
                <c:pt idx="2">
                  <c:v>83.32675607648757</c:v>
                </c:pt>
                <c:pt idx="3">
                  <c:v>3.4204690516513772</c:v>
                </c:pt>
                <c:pt idx="4">
                  <c:v>0.69690922604333438</c:v>
                </c:pt>
                <c:pt idx="5">
                  <c:v>2.8338682795318415</c:v>
                </c:pt>
                <c:pt idx="6">
                  <c:v>3.0021947481018163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50131233595804"/>
          <c:y val="8.1030183727034119E-2"/>
          <c:w val="0.39483202099737535"/>
          <c:h val="0.8379396325459317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Лист4!$E$5:$E$11</c:f>
              <c:strCache>
                <c:ptCount val="7"/>
                <c:pt idx="0">
                  <c:v>    Наличность</c:v>
                </c:pt>
                <c:pt idx="1">
                  <c:v>    Обязательные резервы</c:v>
                </c:pt>
                <c:pt idx="2">
                  <c:v>    Ссудная задолженность</c:v>
                </c:pt>
                <c:pt idx="3">
                  <c:v>    Дебиторская задолженность</c:v>
                </c:pt>
                <c:pt idx="4">
                  <c:v>    Требования по получению процентов</c:v>
                </c:pt>
                <c:pt idx="5">
                  <c:v>    Имущество</c:v>
                </c:pt>
                <c:pt idx="6">
                  <c:v>    Отложенный налог на прибыль</c:v>
                </c:pt>
              </c:strCache>
            </c:strRef>
          </c:cat>
          <c:val>
            <c:numRef>
              <c:f>Лист4!$I$5:$I$11</c:f>
              <c:numCache>
                <c:formatCode>#,##0</c:formatCode>
                <c:ptCount val="7"/>
                <c:pt idx="0">
                  <c:v>5.2932793995787506</c:v>
                </c:pt>
                <c:pt idx="1">
                  <c:v>0.47368133059376971</c:v>
                </c:pt>
                <c:pt idx="2">
                  <c:v>88.031705140994802</c:v>
                </c:pt>
                <c:pt idx="3">
                  <c:v>1.7515383723522477</c:v>
                </c:pt>
                <c:pt idx="4">
                  <c:v>0.6314129173472276</c:v>
                </c:pt>
                <c:pt idx="5">
                  <c:v>2.0038349715482937</c:v>
                </c:pt>
                <c:pt idx="6">
                  <c:v>1.1418470041532356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61242344706911"/>
          <c:y val="8.1030183727034119E-2"/>
          <c:w val="0.38372090988626423"/>
          <c:h val="0.8379396325459317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Лист2!$E$20</c:f>
              <c:strCache>
                <c:ptCount val="1"/>
                <c:pt idx="0">
                  <c:v>    ПАССИВЫ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Лист2!$F$19:$G$19</c:f>
              <c:strCache>
                <c:ptCount val="2"/>
                <c:pt idx="0">
                  <c:v>На 01 марта 2017 года</c:v>
                </c:pt>
                <c:pt idx="1">
                  <c:v>На 01 марта 2018 года</c:v>
                </c:pt>
              </c:strCache>
            </c:strRef>
          </c:cat>
          <c:val>
            <c:numRef>
              <c:f>Лист2!$F$25:$G$25</c:f>
              <c:numCache>
                <c:formatCode>#,##0</c:formatCode>
                <c:ptCount val="2"/>
                <c:pt idx="0">
                  <c:v>146309729</c:v>
                </c:pt>
                <c:pt idx="1">
                  <c:v>293482751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353024"/>
        <c:axId val="108354560"/>
        <c:axId val="0"/>
      </c:bar3DChart>
      <c:catAx>
        <c:axId val="10835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54560"/>
        <c:crosses val="autoZero"/>
        <c:auto val="1"/>
        <c:lblAlgn val="ctr"/>
        <c:lblOffset val="100"/>
        <c:noMultiLvlLbl val="0"/>
      </c:catAx>
      <c:valAx>
        <c:axId val="1083545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835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Лист4!$E$17:$E$20</c:f>
              <c:strCache>
                <c:ptCount val="4"/>
                <c:pt idx="0">
                  <c:v>    Источники собственных средств</c:v>
                </c:pt>
                <c:pt idx="1">
                  <c:v>    Резерв на возможные потери</c:v>
                </c:pt>
                <c:pt idx="2">
                  <c:v>    Привлеченные средства</c:v>
                </c:pt>
                <c:pt idx="3">
                  <c:v>    Прочие обязательства</c:v>
                </c:pt>
              </c:strCache>
            </c:strRef>
          </c:cat>
          <c:val>
            <c:numRef>
              <c:f>Лист4!$I$17:$I$20</c:f>
              <c:numCache>
                <c:formatCode>#,##0</c:formatCode>
                <c:ptCount val="4"/>
                <c:pt idx="0">
                  <c:v>9.0583429211483715</c:v>
                </c:pt>
                <c:pt idx="1">
                  <c:v>10.470213631055952</c:v>
                </c:pt>
                <c:pt idx="2">
                  <c:v>77.884188157960949</c:v>
                </c:pt>
                <c:pt idx="3">
                  <c:v>2.5872552898347339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Лист4!$E$17:$E$20</c:f>
              <c:strCache>
                <c:ptCount val="4"/>
                <c:pt idx="0">
                  <c:v>    Источники собственных средств</c:v>
                </c:pt>
                <c:pt idx="1">
                  <c:v>    Резерв на возможные потери</c:v>
                </c:pt>
                <c:pt idx="2">
                  <c:v>    Привлеченные средства</c:v>
                </c:pt>
                <c:pt idx="3">
                  <c:v>    Прочие обязательства</c:v>
                </c:pt>
              </c:strCache>
            </c:strRef>
          </c:cat>
          <c:val>
            <c:numRef>
              <c:f>Лист4!$G$17:$G$20</c:f>
              <c:numCache>
                <c:formatCode>#,##0</c:formatCode>
                <c:ptCount val="4"/>
                <c:pt idx="0">
                  <c:v>10.046193168739997</c:v>
                </c:pt>
                <c:pt idx="1">
                  <c:v>21.015196467215109</c:v>
                </c:pt>
                <c:pt idx="2">
                  <c:v>66.160600297468946</c:v>
                </c:pt>
                <c:pt idx="3">
                  <c:v>2.7780100665759555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Лист6!$F$7:$F$9</c:f>
              <c:strCache>
                <c:ptCount val="3"/>
                <c:pt idx="0">
                  <c:v>средств в кассе</c:v>
                </c:pt>
                <c:pt idx="1">
                  <c:v>средств на счетах в Банке России</c:v>
                </c:pt>
                <c:pt idx="2">
                  <c:v>корсчетов НОСТРО в банках (чистых)</c:v>
                </c:pt>
              </c:strCache>
            </c:strRef>
          </c:cat>
          <c:val>
            <c:numRef>
              <c:f>Лист6!$L$7:$L$9</c:f>
              <c:numCache>
                <c:formatCode>0.00</c:formatCode>
                <c:ptCount val="3"/>
                <c:pt idx="0">
                  <c:v>71.837257613233703</c:v>
                </c:pt>
                <c:pt idx="1">
                  <c:v>11.008320735290358</c:v>
                </c:pt>
                <c:pt idx="2">
                  <c:v>17.154421651475939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63657495101589"/>
          <c:y val="0.30021636122918266"/>
          <c:w val="0.3480114538354076"/>
          <c:h val="0.5499432986444218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Лист6!$F$7:$F$10</c:f>
              <c:strCache>
                <c:ptCount val="4"/>
                <c:pt idx="0">
                  <c:v>средств в кассе</c:v>
                </c:pt>
                <c:pt idx="1">
                  <c:v>средств на счетах в Банке России</c:v>
                </c:pt>
                <c:pt idx="2">
                  <c:v>корсчетов НОСТРО в банках (чистых)</c:v>
                </c:pt>
                <c:pt idx="3">
                  <c:v>межбанковских кредитов, размещенных на срок до 30 дней</c:v>
                </c:pt>
              </c:strCache>
            </c:strRef>
          </c:cat>
          <c:val>
            <c:numRef>
              <c:f>Лист6!$M$7:$M$10</c:f>
              <c:numCache>
                <c:formatCode>0.00</c:formatCode>
                <c:ptCount val="4"/>
                <c:pt idx="0">
                  <c:v>19.282697065838253</c:v>
                </c:pt>
                <c:pt idx="1">
                  <c:v>4.6681721309307438</c:v>
                </c:pt>
                <c:pt idx="2">
                  <c:v>0.89105337755442715</c:v>
                </c:pt>
                <c:pt idx="3">
                  <c:v>75.158077425676566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753129845658616"/>
          <c:y val="0.11238956849113493"/>
          <c:w val="0.37690486365132686"/>
          <c:h val="0.7752208630177300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E098-9A10-4422-9520-1F94407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44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168</cp:revision>
  <dcterms:created xsi:type="dcterms:W3CDTF">2018-04-08T19:29:00Z</dcterms:created>
  <dcterms:modified xsi:type="dcterms:W3CDTF">2018-04-22T17:17:00Z</dcterms:modified>
</cp:coreProperties>
</file>