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9F" w:rsidRDefault="003D019F">
      <w:pPr>
        <w:rPr>
          <w:rFonts w:ascii="Times New Roman" w:hAnsi="Times New Roman" w:cs="Times New Roman"/>
          <w:sz w:val="28"/>
          <w:szCs w:val="28"/>
        </w:rPr>
      </w:pPr>
      <w:r w:rsidRPr="003D019F">
        <w:rPr>
          <w:rFonts w:ascii="Times New Roman" w:hAnsi="Times New Roman" w:cs="Times New Roman"/>
          <w:sz w:val="28"/>
          <w:szCs w:val="28"/>
        </w:rPr>
        <w:t xml:space="preserve">Глава 2. Анализ отрасли птицеводства на современном этапе </w:t>
      </w:r>
    </w:p>
    <w:p w:rsidR="003D019F" w:rsidRDefault="003D019F">
      <w:pPr>
        <w:rPr>
          <w:rFonts w:ascii="Times New Roman" w:hAnsi="Times New Roman" w:cs="Times New Roman"/>
          <w:sz w:val="28"/>
          <w:szCs w:val="28"/>
        </w:rPr>
      </w:pPr>
      <w:r w:rsidRPr="003D019F">
        <w:rPr>
          <w:rFonts w:ascii="Times New Roman" w:hAnsi="Times New Roman" w:cs="Times New Roman"/>
          <w:sz w:val="28"/>
          <w:szCs w:val="28"/>
        </w:rPr>
        <w:t xml:space="preserve">2.1 Анализ конъюнктуры рынка птицы и </w:t>
      </w:r>
      <w:proofErr w:type="spellStart"/>
      <w:r w:rsidRPr="003D019F">
        <w:rPr>
          <w:rFonts w:ascii="Times New Roman" w:hAnsi="Times New Roman" w:cs="Times New Roman"/>
          <w:sz w:val="28"/>
          <w:szCs w:val="28"/>
        </w:rPr>
        <w:t>птицепродуктов</w:t>
      </w:r>
      <w:proofErr w:type="spellEnd"/>
      <w:r w:rsidRPr="003D019F">
        <w:rPr>
          <w:rFonts w:ascii="Times New Roman" w:hAnsi="Times New Roman" w:cs="Times New Roman"/>
          <w:sz w:val="28"/>
          <w:szCs w:val="28"/>
        </w:rPr>
        <w:t xml:space="preserve"> в ЦФО </w:t>
      </w:r>
    </w:p>
    <w:p w:rsidR="003D019F" w:rsidRDefault="003D019F">
      <w:pPr>
        <w:rPr>
          <w:rFonts w:ascii="Times New Roman" w:hAnsi="Times New Roman" w:cs="Times New Roman"/>
          <w:sz w:val="28"/>
          <w:szCs w:val="28"/>
        </w:rPr>
      </w:pPr>
      <w:r w:rsidRPr="003D019F">
        <w:rPr>
          <w:rFonts w:ascii="Times New Roman" w:hAnsi="Times New Roman" w:cs="Times New Roman"/>
          <w:sz w:val="28"/>
          <w:szCs w:val="28"/>
        </w:rPr>
        <w:t>2.2 Анализ организационно-управле</w:t>
      </w:r>
      <w:r>
        <w:rPr>
          <w:rFonts w:ascii="Times New Roman" w:hAnsi="Times New Roman" w:cs="Times New Roman"/>
          <w:sz w:val="28"/>
          <w:szCs w:val="28"/>
        </w:rPr>
        <w:t>нческой структуры АПК «Алексино»</w:t>
      </w:r>
      <w:r w:rsidRPr="003D0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19F" w:rsidRDefault="003D019F">
      <w:pPr>
        <w:rPr>
          <w:rFonts w:ascii="Times New Roman" w:hAnsi="Times New Roman" w:cs="Times New Roman"/>
          <w:sz w:val="28"/>
          <w:szCs w:val="28"/>
        </w:rPr>
      </w:pPr>
      <w:r w:rsidRPr="003D019F">
        <w:rPr>
          <w:rFonts w:ascii="Times New Roman" w:hAnsi="Times New Roman" w:cs="Times New Roman"/>
          <w:sz w:val="28"/>
          <w:szCs w:val="28"/>
        </w:rPr>
        <w:t xml:space="preserve">2.3 Анализ ресурсных показателей АПК «Алексино» </w:t>
      </w:r>
    </w:p>
    <w:p w:rsidR="00821F0E" w:rsidRDefault="00821F0E">
      <w:pPr>
        <w:rPr>
          <w:rFonts w:ascii="Times New Roman" w:hAnsi="Times New Roman" w:cs="Times New Roman"/>
          <w:sz w:val="28"/>
          <w:szCs w:val="28"/>
        </w:rPr>
      </w:pPr>
    </w:p>
    <w:p w:rsidR="006A7E21" w:rsidRDefault="006A7E21">
      <w:pPr>
        <w:rPr>
          <w:rFonts w:ascii="Times New Roman" w:hAnsi="Times New Roman" w:cs="Times New Roman"/>
          <w:sz w:val="28"/>
          <w:szCs w:val="28"/>
        </w:rPr>
      </w:pPr>
    </w:p>
    <w:p w:rsidR="006A7E21" w:rsidRDefault="006A7E21">
      <w:pPr>
        <w:rPr>
          <w:rFonts w:ascii="Times New Roman" w:hAnsi="Times New Roman" w:cs="Times New Roman"/>
          <w:sz w:val="28"/>
          <w:szCs w:val="28"/>
        </w:rPr>
      </w:pPr>
    </w:p>
    <w:p w:rsidR="006A7E21" w:rsidRDefault="006A7E21">
      <w:pPr>
        <w:rPr>
          <w:rFonts w:ascii="Times New Roman" w:hAnsi="Times New Roman" w:cs="Times New Roman"/>
          <w:sz w:val="28"/>
          <w:szCs w:val="28"/>
        </w:rPr>
      </w:pPr>
    </w:p>
    <w:p w:rsidR="006A7E21" w:rsidRDefault="006A7E21">
      <w:pPr>
        <w:rPr>
          <w:rFonts w:ascii="Times New Roman" w:hAnsi="Times New Roman" w:cs="Times New Roman"/>
          <w:sz w:val="28"/>
          <w:szCs w:val="28"/>
        </w:rPr>
      </w:pPr>
    </w:p>
    <w:p w:rsidR="006A7E21" w:rsidRDefault="006A7E21">
      <w:pPr>
        <w:rPr>
          <w:rFonts w:ascii="Times New Roman" w:hAnsi="Times New Roman" w:cs="Times New Roman"/>
          <w:sz w:val="28"/>
          <w:szCs w:val="28"/>
        </w:rPr>
      </w:pPr>
    </w:p>
    <w:p w:rsidR="006A7E21" w:rsidRDefault="006A7E21">
      <w:pPr>
        <w:rPr>
          <w:rFonts w:ascii="Times New Roman" w:hAnsi="Times New Roman" w:cs="Times New Roman"/>
          <w:sz w:val="28"/>
          <w:szCs w:val="28"/>
        </w:rPr>
      </w:pPr>
    </w:p>
    <w:p w:rsidR="006A7E21" w:rsidRDefault="006A7E21">
      <w:pPr>
        <w:rPr>
          <w:rFonts w:ascii="Times New Roman" w:hAnsi="Times New Roman" w:cs="Times New Roman"/>
          <w:sz w:val="28"/>
          <w:szCs w:val="28"/>
        </w:rPr>
      </w:pPr>
    </w:p>
    <w:p w:rsidR="006A7E21" w:rsidRDefault="006A7E21">
      <w:pPr>
        <w:rPr>
          <w:rFonts w:ascii="Times New Roman" w:hAnsi="Times New Roman" w:cs="Times New Roman"/>
          <w:sz w:val="28"/>
          <w:szCs w:val="28"/>
        </w:rPr>
      </w:pPr>
    </w:p>
    <w:p w:rsidR="006A7E21" w:rsidRDefault="006A7E21">
      <w:pPr>
        <w:rPr>
          <w:rFonts w:ascii="Times New Roman" w:hAnsi="Times New Roman" w:cs="Times New Roman"/>
          <w:sz w:val="28"/>
          <w:szCs w:val="28"/>
        </w:rPr>
      </w:pPr>
    </w:p>
    <w:p w:rsidR="006A7E21" w:rsidRDefault="006A7E21">
      <w:pPr>
        <w:rPr>
          <w:rFonts w:ascii="Times New Roman" w:hAnsi="Times New Roman" w:cs="Times New Roman"/>
          <w:sz w:val="28"/>
          <w:szCs w:val="28"/>
        </w:rPr>
      </w:pPr>
    </w:p>
    <w:p w:rsidR="006A7E21" w:rsidRDefault="006A7E21">
      <w:pPr>
        <w:rPr>
          <w:rFonts w:ascii="Times New Roman" w:hAnsi="Times New Roman" w:cs="Times New Roman"/>
          <w:sz w:val="28"/>
          <w:szCs w:val="28"/>
        </w:rPr>
      </w:pPr>
    </w:p>
    <w:p w:rsidR="006A7E21" w:rsidRDefault="006A7E21">
      <w:pPr>
        <w:rPr>
          <w:rFonts w:ascii="Times New Roman" w:hAnsi="Times New Roman" w:cs="Times New Roman"/>
          <w:sz w:val="28"/>
          <w:szCs w:val="28"/>
        </w:rPr>
      </w:pPr>
    </w:p>
    <w:p w:rsidR="006A7E21" w:rsidRDefault="006A7E21">
      <w:pPr>
        <w:rPr>
          <w:rFonts w:ascii="Times New Roman" w:hAnsi="Times New Roman" w:cs="Times New Roman"/>
          <w:sz w:val="28"/>
          <w:szCs w:val="28"/>
        </w:rPr>
      </w:pPr>
    </w:p>
    <w:p w:rsidR="006A7E21" w:rsidRDefault="006A7E21">
      <w:pPr>
        <w:rPr>
          <w:rFonts w:ascii="Times New Roman" w:hAnsi="Times New Roman" w:cs="Times New Roman"/>
          <w:sz w:val="28"/>
          <w:szCs w:val="28"/>
        </w:rPr>
      </w:pPr>
    </w:p>
    <w:p w:rsidR="006A7E21" w:rsidRDefault="006A7E21">
      <w:pPr>
        <w:rPr>
          <w:rFonts w:ascii="Times New Roman" w:hAnsi="Times New Roman" w:cs="Times New Roman"/>
          <w:sz w:val="28"/>
          <w:szCs w:val="28"/>
        </w:rPr>
      </w:pPr>
    </w:p>
    <w:p w:rsidR="006A7E21" w:rsidRDefault="006A7E21">
      <w:pPr>
        <w:rPr>
          <w:rFonts w:ascii="Times New Roman" w:hAnsi="Times New Roman" w:cs="Times New Roman"/>
          <w:sz w:val="28"/>
          <w:szCs w:val="28"/>
        </w:rPr>
      </w:pPr>
    </w:p>
    <w:p w:rsidR="006A7E21" w:rsidRDefault="006A7E21">
      <w:pPr>
        <w:rPr>
          <w:rFonts w:ascii="Times New Roman" w:hAnsi="Times New Roman" w:cs="Times New Roman"/>
          <w:sz w:val="28"/>
          <w:szCs w:val="28"/>
        </w:rPr>
      </w:pPr>
    </w:p>
    <w:p w:rsidR="006A7E21" w:rsidRDefault="006A7E21">
      <w:pPr>
        <w:rPr>
          <w:rFonts w:ascii="Times New Roman" w:hAnsi="Times New Roman" w:cs="Times New Roman"/>
          <w:sz w:val="28"/>
          <w:szCs w:val="28"/>
        </w:rPr>
      </w:pPr>
    </w:p>
    <w:p w:rsidR="006A7E21" w:rsidRDefault="006A7E21">
      <w:pPr>
        <w:rPr>
          <w:rFonts w:ascii="Times New Roman" w:hAnsi="Times New Roman" w:cs="Times New Roman"/>
          <w:sz w:val="28"/>
          <w:szCs w:val="28"/>
        </w:rPr>
      </w:pPr>
    </w:p>
    <w:p w:rsidR="006A7E21" w:rsidRDefault="006A7E21">
      <w:pPr>
        <w:rPr>
          <w:rFonts w:ascii="Times New Roman" w:hAnsi="Times New Roman" w:cs="Times New Roman"/>
          <w:sz w:val="28"/>
          <w:szCs w:val="28"/>
        </w:rPr>
      </w:pPr>
    </w:p>
    <w:p w:rsidR="006A7E21" w:rsidRPr="006A7E21" w:rsidRDefault="006A7E21" w:rsidP="006A7E2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7E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Анализ отрасли птицеводства на современном этапе </w:t>
      </w:r>
    </w:p>
    <w:p w:rsidR="006A7E21" w:rsidRPr="006A7E21" w:rsidRDefault="006A7E21" w:rsidP="006A7E2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7E21">
        <w:rPr>
          <w:rFonts w:ascii="Times New Roman" w:hAnsi="Times New Roman" w:cs="Times New Roman"/>
          <w:b/>
          <w:sz w:val="28"/>
          <w:szCs w:val="28"/>
        </w:rPr>
        <w:t xml:space="preserve">2.1 Анализ конъюнктуры рынка птицы и </w:t>
      </w:r>
      <w:proofErr w:type="spellStart"/>
      <w:r w:rsidRPr="006A7E21">
        <w:rPr>
          <w:rFonts w:ascii="Times New Roman" w:hAnsi="Times New Roman" w:cs="Times New Roman"/>
          <w:b/>
          <w:sz w:val="28"/>
          <w:szCs w:val="28"/>
        </w:rPr>
        <w:t>птицепродуктов</w:t>
      </w:r>
      <w:proofErr w:type="spellEnd"/>
      <w:r w:rsidRPr="006A7E21">
        <w:rPr>
          <w:rFonts w:ascii="Times New Roman" w:hAnsi="Times New Roman" w:cs="Times New Roman"/>
          <w:b/>
          <w:sz w:val="28"/>
          <w:szCs w:val="28"/>
        </w:rPr>
        <w:t xml:space="preserve"> в ЦФО </w:t>
      </w:r>
    </w:p>
    <w:p w:rsidR="006A7E21" w:rsidRDefault="006A7E21" w:rsidP="006A7E21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7E21" w:rsidRPr="001269A7" w:rsidRDefault="006A7E21" w:rsidP="006A7E2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9A7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протяжении последних трех лет в России наблюдается подъем производства мяса домашней птицы. В 2015 году производство увеличилось на 11,3% и по итогам года составило 4 316,5 тыс. тонн. В 2016 году в России было произведено уже 4 452,2 тыс. тонн, что на 3,1% выше объема производства предыдущего года.</w:t>
      </w:r>
    </w:p>
    <w:p w:rsidR="006A7E21" w:rsidRDefault="006A7E21" w:rsidP="006A7E2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941821" wp14:editId="6C6E757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A7E21" w:rsidRDefault="006A7E21" w:rsidP="006A7E2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2.1. – Динамика объема российского производства мяса и субпродуктов птицы, тонн</w:t>
      </w:r>
    </w:p>
    <w:p w:rsidR="006A7E21" w:rsidRDefault="006A7E21" w:rsidP="006A7E2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A7E21" w:rsidRDefault="006A7E21" w:rsidP="005E2A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9A7">
        <w:rPr>
          <w:rFonts w:ascii="Times New Roman" w:hAnsi="Times New Roman" w:cs="Times New Roman"/>
          <w:sz w:val="28"/>
          <w:szCs w:val="28"/>
          <w:shd w:val="clear" w:color="auto" w:fill="FFFFFF"/>
        </w:rPr>
        <w:t>В январе-сентябре 2017 года было произведено 3 441,7 тыс. тонн мяса и субпродуктов пищевых домашней птицы. Этот показатель на 4%, или на 135 тыс. тонн выше, чем за аналогичный период предыдущего года.</w:t>
      </w:r>
    </w:p>
    <w:p w:rsidR="006A7E21" w:rsidRDefault="006A7E21" w:rsidP="005E2A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Крупнейшие объемы производства в 2016 году были обеспечены предприятиями Центрального федерального округа с долей около 38,5% (1 714 602,95 тонн). На втором месте Северо-Западный федеральный округ с долей 9% (401 262,32 тонн). </w:t>
      </w:r>
    </w:p>
    <w:p w:rsidR="006A7E21" w:rsidRDefault="006A7E21" w:rsidP="005E2A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следует Южный федеральный округ с долей 5,6% (250 444,28 тонн), после него Северо-Кавказский федеральный округ и Приволжский </w:t>
      </w:r>
      <w:r w:rsidRPr="001269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федеральный округ с долями 6,6% и 21,1% (292 738,43 и 939 881,04 тонн) от общего объема производства мяса и субпродуктов пищевых домашней птицы в РФ.</w:t>
      </w:r>
    </w:p>
    <w:p w:rsidR="009E131C" w:rsidRDefault="009E131C" w:rsidP="005E2A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таблице 2.1. приведена динамика и прогноз объемов производства мяса птицы в ЦФО в разрезе регионов.</w:t>
      </w:r>
    </w:p>
    <w:p w:rsidR="009E131C" w:rsidRPr="001269A7" w:rsidRDefault="009E131C" w:rsidP="005E2A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2.1. – Д</w:t>
      </w:r>
      <w:r w:rsidRPr="009E131C">
        <w:rPr>
          <w:rFonts w:ascii="Times New Roman" w:hAnsi="Times New Roman" w:cs="Times New Roman"/>
          <w:sz w:val="28"/>
          <w:szCs w:val="28"/>
          <w:shd w:val="clear" w:color="auto" w:fill="FFFFFF"/>
        </w:rPr>
        <w:t>инамика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прогноз</w:t>
      </w:r>
      <w:r w:rsidRPr="009E1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объемов производства мяса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птицы в ЦФО в разрезе регионов, тонн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8"/>
        <w:gridCol w:w="805"/>
        <w:gridCol w:w="821"/>
        <w:gridCol w:w="821"/>
        <w:gridCol w:w="821"/>
        <w:gridCol w:w="821"/>
        <w:gridCol w:w="821"/>
        <w:gridCol w:w="836"/>
        <w:gridCol w:w="821"/>
        <w:gridCol w:w="728"/>
        <w:gridCol w:w="728"/>
      </w:tblGrid>
      <w:tr w:rsidR="009E131C" w:rsidRPr="009E131C" w:rsidTr="009E131C">
        <w:trPr>
          <w:trHeight w:val="135"/>
        </w:trPr>
        <w:tc>
          <w:tcPr>
            <w:tcW w:w="1548" w:type="dxa"/>
            <w:vMerge w:val="restart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Регион</w:t>
            </w:r>
          </w:p>
        </w:tc>
        <w:tc>
          <w:tcPr>
            <w:tcW w:w="805" w:type="dxa"/>
            <w:vMerge w:val="restart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821" w:type="dxa"/>
            <w:vMerge w:val="restart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821" w:type="dxa"/>
            <w:vMerge w:val="restart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821" w:type="dxa"/>
            <w:vMerge w:val="restart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821" w:type="dxa"/>
            <w:vMerge w:val="restart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821" w:type="dxa"/>
            <w:vMerge w:val="restart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836" w:type="dxa"/>
            <w:vMerge w:val="restart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821" w:type="dxa"/>
            <w:vMerge w:val="restart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456" w:type="dxa"/>
            <w:gridSpan w:val="2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2020 к 2012</w:t>
            </w:r>
          </w:p>
        </w:tc>
      </w:tr>
      <w:tr w:rsidR="009E131C" w:rsidRPr="009E131C" w:rsidTr="009E131C">
        <w:trPr>
          <w:trHeight w:val="135"/>
        </w:trPr>
        <w:tc>
          <w:tcPr>
            <w:tcW w:w="1548" w:type="dxa"/>
            <w:vMerge/>
          </w:tcPr>
          <w:p w:rsidR="009E131C" w:rsidRPr="009E131C" w:rsidRDefault="009E131C" w:rsidP="004E74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5" w:type="dxa"/>
            <w:vMerge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  <w:vMerge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+,-</w:t>
            </w:r>
          </w:p>
        </w:tc>
      </w:tr>
      <w:tr w:rsidR="009E131C" w:rsidRPr="009E131C" w:rsidTr="009E131C">
        <w:trPr>
          <w:trHeight w:val="753"/>
        </w:trPr>
        <w:tc>
          <w:tcPr>
            <w:tcW w:w="1548" w:type="dxa"/>
            <w:tcBorders>
              <w:bottom w:val="single" w:sz="4" w:space="0" w:color="auto"/>
            </w:tcBorders>
          </w:tcPr>
          <w:p w:rsidR="009E131C" w:rsidRPr="009E131C" w:rsidRDefault="009E131C" w:rsidP="004E74FF">
            <w:pPr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Центральный</w:t>
            </w:r>
            <w:r w:rsidRPr="009E131C">
              <w:rPr>
                <w:rFonts w:ascii="Times New Roman" w:hAnsi="Times New Roman" w:cs="Times New Roman"/>
                <w:sz w:val="20"/>
              </w:rPr>
              <w:br/>
            </w:r>
            <w:r w:rsidRPr="009E131C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федеральный округ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1687,9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1733,1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1794,2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1844,5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1899,2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1954,9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1981,6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2021,3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147,3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649,5</w:t>
            </w:r>
          </w:p>
        </w:tc>
      </w:tr>
      <w:tr w:rsidR="009E131C" w:rsidRPr="009E131C" w:rsidTr="009E131C">
        <w:trPr>
          <w:trHeight w:val="135"/>
        </w:trPr>
        <w:tc>
          <w:tcPr>
            <w:tcW w:w="1548" w:type="dxa"/>
          </w:tcPr>
          <w:p w:rsidR="009E131C" w:rsidRPr="009E131C" w:rsidRDefault="009E131C" w:rsidP="004E74F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Белгородская область</w:t>
            </w:r>
          </w:p>
        </w:tc>
        <w:tc>
          <w:tcPr>
            <w:tcW w:w="805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605,1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605,1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605,1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605,1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605,1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605,1</w:t>
            </w:r>
          </w:p>
        </w:tc>
        <w:tc>
          <w:tcPr>
            <w:tcW w:w="836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605,1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605,1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E131C" w:rsidRPr="009E131C" w:rsidTr="009E131C">
        <w:trPr>
          <w:trHeight w:val="135"/>
        </w:trPr>
        <w:tc>
          <w:tcPr>
            <w:tcW w:w="1548" w:type="dxa"/>
          </w:tcPr>
          <w:p w:rsidR="009E131C" w:rsidRPr="009E131C" w:rsidRDefault="009E131C" w:rsidP="004E74FF">
            <w:pPr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Брянская область</w:t>
            </w:r>
          </w:p>
        </w:tc>
        <w:tc>
          <w:tcPr>
            <w:tcW w:w="805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93,6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94,3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94,6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94,7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94,9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94.9</w:t>
            </w:r>
          </w:p>
        </w:tc>
        <w:tc>
          <w:tcPr>
            <w:tcW w:w="836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95,1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108,1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146,8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34,5</w:t>
            </w:r>
          </w:p>
        </w:tc>
      </w:tr>
      <w:tr w:rsidR="009E131C" w:rsidRPr="009E131C" w:rsidTr="009E131C">
        <w:trPr>
          <w:trHeight w:val="135"/>
        </w:trPr>
        <w:tc>
          <w:tcPr>
            <w:tcW w:w="1548" w:type="dxa"/>
          </w:tcPr>
          <w:p w:rsidR="009E131C" w:rsidRPr="009E131C" w:rsidRDefault="009E131C" w:rsidP="004E74FF">
            <w:pPr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Владимирская область</w:t>
            </w:r>
          </w:p>
        </w:tc>
        <w:tc>
          <w:tcPr>
            <w:tcW w:w="805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20,5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20,8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20,9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20,9</w:t>
            </w:r>
          </w:p>
        </w:tc>
        <w:tc>
          <w:tcPr>
            <w:tcW w:w="836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21,1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21,1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111,3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2,1</w:t>
            </w:r>
          </w:p>
        </w:tc>
      </w:tr>
      <w:tr w:rsidR="009E131C" w:rsidRPr="009E131C" w:rsidTr="009E131C">
        <w:trPr>
          <w:trHeight w:val="135"/>
        </w:trPr>
        <w:tc>
          <w:tcPr>
            <w:tcW w:w="1548" w:type="dxa"/>
          </w:tcPr>
          <w:p w:rsidR="009E131C" w:rsidRPr="009E131C" w:rsidRDefault="009E131C" w:rsidP="004E74FF">
            <w:pPr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Воронежская область</w:t>
            </w:r>
          </w:p>
        </w:tc>
        <w:tc>
          <w:tcPr>
            <w:tcW w:w="805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140,3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160,6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194,0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217,2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238,4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261,4</w:t>
            </w:r>
          </w:p>
        </w:tc>
        <w:tc>
          <w:tcPr>
            <w:tcW w:w="836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280,7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301,9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323,5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208,6</w:t>
            </w:r>
          </w:p>
        </w:tc>
      </w:tr>
      <w:tr w:rsidR="009E131C" w:rsidRPr="009E131C" w:rsidTr="009E131C">
        <w:trPr>
          <w:trHeight w:val="135"/>
        </w:trPr>
        <w:tc>
          <w:tcPr>
            <w:tcW w:w="1548" w:type="dxa"/>
          </w:tcPr>
          <w:p w:rsidR="009E131C" w:rsidRPr="009E131C" w:rsidRDefault="009E131C" w:rsidP="004E74FF">
            <w:pPr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 xml:space="preserve">Ивановская область </w:t>
            </w:r>
          </w:p>
        </w:tc>
        <w:tc>
          <w:tcPr>
            <w:tcW w:w="805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23,4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23,8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23,8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23,8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23,8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23,8</w:t>
            </w:r>
          </w:p>
        </w:tc>
        <w:tc>
          <w:tcPr>
            <w:tcW w:w="836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23,8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23,8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122,0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4,3</w:t>
            </w:r>
          </w:p>
        </w:tc>
      </w:tr>
      <w:tr w:rsidR="009E131C" w:rsidRPr="009E131C" w:rsidTr="009E131C">
        <w:trPr>
          <w:trHeight w:val="135"/>
        </w:trPr>
        <w:tc>
          <w:tcPr>
            <w:tcW w:w="1548" w:type="dxa"/>
          </w:tcPr>
          <w:p w:rsidR="009E131C" w:rsidRPr="009E131C" w:rsidRDefault="009E131C" w:rsidP="004E74FF">
            <w:pPr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Калужская область</w:t>
            </w:r>
          </w:p>
        </w:tc>
        <w:tc>
          <w:tcPr>
            <w:tcW w:w="805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63,5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65,6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67,9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70,2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72,7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78,0</w:t>
            </w:r>
          </w:p>
        </w:tc>
        <w:tc>
          <w:tcPr>
            <w:tcW w:w="836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80,9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81,1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127,8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17,6</w:t>
            </w:r>
          </w:p>
        </w:tc>
      </w:tr>
      <w:tr w:rsidR="009E131C" w:rsidRPr="009E131C" w:rsidTr="009E131C">
        <w:trPr>
          <w:trHeight w:val="435"/>
        </w:trPr>
        <w:tc>
          <w:tcPr>
            <w:tcW w:w="1548" w:type="dxa"/>
          </w:tcPr>
          <w:p w:rsidR="009E131C" w:rsidRPr="009E131C" w:rsidRDefault="009E131C" w:rsidP="004E74FF">
            <w:pPr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Костромская область</w:t>
            </w:r>
          </w:p>
        </w:tc>
        <w:tc>
          <w:tcPr>
            <w:tcW w:w="805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10,8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11,2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11,7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12,3</w:t>
            </w:r>
          </w:p>
        </w:tc>
        <w:tc>
          <w:tcPr>
            <w:tcW w:w="836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12,7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13,4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133,2</w:t>
            </w:r>
          </w:p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3,3</w:t>
            </w:r>
          </w:p>
        </w:tc>
      </w:tr>
      <w:tr w:rsidR="009E131C" w:rsidRPr="009E131C" w:rsidTr="009E131C">
        <w:trPr>
          <w:trHeight w:val="135"/>
        </w:trPr>
        <w:tc>
          <w:tcPr>
            <w:tcW w:w="1548" w:type="dxa"/>
          </w:tcPr>
          <w:p w:rsidR="009E131C" w:rsidRPr="009E131C" w:rsidRDefault="009E131C" w:rsidP="004E74FF">
            <w:pPr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Курская область</w:t>
            </w:r>
          </w:p>
        </w:tc>
        <w:tc>
          <w:tcPr>
            <w:tcW w:w="805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115,9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115,9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115,9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115,9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115,9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115,9</w:t>
            </w:r>
          </w:p>
        </w:tc>
        <w:tc>
          <w:tcPr>
            <w:tcW w:w="836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115,9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115,9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30,8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77,6</w:t>
            </w:r>
          </w:p>
        </w:tc>
      </w:tr>
      <w:tr w:rsidR="009E131C" w:rsidRPr="009E131C" w:rsidTr="009E131C">
        <w:trPr>
          <w:trHeight w:val="135"/>
        </w:trPr>
        <w:tc>
          <w:tcPr>
            <w:tcW w:w="1548" w:type="dxa"/>
          </w:tcPr>
          <w:p w:rsidR="009E131C" w:rsidRPr="009E131C" w:rsidRDefault="009E131C" w:rsidP="004E74FF">
            <w:pPr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Липецкая область</w:t>
            </w:r>
          </w:p>
        </w:tc>
        <w:tc>
          <w:tcPr>
            <w:tcW w:w="805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211,9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211,9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212,7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212,7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212,8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212,8</w:t>
            </w:r>
          </w:p>
        </w:tc>
        <w:tc>
          <w:tcPr>
            <w:tcW w:w="836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212,8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212,9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179,3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94,1</w:t>
            </w:r>
          </w:p>
        </w:tc>
      </w:tr>
      <w:tr w:rsidR="009E131C" w:rsidRPr="009E131C" w:rsidTr="009E131C">
        <w:trPr>
          <w:trHeight w:val="135"/>
        </w:trPr>
        <w:tc>
          <w:tcPr>
            <w:tcW w:w="1548" w:type="dxa"/>
          </w:tcPr>
          <w:p w:rsidR="009E131C" w:rsidRPr="009E131C" w:rsidRDefault="009E131C" w:rsidP="004E74FF">
            <w:pPr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Московская область</w:t>
            </w:r>
          </w:p>
        </w:tc>
        <w:tc>
          <w:tcPr>
            <w:tcW w:w="805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178,4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178,5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172,2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172,2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172,2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182,2</w:t>
            </w:r>
          </w:p>
        </w:tc>
        <w:tc>
          <w:tcPr>
            <w:tcW w:w="836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182,2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182,2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125,6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37,1</w:t>
            </w:r>
          </w:p>
        </w:tc>
      </w:tr>
      <w:tr w:rsidR="009E131C" w:rsidRPr="009E131C" w:rsidTr="009E131C">
        <w:trPr>
          <w:trHeight w:val="135"/>
        </w:trPr>
        <w:tc>
          <w:tcPr>
            <w:tcW w:w="1548" w:type="dxa"/>
          </w:tcPr>
          <w:p w:rsidR="009E131C" w:rsidRPr="009E131C" w:rsidRDefault="009E131C" w:rsidP="004E74FF">
            <w:pPr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Орловская область</w:t>
            </w:r>
          </w:p>
        </w:tc>
        <w:tc>
          <w:tcPr>
            <w:tcW w:w="805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37,0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37,0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37,0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37,0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37,0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37,0</w:t>
            </w:r>
          </w:p>
        </w:tc>
        <w:tc>
          <w:tcPr>
            <w:tcW w:w="836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37,0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37,0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142,0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10,9</w:t>
            </w:r>
          </w:p>
        </w:tc>
      </w:tr>
      <w:tr w:rsidR="009E131C" w:rsidRPr="009E131C" w:rsidTr="009E131C">
        <w:trPr>
          <w:trHeight w:val="135"/>
        </w:trPr>
        <w:tc>
          <w:tcPr>
            <w:tcW w:w="1548" w:type="dxa"/>
          </w:tcPr>
          <w:p w:rsidR="009E131C" w:rsidRPr="009E131C" w:rsidRDefault="009E131C" w:rsidP="004E74FF">
            <w:pPr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Рязанская область</w:t>
            </w:r>
          </w:p>
        </w:tc>
        <w:tc>
          <w:tcPr>
            <w:tcW w:w="805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30,8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31,1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31,7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35,9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40,3</w:t>
            </w:r>
          </w:p>
        </w:tc>
        <w:tc>
          <w:tcPr>
            <w:tcW w:w="836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41,6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170,5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18,1</w:t>
            </w:r>
          </w:p>
        </w:tc>
      </w:tr>
      <w:tr w:rsidR="009E131C" w:rsidRPr="009E131C" w:rsidTr="009E131C">
        <w:trPr>
          <w:trHeight w:val="135"/>
        </w:trPr>
        <w:tc>
          <w:tcPr>
            <w:tcW w:w="1548" w:type="dxa"/>
          </w:tcPr>
          <w:p w:rsidR="009E131C" w:rsidRPr="009E131C" w:rsidRDefault="009E131C" w:rsidP="004E74FF">
            <w:pPr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Смоленская область</w:t>
            </w:r>
          </w:p>
        </w:tc>
        <w:tc>
          <w:tcPr>
            <w:tcW w:w="805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6,4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836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225,8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4,9</w:t>
            </w:r>
          </w:p>
        </w:tc>
      </w:tr>
      <w:tr w:rsidR="009E131C" w:rsidRPr="009E131C" w:rsidTr="009E131C">
        <w:trPr>
          <w:trHeight w:val="135"/>
        </w:trPr>
        <w:tc>
          <w:tcPr>
            <w:tcW w:w="1548" w:type="dxa"/>
          </w:tcPr>
          <w:p w:rsidR="009E131C" w:rsidRPr="009E131C" w:rsidRDefault="009E131C" w:rsidP="004E74FF">
            <w:pPr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Тамбовская область</w:t>
            </w:r>
          </w:p>
        </w:tc>
        <w:tc>
          <w:tcPr>
            <w:tcW w:w="805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17,4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27,0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38,9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79,9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105,2</w:t>
            </w:r>
          </w:p>
        </w:tc>
        <w:tc>
          <w:tcPr>
            <w:tcW w:w="836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105,2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105,2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616,2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88,1</w:t>
            </w:r>
          </w:p>
        </w:tc>
      </w:tr>
      <w:tr w:rsidR="009E131C" w:rsidRPr="009E131C" w:rsidTr="009E131C">
        <w:trPr>
          <w:trHeight w:val="135"/>
        </w:trPr>
        <w:tc>
          <w:tcPr>
            <w:tcW w:w="1548" w:type="dxa"/>
          </w:tcPr>
          <w:p w:rsidR="009E131C" w:rsidRPr="009E131C" w:rsidRDefault="009E131C" w:rsidP="004E74FF">
            <w:pPr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Тверская область</w:t>
            </w:r>
          </w:p>
        </w:tc>
        <w:tc>
          <w:tcPr>
            <w:tcW w:w="805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41,8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45,1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47,8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50,9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50,9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50,9</w:t>
            </w:r>
          </w:p>
        </w:tc>
        <w:tc>
          <w:tcPr>
            <w:tcW w:w="836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50,9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50,9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136,3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13,6</w:t>
            </w:r>
          </w:p>
        </w:tc>
      </w:tr>
      <w:tr w:rsidR="009E131C" w:rsidRPr="009E131C" w:rsidTr="009E131C">
        <w:trPr>
          <w:trHeight w:val="135"/>
        </w:trPr>
        <w:tc>
          <w:tcPr>
            <w:tcW w:w="1548" w:type="dxa"/>
          </w:tcPr>
          <w:p w:rsidR="009E131C" w:rsidRPr="009E131C" w:rsidRDefault="009E131C" w:rsidP="004E74FF">
            <w:pPr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Тульская область</w:t>
            </w:r>
          </w:p>
        </w:tc>
        <w:tc>
          <w:tcPr>
            <w:tcW w:w="805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43,1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43,4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43,8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44,2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44,3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44,8</w:t>
            </w:r>
          </w:p>
        </w:tc>
        <w:tc>
          <w:tcPr>
            <w:tcW w:w="836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45,2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46,9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111,3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4,8</w:t>
            </w:r>
          </w:p>
        </w:tc>
      </w:tr>
      <w:tr w:rsidR="009E131C" w:rsidRPr="009E131C" w:rsidTr="009E131C">
        <w:trPr>
          <w:trHeight w:val="135"/>
        </w:trPr>
        <w:tc>
          <w:tcPr>
            <w:tcW w:w="1548" w:type="dxa"/>
          </w:tcPr>
          <w:p w:rsidR="009E131C" w:rsidRPr="009E131C" w:rsidRDefault="009E131C" w:rsidP="004E74FF">
            <w:pPr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Ярославская область</w:t>
            </w:r>
          </w:p>
        </w:tc>
        <w:tc>
          <w:tcPr>
            <w:tcW w:w="805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49,4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54,2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59,7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59,7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60,1</w:t>
            </w:r>
          </w:p>
        </w:tc>
        <w:tc>
          <w:tcPr>
            <w:tcW w:w="836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62,6</w:t>
            </w:r>
          </w:p>
        </w:tc>
        <w:tc>
          <w:tcPr>
            <w:tcW w:w="821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63,3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183,4</w:t>
            </w:r>
          </w:p>
        </w:tc>
        <w:tc>
          <w:tcPr>
            <w:tcW w:w="728" w:type="dxa"/>
          </w:tcPr>
          <w:p w:rsidR="009E131C" w:rsidRPr="009E131C" w:rsidRDefault="009E131C" w:rsidP="009E13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131C">
              <w:rPr>
                <w:rFonts w:ascii="Times New Roman" w:hAnsi="Times New Roman" w:cs="Times New Roman"/>
                <w:sz w:val="20"/>
              </w:rPr>
              <w:t>28,8</w:t>
            </w:r>
          </w:p>
        </w:tc>
      </w:tr>
    </w:tbl>
    <w:p w:rsidR="005E2AE7" w:rsidRDefault="005E2AE7" w:rsidP="005E2A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2AE7" w:rsidRDefault="005E2AE7" w:rsidP="005E2A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2AE7" w:rsidRDefault="005E2AE7" w:rsidP="005E2A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7E21" w:rsidRPr="001269A7" w:rsidRDefault="006A7E21" w:rsidP="005E2A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9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Детальный анализ производства показывает, что лидером в данном секторе в 2016 году является Белгородская область. Процент производства в данном регионе составляет 14,5% (643 808,84 тонн) от общего производства страны. Вторым по величине субъектом является Ставропольский край (281 436,3 тонн). Тройку лидеров замыкает Челябинская область с объемом производства 267 688,2тонн.</w:t>
      </w:r>
    </w:p>
    <w:p w:rsidR="009E131C" w:rsidRDefault="009E131C" w:rsidP="009E131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B2A8417" wp14:editId="1A8E8458">
            <wp:extent cx="45720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131C" w:rsidRDefault="009E131C" w:rsidP="009E131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Рисунок 2.1. – </w:t>
      </w:r>
      <w:r w:rsidRPr="009E131C">
        <w:rPr>
          <w:rFonts w:ascii="Times New Roman" w:hAnsi="Times New Roman" w:cs="Times New Roman"/>
          <w:sz w:val="28"/>
          <w:szCs w:val="28"/>
          <w:shd w:val="clear" w:color="auto" w:fill="FFFFFF"/>
        </w:rPr>
        <w:t>Динамика и прогноз объемов производства мяса птицы в ЦФО в разрезе регионов, тонн</w:t>
      </w:r>
    </w:p>
    <w:p w:rsidR="009E131C" w:rsidRDefault="009E131C" w:rsidP="009E1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7E21" w:rsidRPr="001269A7" w:rsidRDefault="006A7E21" w:rsidP="005E2A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9A7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2014-2017 гг. средние цены производителей для российских потребителей на мясо домашней птицы выросли на 12,8%, с 83 470,9 руб./тонн до 94 164,7 руб./тонн. Наибольшее увеличение средних цен производителей произошло в 2015 году, тогда темп прироста составил 12,07%.</w:t>
      </w:r>
    </w:p>
    <w:p w:rsidR="006A7E21" w:rsidRPr="001269A7" w:rsidRDefault="006A7E21" w:rsidP="005E2A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9A7">
        <w:rPr>
          <w:rFonts w:ascii="Times New Roman" w:hAnsi="Times New Roman" w:cs="Times New Roman"/>
          <w:sz w:val="28"/>
          <w:szCs w:val="28"/>
          <w:shd w:val="clear" w:color="auto" w:fill="FFFFFF"/>
        </w:rPr>
        <w:t>Розничные цены также устремились вверх. Средняя стоимость килограмма куриных окорочков в розничных сетях в 2017 году составила около 156 рублей. Минимальная розничная цена на окорочки куриные за период 2014 - сентябрь 2017 была зафиксирована в феврале 2014 года и составила 127,1 руб./</w:t>
      </w:r>
      <w:proofErr w:type="gramStart"/>
      <w:r w:rsidRPr="001269A7">
        <w:rPr>
          <w:rFonts w:ascii="Times New Roman" w:hAnsi="Times New Roman" w:cs="Times New Roman"/>
          <w:sz w:val="28"/>
          <w:szCs w:val="28"/>
          <w:shd w:val="clear" w:color="auto" w:fill="FFFFFF"/>
        </w:rPr>
        <w:t>кг</w:t>
      </w:r>
      <w:proofErr w:type="gramEnd"/>
      <w:r w:rsidRPr="001269A7">
        <w:rPr>
          <w:rFonts w:ascii="Times New Roman" w:hAnsi="Times New Roman" w:cs="Times New Roman"/>
          <w:sz w:val="28"/>
          <w:szCs w:val="28"/>
          <w:shd w:val="clear" w:color="auto" w:fill="FFFFFF"/>
        </w:rPr>
        <w:t>. Максимальная цена была зафиксирована в январе 2017 года и составила 158,9 руб./</w:t>
      </w:r>
      <w:proofErr w:type="gramStart"/>
      <w:r w:rsidRPr="001269A7">
        <w:rPr>
          <w:rFonts w:ascii="Times New Roman" w:hAnsi="Times New Roman" w:cs="Times New Roman"/>
          <w:sz w:val="28"/>
          <w:szCs w:val="28"/>
          <w:shd w:val="clear" w:color="auto" w:fill="FFFFFF"/>
        </w:rPr>
        <w:t>кг</w:t>
      </w:r>
      <w:proofErr w:type="gramEnd"/>
      <w:r w:rsidRPr="00126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1269A7">
        <w:rPr>
          <w:rFonts w:ascii="Times New Roman" w:hAnsi="Times New Roman" w:cs="Times New Roman"/>
          <w:sz w:val="28"/>
          <w:szCs w:val="28"/>
          <w:shd w:val="clear" w:color="auto" w:fill="FFFFFF"/>
        </w:rPr>
        <w:t>Самые высокие розничные цены в Дальневосточном федеральном округе (на 21,9% выше средней по РФ).</w:t>
      </w:r>
      <w:proofErr w:type="gramEnd"/>
      <w:r w:rsidRPr="00126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269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Самый низкий уровень розничных цен отмечен в Северо-Кавказском федеральном округе (на -13,7% ниже средней по РФ).</w:t>
      </w:r>
      <w:proofErr w:type="gramEnd"/>
    </w:p>
    <w:p w:rsidR="006A7E21" w:rsidRPr="001269A7" w:rsidRDefault="006A7E21" w:rsidP="005E2AE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9A7">
        <w:rPr>
          <w:rFonts w:ascii="Times New Roman" w:hAnsi="Times New Roman" w:cs="Times New Roman"/>
          <w:sz w:val="28"/>
          <w:szCs w:val="28"/>
          <w:shd w:val="clear" w:color="auto" w:fill="FFFFFF"/>
        </w:rPr>
        <w:t>Спрос последние годы на мясо птицы показывал положительную динамику в связи с ухудшением покупательной способности населения. Данный показатель будет расти до тех пор, пока экономическая ситуация в стране не стабилизируется. Когда это произойдет, более дорогие виды мяса вернут свои позиции. </w:t>
      </w:r>
    </w:p>
    <w:p w:rsidR="006A7E21" w:rsidRDefault="006A7E21">
      <w:pPr>
        <w:rPr>
          <w:rFonts w:ascii="Times New Roman" w:hAnsi="Times New Roman" w:cs="Times New Roman"/>
          <w:sz w:val="28"/>
          <w:szCs w:val="28"/>
        </w:rPr>
      </w:pPr>
    </w:p>
    <w:p w:rsidR="006A7E21" w:rsidRDefault="006A7E21">
      <w:pPr>
        <w:rPr>
          <w:rFonts w:ascii="Times New Roman" w:hAnsi="Times New Roman" w:cs="Times New Roman"/>
          <w:sz w:val="28"/>
          <w:szCs w:val="28"/>
        </w:rPr>
      </w:pPr>
    </w:p>
    <w:p w:rsidR="006A7E21" w:rsidRDefault="006A7E21" w:rsidP="006A7E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E21">
        <w:rPr>
          <w:rFonts w:ascii="Times New Roman" w:hAnsi="Times New Roman" w:cs="Times New Roman"/>
          <w:b/>
          <w:sz w:val="28"/>
          <w:szCs w:val="28"/>
        </w:rPr>
        <w:t xml:space="preserve">2.2 Анализ организационно-управленческой структуры АПК «Алексино» </w:t>
      </w:r>
    </w:p>
    <w:p w:rsidR="007E4B71" w:rsidRDefault="007E4B71" w:rsidP="009E1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DA2" w:rsidRDefault="007B1DA2" w:rsidP="007B1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вид деятельности АПК «Алексино» состоит в производстве мяса птицы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птицепродуктов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DA2" w:rsidRDefault="007B1DA2" w:rsidP="007B1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организационно-управленческой структуры представлена на рисунке 2.</w:t>
      </w:r>
      <w:r w:rsidR="009E13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DA2" w:rsidRDefault="00E96F85" w:rsidP="00E96F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35147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F85" w:rsidRDefault="009E131C" w:rsidP="00E96F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2.3</w:t>
      </w:r>
      <w:r w:rsidR="00E96F85">
        <w:rPr>
          <w:rFonts w:ascii="Times New Roman" w:hAnsi="Times New Roman" w:cs="Times New Roman"/>
          <w:sz w:val="28"/>
          <w:szCs w:val="28"/>
        </w:rPr>
        <w:t>. – Организационно-управленческая структура АПК «</w:t>
      </w:r>
      <w:proofErr w:type="spellStart"/>
      <w:r w:rsidR="00E96F85">
        <w:rPr>
          <w:rFonts w:ascii="Times New Roman" w:hAnsi="Times New Roman" w:cs="Times New Roman"/>
          <w:sz w:val="28"/>
          <w:szCs w:val="28"/>
        </w:rPr>
        <w:t>Алексено</w:t>
      </w:r>
      <w:proofErr w:type="spellEnd"/>
      <w:r w:rsidR="00E96F85">
        <w:rPr>
          <w:rFonts w:ascii="Times New Roman" w:hAnsi="Times New Roman" w:cs="Times New Roman"/>
          <w:sz w:val="28"/>
          <w:szCs w:val="28"/>
        </w:rPr>
        <w:t>»</w:t>
      </w:r>
    </w:p>
    <w:p w:rsidR="00E96F85" w:rsidRDefault="00E96F85" w:rsidP="00E9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F85" w:rsidRPr="00E96F85" w:rsidRDefault="00E96F85" w:rsidP="009E1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обязанности директора входит прием мер по обеспечению предприятия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законодательства об охране окружающей среды. </w:t>
      </w:r>
    </w:p>
    <w:p w:rsidR="00E96F85" w:rsidRPr="00221981" w:rsidRDefault="00E96F85" w:rsidP="009E13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правильное сочетание </w:t>
      </w:r>
      <w:proofErr w:type="gramStart"/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и административных методов</w:t>
      </w:r>
      <w:proofErr w:type="gramEnd"/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руководства, единоначалия и коллегиальности в обсуждении и решении вопросов, материальных и моральных стимулов повышения эффективности производства, применение принципа материальной заинтересованности и ответственности каждого работника за порученное ему дело и результаты работы всего коллектива, выплату заработной платы в установленные сроки.</w:t>
      </w:r>
    </w:p>
    <w:p w:rsidR="00E96F85" w:rsidRPr="00221981" w:rsidRDefault="00E96F85" w:rsidP="00E96F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трудовым коллективом и профсоюзной организацией обеспечивает на основе принципов социального партнерства соблюдение трудовой и производственной дисциплины, директор способствует развитию трудовой мотивации, инициативы и активности рабочих и служащих предприятия.</w:t>
      </w:r>
    </w:p>
    <w:p w:rsidR="00E96F85" w:rsidRDefault="00E96F85" w:rsidP="00E96F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обязанности главного инженера </w:t>
      </w:r>
      <w:r w:rsidRPr="00E9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АПК «Алексино»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входит: </w:t>
      </w:r>
    </w:p>
    <w:p w:rsidR="00E96F85" w:rsidRDefault="00E96F85" w:rsidP="00E96F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развития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6F85" w:rsidRDefault="00E96F85" w:rsidP="00E96F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уров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подготовки производства и его постоянн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производства и его постоянный рост,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производительности труда,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объектов действующим государственным стандартам, техническим условиям и требованиям технической эстетики, а такж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их надежность и долговечность;</w:t>
      </w:r>
    </w:p>
    <w:p w:rsidR="00E96F85" w:rsidRDefault="00E96F85" w:rsidP="00E96F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проектных решений, своевременн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производства;</w:t>
      </w:r>
    </w:p>
    <w:p w:rsidR="00E96F85" w:rsidRDefault="00E96F85" w:rsidP="00E96F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 </w:t>
      </w:r>
      <w:r w:rsidRPr="00B10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1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выполняемых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современными 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и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6F85" w:rsidRDefault="00E96F85" w:rsidP="00E96F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проектной и технологической дисциплины, правил и норм труда, требований природоохранных, санитарных органов, а также органов, осуществляющих технический надзор. </w:t>
      </w:r>
    </w:p>
    <w:p w:rsidR="00E96F85" w:rsidRDefault="00E96F85" w:rsidP="00E96F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работа главного инженера направлена на обеспечение своевременной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технической документации, а так же зак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проектными организациями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разработку проектов строительства новых объектов. </w:t>
      </w:r>
    </w:p>
    <w:p w:rsidR="00E96F85" w:rsidRPr="00221981" w:rsidRDefault="00E96F85" w:rsidP="00E96F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сферу ответственности главного инженера входят результаты 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эффективность производственной деятельности.</w:t>
      </w:r>
    </w:p>
    <w:p w:rsidR="00E96F85" w:rsidRDefault="00E96F85" w:rsidP="00E96F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системы менеджмента качества и стандартизации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АПК «Алексино» </w:t>
      </w:r>
      <w:r w:rsidRPr="0089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возглавляет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генеральный директор. </w:t>
      </w:r>
    </w:p>
    <w:p w:rsidR="00787820" w:rsidRPr="00787820" w:rsidRDefault="00787820" w:rsidP="00E96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20">
        <w:rPr>
          <w:rFonts w:ascii="Times New Roman" w:hAnsi="Times New Roman" w:cs="Times New Roman"/>
          <w:sz w:val="28"/>
          <w:szCs w:val="28"/>
        </w:rPr>
        <w:t xml:space="preserve">В структуру </w:t>
      </w:r>
      <w:r w:rsidR="00E93F5D" w:rsidRPr="00E93F5D">
        <w:rPr>
          <w:rFonts w:ascii="Times New Roman" w:hAnsi="Times New Roman" w:cs="Times New Roman"/>
          <w:sz w:val="28"/>
          <w:szCs w:val="28"/>
        </w:rPr>
        <w:t xml:space="preserve">АПК «Алексино» </w:t>
      </w:r>
      <w:r w:rsidRPr="00787820">
        <w:rPr>
          <w:rFonts w:ascii="Times New Roman" w:hAnsi="Times New Roman" w:cs="Times New Roman"/>
          <w:sz w:val="28"/>
          <w:szCs w:val="28"/>
        </w:rPr>
        <w:t>входят:</w:t>
      </w:r>
    </w:p>
    <w:p w:rsidR="00787820" w:rsidRPr="00787820" w:rsidRDefault="007B1DA2" w:rsidP="00E96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820" w:rsidRPr="00787820">
        <w:rPr>
          <w:rFonts w:ascii="Times New Roman" w:hAnsi="Times New Roman" w:cs="Times New Roman"/>
          <w:sz w:val="28"/>
          <w:szCs w:val="28"/>
        </w:rPr>
        <w:t xml:space="preserve"> Собственное научное подразделение, к целям и задачам которого относятся внедрение на произ</w:t>
      </w:r>
      <w:r>
        <w:rPr>
          <w:rFonts w:ascii="Times New Roman" w:hAnsi="Times New Roman" w:cs="Times New Roman"/>
          <w:sz w:val="28"/>
          <w:szCs w:val="28"/>
        </w:rPr>
        <w:t>водство современных технологиче</w:t>
      </w:r>
      <w:r w:rsidR="00787820" w:rsidRPr="00787820">
        <w:rPr>
          <w:rFonts w:ascii="Times New Roman" w:hAnsi="Times New Roman" w:cs="Times New Roman"/>
          <w:sz w:val="28"/>
          <w:szCs w:val="28"/>
        </w:rPr>
        <w:t xml:space="preserve">ских решений и создание эффективного и </w:t>
      </w:r>
      <w:proofErr w:type="spellStart"/>
      <w:r w:rsidR="00787820" w:rsidRPr="00787820">
        <w:rPr>
          <w:rFonts w:ascii="Times New Roman" w:hAnsi="Times New Roman" w:cs="Times New Roman"/>
          <w:sz w:val="28"/>
          <w:szCs w:val="28"/>
        </w:rPr>
        <w:t>быстроокупаемого</w:t>
      </w:r>
      <w:proofErr w:type="spellEnd"/>
      <w:r w:rsidR="00787820" w:rsidRPr="00787820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1DA2" w:rsidRDefault="007B1DA2" w:rsidP="00E96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7820" w:rsidRPr="00787820">
        <w:rPr>
          <w:rFonts w:ascii="Times New Roman" w:hAnsi="Times New Roman" w:cs="Times New Roman"/>
          <w:sz w:val="28"/>
          <w:szCs w:val="28"/>
        </w:rPr>
        <w:t xml:space="preserve"> Собственное технологическое подразделение, </w:t>
      </w:r>
      <w:proofErr w:type="gramStart"/>
      <w:r w:rsidR="00787820" w:rsidRPr="00787820">
        <w:rPr>
          <w:rFonts w:ascii="Times New Roman" w:hAnsi="Times New Roman" w:cs="Times New Roman"/>
          <w:sz w:val="28"/>
          <w:szCs w:val="28"/>
        </w:rPr>
        <w:t>состоя ее из специалистов имею их опыт</w:t>
      </w:r>
      <w:proofErr w:type="gramEnd"/>
      <w:r w:rsidR="00787820" w:rsidRPr="00787820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ты непосредственно на функционирую</w:t>
      </w:r>
      <w:r w:rsidRPr="00787820">
        <w:rPr>
          <w:rFonts w:ascii="Times New Roman" w:hAnsi="Times New Roman" w:cs="Times New Roman"/>
          <w:sz w:val="28"/>
          <w:szCs w:val="28"/>
        </w:rPr>
        <w:t>щем</w:t>
      </w:r>
      <w:r w:rsidR="00787820" w:rsidRPr="00787820">
        <w:rPr>
          <w:rFonts w:ascii="Times New Roman" w:hAnsi="Times New Roman" w:cs="Times New Roman"/>
          <w:sz w:val="28"/>
          <w:szCs w:val="28"/>
        </w:rPr>
        <w:t xml:space="preserve"> предприятии, к целям и задачам которого от</w:t>
      </w:r>
      <w:r>
        <w:rPr>
          <w:rFonts w:ascii="Times New Roman" w:hAnsi="Times New Roman" w:cs="Times New Roman"/>
          <w:sz w:val="28"/>
          <w:szCs w:val="28"/>
        </w:rPr>
        <w:t>носятся взаимодействие с поставщ</w:t>
      </w:r>
      <w:r w:rsidR="00787820" w:rsidRPr="00787820">
        <w:rPr>
          <w:rFonts w:ascii="Times New Roman" w:hAnsi="Times New Roman" w:cs="Times New Roman"/>
          <w:sz w:val="28"/>
          <w:szCs w:val="28"/>
        </w:rPr>
        <w:t>иками оборудования и технологий, разработка оптимальных конц</w:t>
      </w:r>
      <w:r>
        <w:rPr>
          <w:rFonts w:ascii="Times New Roman" w:hAnsi="Times New Roman" w:cs="Times New Roman"/>
          <w:sz w:val="28"/>
          <w:szCs w:val="28"/>
        </w:rPr>
        <w:t>епций и технологических решений;</w:t>
      </w:r>
    </w:p>
    <w:p w:rsidR="00787820" w:rsidRDefault="007B1DA2" w:rsidP="00E96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7820" w:rsidRPr="00787820">
        <w:rPr>
          <w:rFonts w:ascii="Times New Roman" w:hAnsi="Times New Roman" w:cs="Times New Roman"/>
          <w:sz w:val="28"/>
          <w:szCs w:val="28"/>
        </w:rPr>
        <w:t xml:space="preserve"> Собственное экономическое подразделение, к целям и задачам которого относятся разработка бизнес-планов и финансовых моделей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820" w:rsidRDefault="007B1DA2" w:rsidP="00E96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820" w:rsidRPr="00787820">
        <w:rPr>
          <w:rFonts w:ascii="Times New Roman" w:hAnsi="Times New Roman" w:cs="Times New Roman"/>
          <w:sz w:val="28"/>
          <w:szCs w:val="28"/>
        </w:rPr>
        <w:t xml:space="preserve">Собственное проектное подразделение, к целям и задачам которого относятся разработка проектной документации на строительство предприятий агропромышленного </w:t>
      </w:r>
      <w:r w:rsidR="00E93F5D">
        <w:rPr>
          <w:rFonts w:ascii="Times New Roman" w:hAnsi="Times New Roman" w:cs="Times New Roman"/>
          <w:sz w:val="28"/>
          <w:szCs w:val="28"/>
        </w:rPr>
        <w:t>комплекса, а также осущ</w:t>
      </w:r>
      <w:r w:rsidR="00787820" w:rsidRPr="00787820">
        <w:rPr>
          <w:rFonts w:ascii="Times New Roman" w:hAnsi="Times New Roman" w:cs="Times New Roman"/>
          <w:sz w:val="28"/>
          <w:szCs w:val="28"/>
        </w:rPr>
        <w:t>ествление авторского надзора за строительством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820" w:rsidRPr="00787820" w:rsidRDefault="007B1DA2" w:rsidP="00E96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820" w:rsidRPr="00787820">
        <w:rPr>
          <w:rFonts w:ascii="Times New Roman" w:hAnsi="Times New Roman" w:cs="Times New Roman"/>
          <w:sz w:val="28"/>
          <w:szCs w:val="28"/>
        </w:rPr>
        <w:t>Собственное юридическое подразделение, к целям и задачам которого относятся взаимодействие</w:t>
      </w:r>
      <w:r w:rsidR="00E93F5D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</w:t>
      </w:r>
      <w:r w:rsidR="00787820" w:rsidRPr="00787820">
        <w:rPr>
          <w:rFonts w:ascii="Times New Roman" w:hAnsi="Times New Roman" w:cs="Times New Roman"/>
          <w:sz w:val="28"/>
          <w:szCs w:val="28"/>
        </w:rPr>
        <w:t>сти, а также разрешение спорных ситуаций возникаю их в ходе реализации проектов</w:t>
      </w:r>
    </w:p>
    <w:p w:rsidR="00787820" w:rsidRPr="00787820" w:rsidRDefault="00787820" w:rsidP="00E96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20">
        <w:rPr>
          <w:rFonts w:ascii="Times New Roman" w:hAnsi="Times New Roman" w:cs="Times New Roman"/>
          <w:sz w:val="28"/>
          <w:szCs w:val="28"/>
        </w:rPr>
        <w:lastRenderedPageBreak/>
        <w:t xml:space="preserve">Слаженное и четко структурированное взаимодействие всех подразделений </w:t>
      </w:r>
      <w:r w:rsidR="00E93F5D" w:rsidRPr="00E93F5D">
        <w:rPr>
          <w:rFonts w:ascii="Times New Roman" w:hAnsi="Times New Roman" w:cs="Times New Roman"/>
          <w:sz w:val="28"/>
          <w:szCs w:val="28"/>
        </w:rPr>
        <w:t xml:space="preserve">АПК «Алексино» </w:t>
      </w:r>
      <w:r w:rsidR="00E93F5D">
        <w:rPr>
          <w:rFonts w:ascii="Times New Roman" w:hAnsi="Times New Roman" w:cs="Times New Roman"/>
          <w:sz w:val="28"/>
          <w:szCs w:val="28"/>
        </w:rPr>
        <w:t xml:space="preserve"> </w:t>
      </w:r>
      <w:r w:rsidRPr="00787820">
        <w:rPr>
          <w:rFonts w:ascii="Times New Roman" w:hAnsi="Times New Roman" w:cs="Times New Roman"/>
          <w:sz w:val="28"/>
          <w:szCs w:val="28"/>
        </w:rPr>
        <w:t>позволяет получить качественный и востребованный продукт на всех стадиях реализации инвестиционного проекта.</w:t>
      </w:r>
    </w:p>
    <w:p w:rsidR="00787820" w:rsidRPr="00787820" w:rsidRDefault="00E93F5D" w:rsidP="00E96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</w:t>
      </w:r>
      <w:r w:rsidR="00787820" w:rsidRPr="00787820">
        <w:rPr>
          <w:rFonts w:ascii="Times New Roman" w:hAnsi="Times New Roman" w:cs="Times New Roman"/>
          <w:sz w:val="28"/>
          <w:szCs w:val="28"/>
        </w:rPr>
        <w:t xml:space="preserve">ее время </w:t>
      </w:r>
      <w:r w:rsidRPr="00E93F5D">
        <w:rPr>
          <w:rFonts w:ascii="Times New Roman" w:hAnsi="Times New Roman" w:cs="Times New Roman"/>
          <w:sz w:val="28"/>
          <w:szCs w:val="28"/>
        </w:rPr>
        <w:t xml:space="preserve">АПК «Алексино» </w:t>
      </w:r>
      <w:r w:rsidR="00787820" w:rsidRPr="00787820">
        <w:rPr>
          <w:rFonts w:ascii="Times New Roman" w:hAnsi="Times New Roman" w:cs="Times New Roman"/>
          <w:sz w:val="28"/>
          <w:szCs w:val="28"/>
        </w:rPr>
        <w:t>ведется разработка проектной документации на строитель</w:t>
      </w:r>
      <w:r>
        <w:rPr>
          <w:rFonts w:ascii="Times New Roman" w:hAnsi="Times New Roman" w:cs="Times New Roman"/>
          <w:sz w:val="28"/>
          <w:szCs w:val="28"/>
        </w:rPr>
        <w:t>ство крупной птицефермы по выращи</w:t>
      </w:r>
      <w:r w:rsidR="00787820" w:rsidRPr="00787820">
        <w:rPr>
          <w:rFonts w:ascii="Times New Roman" w:hAnsi="Times New Roman" w:cs="Times New Roman"/>
          <w:sz w:val="28"/>
          <w:szCs w:val="28"/>
        </w:rPr>
        <w:t xml:space="preserve">ванию </w:t>
      </w:r>
      <w:r>
        <w:rPr>
          <w:rFonts w:ascii="Times New Roman" w:hAnsi="Times New Roman" w:cs="Times New Roman"/>
          <w:sz w:val="28"/>
          <w:szCs w:val="28"/>
        </w:rPr>
        <w:t>индейки, состоя ей из шести площ</w:t>
      </w:r>
      <w:r w:rsidR="00787820" w:rsidRPr="00787820">
        <w:rPr>
          <w:rFonts w:ascii="Times New Roman" w:hAnsi="Times New Roman" w:cs="Times New Roman"/>
          <w:sz w:val="28"/>
          <w:szCs w:val="28"/>
        </w:rPr>
        <w:t>адок, располагаемых в Смоленской области. В рамках реа</w:t>
      </w:r>
      <w:r>
        <w:rPr>
          <w:rFonts w:ascii="Times New Roman" w:hAnsi="Times New Roman" w:cs="Times New Roman"/>
          <w:sz w:val="28"/>
          <w:szCs w:val="28"/>
        </w:rPr>
        <w:t>лизации данного проекта были по</w:t>
      </w:r>
      <w:r w:rsidR="00787820" w:rsidRPr="00787820">
        <w:rPr>
          <w:rFonts w:ascii="Times New Roman" w:hAnsi="Times New Roman" w:cs="Times New Roman"/>
          <w:sz w:val="28"/>
          <w:szCs w:val="28"/>
        </w:rPr>
        <w:t xml:space="preserve">лучены все необходимые согласования и собрана исходно-разрешительная документация. Получено </w:t>
      </w:r>
      <w:r>
        <w:rPr>
          <w:rFonts w:ascii="Times New Roman" w:hAnsi="Times New Roman" w:cs="Times New Roman"/>
          <w:sz w:val="28"/>
          <w:szCs w:val="28"/>
        </w:rPr>
        <w:t>положительное заключение экспер</w:t>
      </w:r>
      <w:r w:rsidR="00787820" w:rsidRPr="00787820">
        <w:rPr>
          <w:rFonts w:ascii="Times New Roman" w:hAnsi="Times New Roman" w:cs="Times New Roman"/>
          <w:sz w:val="28"/>
          <w:szCs w:val="28"/>
        </w:rPr>
        <w:t>тизы проектной документации и результатов инжен</w:t>
      </w:r>
      <w:r>
        <w:rPr>
          <w:rFonts w:ascii="Times New Roman" w:hAnsi="Times New Roman" w:cs="Times New Roman"/>
          <w:sz w:val="28"/>
          <w:szCs w:val="28"/>
        </w:rPr>
        <w:t>ерных изысканий по одной из площ</w:t>
      </w:r>
      <w:r w:rsidR="00787820" w:rsidRPr="00787820">
        <w:rPr>
          <w:rFonts w:ascii="Times New Roman" w:hAnsi="Times New Roman" w:cs="Times New Roman"/>
          <w:sz w:val="28"/>
          <w:szCs w:val="28"/>
        </w:rPr>
        <w:t>адок предприятия.</w:t>
      </w:r>
    </w:p>
    <w:p w:rsidR="00E96F85" w:rsidRDefault="00787820" w:rsidP="00E96F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20">
        <w:rPr>
          <w:rFonts w:ascii="Times New Roman" w:hAnsi="Times New Roman" w:cs="Times New Roman"/>
          <w:sz w:val="28"/>
          <w:szCs w:val="28"/>
        </w:rPr>
        <w:t>На стадии преддоговорных согласований находятся предложения по проектированию предприятий в Сахалинской, Хабаровской и Тверской областях, Краснодарском крае, а также в республике Дагестан и других регионах Российской Федерации.</w:t>
      </w:r>
    </w:p>
    <w:p w:rsidR="007E4B71" w:rsidRPr="004F0C8A" w:rsidRDefault="007E4B71" w:rsidP="004F0C8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A7E21" w:rsidRPr="004F0C8A" w:rsidRDefault="004F0C8A" w:rsidP="004F0C8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0C8A">
        <w:rPr>
          <w:rFonts w:ascii="Times New Roman" w:hAnsi="Times New Roman" w:cs="Times New Roman"/>
          <w:b/>
          <w:sz w:val="28"/>
          <w:szCs w:val="28"/>
        </w:rPr>
        <w:t>2.3 Анализ ресурсных показателей АПК «Алексино»</w:t>
      </w:r>
    </w:p>
    <w:p w:rsidR="00757C03" w:rsidRDefault="004F0C8A" w:rsidP="00757C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8A">
        <w:rPr>
          <w:rFonts w:ascii="Times New Roman" w:hAnsi="Times New Roman" w:cs="Times New Roman"/>
          <w:sz w:val="28"/>
          <w:szCs w:val="28"/>
        </w:rPr>
        <w:t xml:space="preserve">Далее проанализируем финансовое состояние и финансовые результаты деятельности </w:t>
      </w:r>
      <w:r w:rsidRPr="004F0C8A">
        <w:rPr>
          <w:rFonts w:ascii="Times New Roman" w:hAnsi="Times New Roman" w:cs="Times New Roman"/>
          <w:sz w:val="28"/>
          <w:szCs w:val="28"/>
        </w:rPr>
        <w:t>АПК «Алексино»</w:t>
      </w:r>
      <w:r>
        <w:rPr>
          <w:rFonts w:ascii="Times New Roman" w:hAnsi="Times New Roman" w:cs="Times New Roman"/>
          <w:sz w:val="28"/>
          <w:szCs w:val="28"/>
        </w:rPr>
        <w:t xml:space="preserve"> за 2015</w:t>
      </w:r>
      <w:r w:rsidRPr="004F0C8A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0C8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F0C8A" w:rsidRPr="004F0C8A" w:rsidRDefault="004F0C8A" w:rsidP="00757C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8A">
        <w:rPr>
          <w:rFonts w:ascii="Times New Roman" w:hAnsi="Times New Roman" w:cs="Times New Roman"/>
          <w:sz w:val="28"/>
          <w:szCs w:val="28"/>
        </w:rPr>
        <w:t>Таблица 2</w:t>
      </w:r>
      <w:r w:rsidR="009E131C" w:rsidRPr="009E131C">
        <w:rPr>
          <w:rFonts w:ascii="Times New Roman" w:hAnsi="Times New Roman" w:cs="Times New Roman"/>
          <w:sz w:val="28"/>
          <w:szCs w:val="28"/>
        </w:rPr>
        <w:t>.2.</w:t>
      </w:r>
      <w:r w:rsidR="00757C03" w:rsidRPr="009E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F0C8A">
        <w:rPr>
          <w:rFonts w:ascii="Times New Roman" w:hAnsi="Times New Roman" w:cs="Times New Roman"/>
          <w:sz w:val="28"/>
          <w:szCs w:val="28"/>
        </w:rPr>
        <w:t xml:space="preserve">Анализ динамики актива </w:t>
      </w:r>
      <w:r w:rsidRPr="009E131C">
        <w:rPr>
          <w:rFonts w:ascii="Times New Roman" w:hAnsi="Times New Roman" w:cs="Times New Roman"/>
          <w:sz w:val="28"/>
          <w:szCs w:val="28"/>
        </w:rPr>
        <w:t>АПК «Алексино»</w:t>
      </w:r>
      <w:r w:rsidRPr="004F0C8A">
        <w:rPr>
          <w:rFonts w:ascii="Times New Roman" w:hAnsi="Times New Roman" w:cs="Times New Roman"/>
          <w:sz w:val="28"/>
          <w:szCs w:val="28"/>
        </w:rPr>
        <w:t xml:space="preserve">, тыс. </w:t>
      </w:r>
      <w:proofErr w:type="spellStart"/>
      <w:r w:rsidRPr="004F0C8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tbl>
      <w:tblPr>
        <w:tblW w:w="9581" w:type="dxa"/>
        <w:tblInd w:w="93" w:type="dxa"/>
        <w:tblLook w:val="04A0" w:firstRow="1" w:lastRow="0" w:firstColumn="1" w:lastColumn="0" w:noHBand="0" w:noVBand="1"/>
      </w:tblPr>
      <w:tblGrid>
        <w:gridCol w:w="3295"/>
        <w:gridCol w:w="1296"/>
        <w:gridCol w:w="1342"/>
        <w:gridCol w:w="1296"/>
        <w:gridCol w:w="1176"/>
        <w:gridCol w:w="1176"/>
      </w:tblGrid>
      <w:tr w:rsidR="004F0C8A" w:rsidRPr="004F0C8A" w:rsidTr="004F0C8A">
        <w:trPr>
          <w:trHeight w:val="300"/>
        </w:trPr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Темп прироста,%</w:t>
            </w:r>
          </w:p>
        </w:tc>
      </w:tr>
      <w:tr w:rsidR="004F0C8A" w:rsidRPr="004F0C8A" w:rsidTr="004F0C8A">
        <w:trPr>
          <w:trHeight w:val="300"/>
        </w:trPr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2016</w:t>
            </w:r>
            <w:r w:rsidRPr="004F0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4F0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F0C8A" w:rsidRPr="004F0C8A" w:rsidTr="004E74FF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F0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4F0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272714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-18,71</w:t>
            </w:r>
          </w:p>
        </w:tc>
      </w:tr>
      <w:tr w:rsidR="004F0C8A" w:rsidRPr="004F0C8A" w:rsidTr="004E74FF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-19,05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-17,65</w:t>
            </w:r>
          </w:p>
        </w:tc>
      </w:tr>
      <w:tr w:rsidR="004F0C8A" w:rsidRPr="004F0C8A" w:rsidTr="004E74FF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исследований и разработок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C8A" w:rsidRPr="004F0C8A" w:rsidTr="004E74FF">
        <w:trPr>
          <w:trHeight w:val="611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Нематериальные поисковые активы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C8A" w:rsidRPr="004F0C8A" w:rsidTr="004E74FF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224229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-0,46</w:t>
            </w:r>
          </w:p>
        </w:tc>
      </w:tr>
      <w:tr w:rsidR="004F0C8A" w:rsidRPr="004F0C8A" w:rsidTr="004E74FF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C8A" w:rsidRPr="004F0C8A" w:rsidTr="004E74FF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-99,84</w:t>
            </w:r>
          </w:p>
        </w:tc>
      </w:tr>
      <w:tr w:rsidR="004F0C8A" w:rsidRPr="004F0C8A" w:rsidTr="004E74FF">
        <w:trPr>
          <w:trHeight w:val="65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Отложенные налоговые активы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C8A" w:rsidRPr="004F0C8A" w:rsidTr="004E74FF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Оборотные активы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505729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675534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1025036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51,74</w:t>
            </w:r>
          </w:p>
        </w:tc>
      </w:tr>
      <w:tr w:rsidR="004F0C8A" w:rsidRPr="004F0C8A" w:rsidTr="004E74FF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72745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3,28</w:t>
            </w:r>
          </w:p>
        </w:tc>
      </w:tr>
      <w:tr w:rsidR="004F0C8A" w:rsidRPr="004F0C8A" w:rsidTr="004E74FF">
        <w:trPr>
          <w:trHeight w:val="51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C8A" w:rsidRPr="004F0C8A" w:rsidTr="004E74FF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632248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174,09</w:t>
            </w:r>
          </w:p>
        </w:tc>
      </w:tr>
      <w:tr w:rsidR="004F0C8A" w:rsidRPr="004F0C8A" w:rsidTr="004E74FF">
        <w:trPr>
          <w:trHeight w:val="51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-14,19</w:t>
            </w:r>
          </w:p>
        </w:tc>
      </w:tr>
      <w:tr w:rsidR="004F0C8A" w:rsidRPr="004F0C8A" w:rsidTr="004E74FF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-31,79</w:t>
            </w:r>
          </w:p>
        </w:tc>
      </w:tr>
      <w:tr w:rsidR="004F0C8A" w:rsidRPr="004F0C8A" w:rsidTr="004E74FF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16,25</w:t>
            </w:r>
          </w:p>
        </w:tc>
      </w:tr>
      <w:tr w:rsidR="004F0C8A" w:rsidRPr="004F0C8A" w:rsidTr="004E74FF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активы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780184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1246716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31,48</w:t>
            </w:r>
          </w:p>
        </w:tc>
      </w:tr>
    </w:tbl>
    <w:p w:rsidR="004F0C8A" w:rsidRPr="004F0C8A" w:rsidRDefault="004F0C8A" w:rsidP="004F0C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C8A" w:rsidRPr="004F0C8A" w:rsidRDefault="004F0C8A" w:rsidP="004F0C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C8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D716F3" wp14:editId="03983349">
            <wp:simplePos x="0" y="0"/>
            <wp:positionH relativeFrom="column">
              <wp:posOffset>453390</wp:posOffset>
            </wp:positionH>
            <wp:positionV relativeFrom="paragraph">
              <wp:posOffset>93980</wp:posOffset>
            </wp:positionV>
            <wp:extent cx="5419725" cy="2657475"/>
            <wp:effectExtent l="0" t="0" r="9525" b="952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C8A" w:rsidRPr="004F0C8A" w:rsidRDefault="004F0C8A" w:rsidP="004F0C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8A" w:rsidRPr="004F0C8A" w:rsidRDefault="004F0C8A" w:rsidP="004F0C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8A" w:rsidRPr="004F0C8A" w:rsidRDefault="004F0C8A" w:rsidP="004F0C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8A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Pr="004F0C8A">
        <w:rPr>
          <w:rFonts w:ascii="Times New Roman" w:hAnsi="Times New Roman" w:cs="Times New Roman"/>
          <w:sz w:val="28"/>
          <w:szCs w:val="28"/>
        </w:rPr>
        <w:t>Рис</w:t>
      </w:r>
      <w:r w:rsidR="009E131C" w:rsidRPr="009E131C">
        <w:rPr>
          <w:rFonts w:ascii="Times New Roman" w:hAnsi="Times New Roman" w:cs="Times New Roman"/>
          <w:sz w:val="28"/>
          <w:szCs w:val="28"/>
        </w:rPr>
        <w:t xml:space="preserve">унок 2.4. </w:t>
      </w:r>
      <w:r w:rsidRPr="004F0C8A">
        <w:rPr>
          <w:rFonts w:ascii="Times New Roman" w:hAnsi="Times New Roman" w:cs="Times New Roman"/>
          <w:sz w:val="28"/>
          <w:szCs w:val="28"/>
        </w:rPr>
        <w:t xml:space="preserve">Динамика </w:t>
      </w:r>
      <w:proofErr w:type="spellStart"/>
      <w:r w:rsidRPr="004F0C8A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4F0C8A">
        <w:rPr>
          <w:rFonts w:ascii="Times New Roman" w:hAnsi="Times New Roman" w:cs="Times New Roman"/>
          <w:sz w:val="28"/>
          <w:szCs w:val="28"/>
        </w:rPr>
        <w:t xml:space="preserve"> и оборотных активов </w:t>
      </w:r>
      <w:r w:rsidRPr="009E131C">
        <w:rPr>
          <w:rFonts w:ascii="Times New Roman" w:hAnsi="Times New Roman" w:cs="Times New Roman"/>
          <w:sz w:val="28"/>
          <w:szCs w:val="28"/>
        </w:rPr>
        <w:t>АПК «Алексино»</w:t>
      </w:r>
      <w:r w:rsidRPr="004F0C8A">
        <w:rPr>
          <w:rFonts w:ascii="Times New Roman" w:hAnsi="Times New Roman" w:cs="Times New Roman"/>
          <w:sz w:val="28"/>
          <w:szCs w:val="28"/>
        </w:rPr>
        <w:t>,</w:t>
      </w:r>
      <w:r w:rsidRPr="004F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C8A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Pr="004F0C8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757C03" w:rsidRDefault="004F0C8A" w:rsidP="00757C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8A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4F0C8A">
        <w:rPr>
          <w:rFonts w:ascii="Times New Roman" w:hAnsi="Times New Roman" w:cs="Times New Roman"/>
          <w:sz w:val="28"/>
          <w:szCs w:val="28"/>
        </w:rPr>
        <w:t>показывают данные таблицы 2</w:t>
      </w:r>
      <w:r w:rsidR="009E131C">
        <w:rPr>
          <w:rFonts w:ascii="Times New Roman" w:hAnsi="Times New Roman" w:cs="Times New Roman"/>
          <w:sz w:val="28"/>
          <w:szCs w:val="28"/>
        </w:rPr>
        <w:t>.2 и рисунка 2.4</w:t>
      </w:r>
      <w:r w:rsidRPr="004F0C8A">
        <w:rPr>
          <w:rFonts w:ascii="Times New Roman" w:hAnsi="Times New Roman" w:cs="Times New Roman"/>
          <w:sz w:val="28"/>
          <w:szCs w:val="28"/>
        </w:rPr>
        <w:t xml:space="preserve"> общая величина увеличилась</w:t>
      </w:r>
      <w:proofErr w:type="gramEnd"/>
      <w:r w:rsidRPr="004F0C8A">
        <w:rPr>
          <w:rFonts w:ascii="Times New Roman" w:hAnsi="Times New Roman" w:cs="Times New Roman"/>
          <w:sz w:val="28"/>
          <w:szCs w:val="28"/>
        </w:rPr>
        <w:t xml:space="preserve"> за анализируемый период. Увеличение общей величины активов предприятия достигается за счет роста оборотных активов: на 51,73% в 2016 году в сравнении с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0C8A">
        <w:rPr>
          <w:rFonts w:ascii="Times New Roman" w:hAnsi="Times New Roman" w:cs="Times New Roman"/>
          <w:sz w:val="28"/>
          <w:szCs w:val="28"/>
        </w:rPr>
        <w:t xml:space="preserve"> годом</w:t>
      </w:r>
      <w:r>
        <w:rPr>
          <w:rFonts w:ascii="Times New Roman" w:hAnsi="Times New Roman" w:cs="Times New Roman"/>
          <w:sz w:val="28"/>
          <w:szCs w:val="28"/>
        </w:rPr>
        <w:t xml:space="preserve">, на 102,68% в сравнении с 2015 </w:t>
      </w:r>
      <w:r w:rsidRPr="004F0C8A">
        <w:rPr>
          <w:rFonts w:ascii="Times New Roman" w:hAnsi="Times New Roman" w:cs="Times New Roman"/>
          <w:sz w:val="28"/>
          <w:szCs w:val="28"/>
        </w:rPr>
        <w:t xml:space="preserve">годом.  При этом стоит отметить снижение </w:t>
      </w:r>
      <w:proofErr w:type="spellStart"/>
      <w:r w:rsidRPr="004F0C8A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4F0C8A">
        <w:rPr>
          <w:rFonts w:ascii="Times New Roman" w:hAnsi="Times New Roman" w:cs="Times New Roman"/>
          <w:sz w:val="28"/>
          <w:szCs w:val="28"/>
        </w:rPr>
        <w:t xml:space="preserve"> активов, которые представлены основными средствами.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0C8A">
        <w:rPr>
          <w:rFonts w:ascii="Times New Roman" w:hAnsi="Times New Roman" w:cs="Times New Roman"/>
          <w:sz w:val="28"/>
          <w:szCs w:val="28"/>
        </w:rPr>
        <w:t xml:space="preserve"> году снижение составляет  19,23% в сравнении 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0C8A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дом, и 18,71% - в отношении 2016</w:t>
      </w:r>
      <w:r w:rsidRPr="004F0C8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131C" w:rsidRDefault="009E131C" w:rsidP="00757C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C8A" w:rsidRPr="004F0C8A" w:rsidRDefault="004F0C8A" w:rsidP="00757C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8A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9E131C" w:rsidRPr="009E131C">
        <w:rPr>
          <w:rFonts w:ascii="Times New Roman" w:hAnsi="Times New Roman" w:cs="Times New Roman"/>
          <w:sz w:val="28"/>
          <w:szCs w:val="28"/>
        </w:rPr>
        <w:t xml:space="preserve">2.3. </w:t>
      </w:r>
      <w:r w:rsidR="00757C03" w:rsidRPr="009E131C">
        <w:rPr>
          <w:rFonts w:ascii="Times New Roman" w:hAnsi="Times New Roman" w:cs="Times New Roman"/>
          <w:sz w:val="28"/>
          <w:szCs w:val="28"/>
        </w:rPr>
        <w:t xml:space="preserve"> - </w:t>
      </w:r>
      <w:r w:rsidRPr="004F0C8A">
        <w:rPr>
          <w:rFonts w:ascii="Times New Roman" w:hAnsi="Times New Roman" w:cs="Times New Roman"/>
          <w:sz w:val="28"/>
          <w:szCs w:val="28"/>
        </w:rPr>
        <w:t xml:space="preserve">Анализ динамики пассива </w:t>
      </w:r>
      <w:r w:rsidRPr="009E131C">
        <w:rPr>
          <w:rFonts w:ascii="Times New Roman" w:hAnsi="Times New Roman" w:cs="Times New Roman"/>
          <w:sz w:val="28"/>
          <w:szCs w:val="28"/>
        </w:rPr>
        <w:t>АПК «Алексино»</w:t>
      </w:r>
      <w:r w:rsidRPr="004F0C8A">
        <w:rPr>
          <w:rFonts w:ascii="Times New Roman" w:hAnsi="Times New Roman" w:cs="Times New Roman"/>
          <w:sz w:val="28"/>
          <w:szCs w:val="28"/>
        </w:rPr>
        <w:t xml:space="preserve">, тыс. </w:t>
      </w:r>
      <w:proofErr w:type="spellStart"/>
      <w:r w:rsidRPr="004F0C8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tbl>
      <w:tblPr>
        <w:tblW w:w="9089" w:type="dxa"/>
        <w:jc w:val="center"/>
        <w:tblInd w:w="93" w:type="dxa"/>
        <w:tblLook w:val="04A0" w:firstRow="1" w:lastRow="0" w:firstColumn="1" w:lastColumn="0" w:noHBand="0" w:noVBand="1"/>
      </w:tblPr>
      <w:tblGrid>
        <w:gridCol w:w="3128"/>
        <w:gridCol w:w="1297"/>
        <w:gridCol w:w="1296"/>
        <w:gridCol w:w="1296"/>
        <w:gridCol w:w="1073"/>
        <w:gridCol w:w="999"/>
      </w:tblGrid>
      <w:tr w:rsidR="004F0C8A" w:rsidRPr="004F0C8A" w:rsidTr="00F14653">
        <w:trPr>
          <w:trHeight w:val="615"/>
          <w:jc w:val="center"/>
        </w:trPr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Темп прироста,%</w:t>
            </w:r>
          </w:p>
        </w:tc>
      </w:tr>
      <w:tr w:rsidR="004F0C8A" w:rsidRPr="004F0C8A" w:rsidTr="00F14653">
        <w:trPr>
          <w:trHeight w:val="315"/>
          <w:jc w:val="center"/>
        </w:trPr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2016</w:t>
            </w:r>
            <w:r w:rsidRPr="004F0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2017 г.</w:t>
            </w:r>
          </w:p>
        </w:tc>
      </w:tr>
      <w:tr w:rsidR="004F0C8A" w:rsidRPr="004F0C8A" w:rsidTr="004E74FF">
        <w:trPr>
          <w:trHeight w:val="315"/>
          <w:jc w:val="center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Капитал и резервы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</w:tr>
      <w:tr w:rsidR="004F0C8A" w:rsidRPr="004F0C8A" w:rsidTr="004E74FF">
        <w:trPr>
          <w:trHeight w:val="315"/>
          <w:jc w:val="center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Уставный капитал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0C8A" w:rsidRPr="004F0C8A" w:rsidTr="004E74FF">
        <w:trPr>
          <w:trHeight w:val="692"/>
          <w:jc w:val="center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Переоценка </w:t>
            </w:r>
            <w:proofErr w:type="spellStart"/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внеоборотных</w:t>
            </w:r>
            <w:proofErr w:type="spellEnd"/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0C8A" w:rsidRPr="004F0C8A" w:rsidTr="004E74FF">
        <w:trPr>
          <w:trHeight w:val="315"/>
          <w:jc w:val="center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Добавочный капитал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C8A" w:rsidRPr="004F0C8A" w:rsidTr="004E74FF">
        <w:trPr>
          <w:trHeight w:val="315"/>
          <w:jc w:val="center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0C8A" w:rsidRPr="004F0C8A" w:rsidTr="004E74FF">
        <w:trPr>
          <w:trHeight w:val="630"/>
          <w:jc w:val="center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</w:tr>
      <w:tr w:rsidR="004F0C8A" w:rsidRPr="004F0C8A" w:rsidTr="004E74FF">
        <w:trPr>
          <w:trHeight w:val="315"/>
          <w:jc w:val="center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Долгосрочные обязательства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-58,69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-100,00</w:t>
            </w:r>
          </w:p>
        </w:tc>
      </w:tr>
      <w:tr w:rsidR="004F0C8A" w:rsidRPr="004F0C8A" w:rsidTr="004E74FF">
        <w:trPr>
          <w:trHeight w:val="315"/>
          <w:jc w:val="center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-58,69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-100,00</w:t>
            </w:r>
          </w:p>
        </w:tc>
      </w:tr>
      <w:tr w:rsidR="004F0C8A" w:rsidRPr="004F0C8A" w:rsidTr="004E74FF">
        <w:trPr>
          <w:trHeight w:val="315"/>
          <w:jc w:val="center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Краткосрочные обязательства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546486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732749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1042804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42,31</w:t>
            </w:r>
          </w:p>
        </w:tc>
      </w:tr>
      <w:tr w:rsidR="004F0C8A" w:rsidRPr="004F0C8A" w:rsidTr="004E74FF">
        <w:trPr>
          <w:trHeight w:val="315"/>
          <w:jc w:val="center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325265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478308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717788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50,07</w:t>
            </w:r>
          </w:p>
        </w:tc>
      </w:tr>
      <w:tr w:rsidR="004F0C8A" w:rsidRPr="004F0C8A" w:rsidTr="004E74FF">
        <w:trPr>
          <w:trHeight w:val="315"/>
          <w:jc w:val="center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30,42</w:t>
            </w:r>
          </w:p>
        </w:tc>
      </w:tr>
      <w:tr w:rsidR="004F0C8A" w:rsidRPr="004F0C8A" w:rsidTr="004E74FF">
        <w:trPr>
          <w:trHeight w:val="315"/>
          <w:jc w:val="center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42,07</w:t>
            </w:r>
          </w:p>
        </w:tc>
      </w:tr>
      <w:tr w:rsidR="004F0C8A" w:rsidRPr="004F0C8A" w:rsidTr="004E74FF">
        <w:trPr>
          <w:trHeight w:val="315"/>
          <w:jc w:val="center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</w:p>
        </w:tc>
      </w:tr>
      <w:tr w:rsidR="004F0C8A" w:rsidRPr="004F0C8A" w:rsidTr="004E74FF">
        <w:trPr>
          <w:trHeight w:val="315"/>
          <w:jc w:val="center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C8A" w:rsidRPr="004F0C8A" w:rsidTr="004E74FF">
        <w:trPr>
          <w:trHeight w:val="315"/>
          <w:jc w:val="center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пассивы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1246716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31,48</w:t>
            </w:r>
          </w:p>
        </w:tc>
      </w:tr>
    </w:tbl>
    <w:p w:rsidR="004F0C8A" w:rsidRPr="004F0C8A" w:rsidRDefault="004F0C8A" w:rsidP="004F0C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C8A" w:rsidRPr="004F0C8A" w:rsidRDefault="004F0C8A" w:rsidP="004F0C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8A">
        <w:rPr>
          <w:noProof/>
          <w:lang w:eastAsia="ru-RU"/>
        </w:rPr>
        <w:drawing>
          <wp:inline distT="0" distB="0" distL="0" distR="0" wp14:anchorId="00F4242E" wp14:editId="311CB614">
            <wp:extent cx="5438775" cy="28194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0C8A" w:rsidRPr="004F0C8A" w:rsidRDefault="004F0C8A" w:rsidP="004F0C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8A">
        <w:rPr>
          <w:rFonts w:ascii="Times New Roman" w:hAnsi="Times New Roman" w:cs="Times New Roman"/>
          <w:sz w:val="28"/>
          <w:szCs w:val="28"/>
        </w:rPr>
        <w:t>Рис</w:t>
      </w:r>
      <w:r w:rsidR="009E131C" w:rsidRPr="009E131C">
        <w:rPr>
          <w:rFonts w:ascii="Times New Roman" w:hAnsi="Times New Roman" w:cs="Times New Roman"/>
          <w:sz w:val="28"/>
          <w:szCs w:val="28"/>
        </w:rPr>
        <w:t xml:space="preserve">унок 2.5. - </w:t>
      </w:r>
      <w:r w:rsidRPr="004F0C8A">
        <w:rPr>
          <w:rFonts w:ascii="Times New Roman" w:hAnsi="Times New Roman" w:cs="Times New Roman"/>
          <w:sz w:val="28"/>
          <w:szCs w:val="28"/>
        </w:rPr>
        <w:t xml:space="preserve"> Динамика пассива </w:t>
      </w:r>
      <w:r w:rsidRPr="009E131C">
        <w:rPr>
          <w:rFonts w:ascii="Times New Roman" w:hAnsi="Times New Roman" w:cs="Times New Roman"/>
          <w:sz w:val="28"/>
          <w:szCs w:val="28"/>
        </w:rPr>
        <w:t>АПК «Алексино»</w:t>
      </w:r>
      <w:r w:rsidRPr="004F0C8A">
        <w:rPr>
          <w:rFonts w:ascii="Times New Roman" w:hAnsi="Times New Roman" w:cs="Times New Roman"/>
          <w:sz w:val="28"/>
          <w:szCs w:val="28"/>
        </w:rPr>
        <w:t xml:space="preserve">, тыс. </w:t>
      </w:r>
      <w:proofErr w:type="spellStart"/>
      <w:r w:rsidRPr="004F0C8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757C03" w:rsidRDefault="004F0C8A" w:rsidP="00757C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8A">
        <w:rPr>
          <w:rFonts w:ascii="Times New Roman" w:hAnsi="Times New Roman" w:cs="Times New Roman"/>
          <w:sz w:val="28"/>
          <w:szCs w:val="28"/>
        </w:rPr>
        <w:lastRenderedPageBreak/>
        <w:t xml:space="preserve">Как показывают данные таблицы </w:t>
      </w:r>
      <w:r w:rsidR="009E131C">
        <w:rPr>
          <w:rFonts w:ascii="Times New Roman" w:hAnsi="Times New Roman" w:cs="Times New Roman"/>
          <w:sz w:val="28"/>
          <w:szCs w:val="28"/>
        </w:rPr>
        <w:t>2.</w:t>
      </w:r>
      <w:r w:rsidRPr="004F0C8A">
        <w:rPr>
          <w:rFonts w:ascii="Times New Roman" w:hAnsi="Times New Roman" w:cs="Times New Roman"/>
          <w:sz w:val="28"/>
          <w:szCs w:val="28"/>
        </w:rPr>
        <w:t>3</w:t>
      </w:r>
      <w:r w:rsidR="009E131C">
        <w:rPr>
          <w:rFonts w:ascii="Times New Roman" w:hAnsi="Times New Roman" w:cs="Times New Roman"/>
          <w:sz w:val="28"/>
          <w:szCs w:val="28"/>
        </w:rPr>
        <w:t xml:space="preserve"> и рисунка 2.5</w:t>
      </w:r>
      <w:r w:rsidRPr="004F0C8A">
        <w:rPr>
          <w:rFonts w:ascii="Times New Roman" w:hAnsi="Times New Roman" w:cs="Times New Roman"/>
          <w:sz w:val="28"/>
          <w:szCs w:val="28"/>
        </w:rPr>
        <w:t>, в анализируемом периоде отмечается увеличение объема краткосрочных обязательств – в отчетном г</w:t>
      </w:r>
      <w:r>
        <w:rPr>
          <w:rFonts w:ascii="Times New Roman" w:hAnsi="Times New Roman" w:cs="Times New Roman"/>
          <w:sz w:val="28"/>
          <w:szCs w:val="28"/>
        </w:rPr>
        <w:t>оду на 42,31% в сравнении с 2016</w:t>
      </w:r>
      <w:r w:rsidRPr="004F0C8A">
        <w:rPr>
          <w:rFonts w:ascii="Times New Roman" w:hAnsi="Times New Roman" w:cs="Times New Roman"/>
          <w:sz w:val="28"/>
          <w:szCs w:val="28"/>
        </w:rPr>
        <w:t xml:space="preserve"> годо</w:t>
      </w:r>
      <w:r>
        <w:rPr>
          <w:rFonts w:ascii="Times New Roman" w:hAnsi="Times New Roman" w:cs="Times New Roman"/>
          <w:sz w:val="28"/>
          <w:szCs w:val="28"/>
        </w:rPr>
        <w:t>м, и на 90,82% относительно 2015</w:t>
      </w:r>
      <w:r w:rsidRPr="004F0C8A">
        <w:rPr>
          <w:rFonts w:ascii="Times New Roman" w:hAnsi="Times New Roman" w:cs="Times New Roman"/>
          <w:sz w:val="28"/>
          <w:szCs w:val="28"/>
        </w:rPr>
        <w:t xml:space="preserve"> года. Так же отмечается рост капитала и резервов, что свидетельствует об увеличении доли собственного капитала. Положительным фактором является снижение величины д</w:t>
      </w:r>
      <w:r>
        <w:rPr>
          <w:rFonts w:ascii="Times New Roman" w:hAnsi="Times New Roman" w:cs="Times New Roman"/>
          <w:sz w:val="28"/>
          <w:szCs w:val="28"/>
        </w:rPr>
        <w:t>олгосрочных обязательств, в 2017</w:t>
      </w:r>
      <w:r w:rsidRPr="004F0C8A">
        <w:rPr>
          <w:rFonts w:ascii="Times New Roman" w:hAnsi="Times New Roman" w:cs="Times New Roman"/>
          <w:sz w:val="28"/>
          <w:szCs w:val="28"/>
        </w:rPr>
        <w:t xml:space="preserve"> году они были погашены полностью, что говорит о снижении уровня финансовой зависимости предприятия. </w:t>
      </w:r>
    </w:p>
    <w:p w:rsidR="004F0C8A" w:rsidRPr="004F0C8A" w:rsidRDefault="004F0C8A" w:rsidP="00757C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8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E131C" w:rsidRPr="009E131C">
        <w:rPr>
          <w:rFonts w:ascii="Times New Roman" w:hAnsi="Times New Roman" w:cs="Times New Roman"/>
          <w:sz w:val="28"/>
          <w:szCs w:val="28"/>
        </w:rPr>
        <w:t>2.</w:t>
      </w:r>
      <w:r w:rsidR="009E131C">
        <w:rPr>
          <w:rFonts w:ascii="Times New Roman" w:hAnsi="Times New Roman" w:cs="Times New Roman"/>
          <w:sz w:val="28"/>
          <w:szCs w:val="28"/>
        </w:rPr>
        <w:t>4</w:t>
      </w:r>
      <w:r w:rsidR="00757C03" w:rsidRPr="009E131C">
        <w:rPr>
          <w:rFonts w:ascii="Times New Roman" w:hAnsi="Times New Roman" w:cs="Times New Roman"/>
          <w:sz w:val="28"/>
          <w:szCs w:val="28"/>
        </w:rPr>
        <w:t xml:space="preserve"> - </w:t>
      </w:r>
      <w:r w:rsidRPr="004F0C8A">
        <w:rPr>
          <w:rFonts w:ascii="Times New Roman" w:hAnsi="Times New Roman" w:cs="Times New Roman"/>
          <w:sz w:val="28"/>
          <w:szCs w:val="28"/>
        </w:rPr>
        <w:t xml:space="preserve">Анализ структуры актива </w:t>
      </w:r>
      <w:r w:rsidRPr="009E131C">
        <w:rPr>
          <w:rFonts w:ascii="Times New Roman" w:hAnsi="Times New Roman" w:cs="Times New Roman"/>
          <w:sz w:val="28"/>
          <w:szCs w:val="28"/>
        </w:rPr>
        <w:t>АПК «Алексино»</w:t>
      </w:r>
      <w:r w:rsidRPr="004F0C8A">
        <w:rPr>
          <w:rFonts w:ascii="Times New Roman" w:hAnsi="Times New Roman" w:cs="Times New Roman"/>
          <w:sz w:val="28"/>
          <w:szCs w:val="28"/>
        </w:rPr>
        <w:t>, %</w:t>
      </w:r>
    </w:p>
    <w:tbl>
      <w:tblPr>
        <w:tblW w:w="9581" w:type="dxa"/>
        <w:tblInd w:w="93" w:type="dxa"/>
        <w:tblLook w:val="04A0" w:firstRow="1" w:lastRow="0" w:firstColumn="1" w:lastColumn="0" w:noHBand="0" w:noVBand="1"/>
      </w:tblPr>
      <w:tblGrid>
        <w:gridCol w:w="3295"/>
        <w:gridCol w:w="1296"/>
        <w:gridCol w:w="1342"/>
        <w:gridCol w:w="1296"/>
        <w:gridCol w:w="1170"/>
        <w:gridCol w:w="6"/>
        <w:gridCol w:w="1176"/>
      </w:tblGrid>
      <w:tr w:rsidR="004F0C8A" w:rsidRPr="004F0C8A" w:rsidTr="004E74FF">
        <w:trPr>
          <w:trHeight w:val="300"/>
        </w:trPr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Темп прироста,%</w:t>
            </w:r>
          </w:p>
        </w:tc>
      </w:tr>
      <w:tr w:rsidR="004F0C8A" w:rsidRPr="004F0C8A" w:rsidTr="004E74FF">
        <w:trPr>
          <w:trHeight w:val="300"/>
        </w:trPr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2016</w:t>
            </w:r>
            <w:r w:rsidRPr="004F0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2017</w:t>
            </w:r>
            <w:r w:rsidRPr="004F0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F0C8A" w:rsidRPr="004F0C8A" w:rsidTr="004E74FF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F0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4F0C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272714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221680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-18,71</w:t>
            </w:r>
          </w:p>
        </w:tc>
      </w:tr>
      <w:tr w:rsidR="004F0C8A" w:rsidRPr="004F0C8A" w:rsidTr="004E74FF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-19,05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-17,65</w:t>
            </w:r>
          </w:p>
        </w:tc>
      </w:tr>
      <w:tr w:rsidR="004F0C8A" w:rsidRPr="004F0C8A" w:rsidTr="004F0C8A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исследований и разработок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C8A" w:rsidRPr="004F0C8A" w:rsidTr="004F0C8A">
        <w:trPr>
          <w:trHeight w:val="135"/>
        </w:trPr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Нематериальные поисковые активы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0C8A" w:rsidRPr="004F0C8A" w:rsidTr="004F0C8A">
        <w:trPr>
          <w:trHeight w:val="80"/>
        </w:trPr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C8A" w:rsidRPr="004F0C8A" w:rsidTr="004E74FF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224229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221588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-0,46</w:t>
            </w:r>
          </w:p>
        </w:tc>
      </w:tr>
      <w:tr w:rsidR="004F0C8A" w:rsidRPr="004F0C8A" w:rsidTr="004E74FF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C8A" w:rsidRPr="004F0C8A" w:rsidTr="004E74FF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-99,84</w:t>
            </w:r>
          </w:p>
        </w:tc>
      </w:tr>
      <w:tr w:rsidR="004F0C8A" w:rsidRPr="004F0C8A" w:rsidTr="004E74FF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Отложенные налоговые активы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C8A" w:rsidRPr="004F0C8A" w:rsidTr="004E74FF">
        <w:trPr>
          <w:trHeight w:val="6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C8A" w:rsidRPr="004F0C8A" w:rsidTr="004E74FF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Оборотные активы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505729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675534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1025036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51,74</w:t>
            </w:r>
          </w:p>
        </w:tc>
      </w:tr>
      <w:tr w:rsidR="004F0C8A" w:rsidRPr="004F0C8A" w:rsidTr="004E74FF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72745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80181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3,28</w:t>
            </w:r>
          </w:p>
        </w:tc>
      </w:tr>
      <w:tr w:rsidR="004F0C8A" w:rsidRPr="004F0C8A" w:rsidTr="004E74FF">
        <w:trPr>
          <w:trHeight w:val="51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C8A" w:rsidRPr="004F0C8A" w:rsidTr="004E74FF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632248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174,09</w:t>
            </w:r>
          </w:p>
        </w:tc>
      </w:tr>
      <w:tr w:rsidR="004F0C8A" w:rsidRPr="004F0C8A" w:rsidTr="004E74FF">
        <w:trPr>
          <w:trHeight w:val="51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349620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-14,19</w:t>
            </w:r>
          </w:p>
        </w:tc>
      </w:tr>
      <w:tr w:rsidR="004F0C8A" w:rsidRPr="004F0C8A" w:rsidTr="004E74FF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-31,79</w:t>
            </w:r>
          </w:p>
        </w:tc>
      </w:tr>
      <w:tr w:rsidR="004F0C8A" w:rsidRPr="004F0C8A" w:rsidTr="004E74FF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16,25</w:t>
            </w:r>
          </w:p>
        </w:tc>
      </w:tr>
      <w:tr w:rsidR="004F0C8A" w:rsidRPr="004F0C8A" w:rsidTr="004E74FF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активы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780184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1246716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31,48</w:t>
            </w:r>
          </w:p>
        </w:tc>
      </w:tr>
    </w:tbl>
    <w:p w:rsidR="004F0C8A" w:rsidRPr="004F0C8A" w:rsidRDefault="004F0C8A" w:rsidP="004F0C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C8A" w:rsidRPr="004F0C8A" w:rsidRDefault="004F0C8A" w:rsidP="004F0C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8A">
        <w:rPr>
          <w:noProof/>
          <w:lang w:eastAsia="ru-RU"/>
        </w:rPr>
        <w:lastRenderedPageBreak/>
        <w:drawing>
          <wp:inline distT="0" distB="0" distL="0" distR="0" wp14:anchorId="3581EE0A" wp14:editId="5495D3A1">
            <wp:extent cx="5038725" cy="24955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0C8A" w:rsidRPr="004F0C8A" w:rsidRDefault="004F0C8A" w:rsidP="009E131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0C8A">
        <w:rPr>
          <w:rFonts w:ascii="Times New Roman" w:hAnsi="Times New Roman" w:cs="Times New Roman"/>
          <w:sz w:val="28"/>
          <w:szCs w:val="28"/>
        </w:rPr>
        <w:t>Рис</w:t>
      </w:r>
      <w:r w:rsidR="009E131C" w:rsidRPr="009E131C">
        <w:rPr>
          <w:rFonts w:ascii="Times New Roman" w:hAnsi="Times New Roman" w:cs="Times New Roman"/>
          <w:sz w:val="28"/>
          <w:szCs w:val="28"/>
        </w:rPr>
        <w:t xml:space="preserve">унок 2.6.  - </w:t>
      </w:r>
      <w:r w:rsidRPr="004F0C8A">
        <w:rPr>
          <w:rFonts w:ascii="Times New Roman" w:hAnsi="Times New Roman" w:cs="Times New Roman"/>
          <w:sz w:val="28"/>
          <w:szCs w:val="28"/>
        </w:rPr>
        <w:t xml:space="preserve">  Структура актива </w:t>
      </w:r>
      <w:r w:rsidRPr="009E131C">
        <w:rPr>
          <w:rFonts w:ascii="Times New Roman" w:hAnsi="Times New Roman" w:cs="Times New Roman"/>
          <w:sz w:val="28"/>
          <w:szCs w:val="28"/>
        </w:rPr>
        <w:t>АПК «Алексино»</w:t>
      </w:r>
      <w:r w:rsidRPr="004F0C8A">
        <w:rPr>
          <w:rFonts w:ascii="Times New Roman" w:hAnsi="Times New Roman" w:cs="Times New Roman"/>
          <w:sz w:val="28"/>
          <w:szCs w:val="28"/>
        </w:rPr>
        <w:t xml:space="preserve"> за 201</w:t>
      </w:r>
      <w:r w:rsidRPr="009E131C">
        <w:rPr>
          <w:rFonts w:ascii="Times New Roman" w:hAnsi="Times New Roman" w:cs="Times New Roman"/>
          <w:sz w:val="28"/>
          <w:szCs w:val="28"/>
        </w:rPr>
        <w:t>7</w:t>
      </w:r>
      <w:r w:rsidRPr="004F0C8A">
        <w:rPr>
          <w:rFonts w:ascii="Times New Roman" w:hAnsi="Times New Roman" w:cs="Times New Roman"/>
          <w:sz w:val="28"/>
          <w:szCs w:val="28"/>
        </w:rPr>
        <w:t xml:space="preserve"> год, %</w:t>
      </w:r>
    </w:p>
    <w:p w:rsidR="00757C03" w:rsidRDefault="004F0C8A" w:rsidP="00757C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C8A">
        <w:rPr>
          <w:rFonts w:ascii="Times New Roman" w:hAnsi="Times New Roman" w:cs="Times New Roman"/>
          <w:sz w:val="28"/>
          <w:szCs w:val="28"/>
        </w:rPr>
        <w:t>Данные, приведенные выше показывают</w:t>
      </w:r>
      <w:proofErr w:type="gramEnd"/>
      <w:r w:rsidRPr="004F0C8A">
        <w:rPr>
          <w:rFonts w:ascii="Times New Roman" w:hAnsi="Times New Roman" w:cs="Times New Roman"/>
          <w:sz w:val="28"/>
          <w:szCs w:val="28"/>
        </w:rPr>
        <w:t xml:space="preserve">, что в структуре актива анализируемого субъекта наибольший вес занимает дебиторская задолженность – 51% , которая представленная в основном задолженностью поставщиков – 34% и покупателей - 10,86%. </w:t>
      </w:r>
      <w:proofErr w:type="spellStart"/>
      <w:r w:rsidRPr="004F0C8A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4F0C8A">
        <w:rPr>
          <w:rFonts w:ascii="Times New Roman" w:hAnsi="Times New Roman" w:cs="Times New Roman"/>
          <w:sz w:val="28"/>
          <w:szCs w:val="28"/>
        </w:rPr>
        <w:t xml:space="preserve"> активы, представленные основными средствами в структуре актива составляют 18%.</w:t>
      </w:r>
    </w:p>
    <w:p w:rsidR="004F0C8A" w:rsidRPr="004F0C8A" w:rsidRDefault="004F0C8A" w:rsidP="00757C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8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E131C" w:rsidRPr="009E131C">
        <w:rPr>
          <w:rFonts w:ascii="Times New Roman" w:hAnsi="Times New Roman" w:cs="Times New Roman"/>
          <w:sz w:val="28"/>
          <w:szCs w:val="28"/>
        </w:rPr>
        <w:t>2.5.</w:t>
      </w:r>
      <w:r w:rsidR="00757C03" w:rsidRPr="009E131C">
        <w:rPr>
          <w:rFonts w:ascii="Times New Roman" w:hAnsi="Times New Roman" w:cs="Times New Roman"/>
          <w:sz w:val="28"/>
          <w:szCs w:val="28"/>
        </w:rPr>
        <w:t xml:space="preserve"> - </w:t>
      </w:r>
      <w:r w:rsidRPr="004F0C8A">
        <w:rPr>
          <w:rFonts w:ascii="Times New Roman" w:hAnsi="Times New Roman" w:cs="Times New Roman"/>
          <w:sz w:val="28"/>
          <w:szCs w:val="28"/>
        </w:rPr>
        <w:t xml:space="preserve"> Анализ структуры пассива </w:t>
      </w:r>
      <w:r w:rsidRPr="009E131C">
        <w:rPr>
          <w:rFonts w:ascii="Times New Roman" w:hAnsi="Times New Roman" w:cs="Times New Roman"/>
          <w:sz w:val="28"/>
          <w:szCs w:val="28"/>
        </w:rPr>
        <w:t>АПК «Алексино»</w:t>
      </w:r>
      <w:r w:rsidRPr="004F0C8A">
        <w:rPr>
          <w:rFonts w:ascii="Times New Roman" w:hAnsi="Times New Roman" w:cs="Times New Roman"/>
          <w:sz w:val="28"/>
          <w:szCs w:val="28"/>
        </w:rPr>
        <w:t>, %</w:t>
      </w:r>
    </w:p>
    <w:tbl>
      <w:tblPr>
        <w:tblW w:w="9637" w:type="dxa"/>
        <w:jc w:val="center"/>
        <w:tblInd w:w="-1044" w:type="dxa"/>
        <w:tblLook w:val="04A0" w:firstRow="1" w:lastRow="0" w:firstColumn="1" w:lastColumn="0" w:noHBand="0" w:noVBand="1"/>
      </w:tblPr>
      <w:tblGrid>
        <w:gridCol w:w="3940"/>
        <w:gridCol w:w="1296"/>
        <w:gridCol w:w="1296"/>
        <w:gridCol w:w="1296"/>
        <w:gridCol w:w="901"/>
        <w:gridCol w:w="908"/>
      </w:tblGrid>
      <w:tr w:rsidR="004F0C8A" w:rsidRPr="004F0C8A" w:rsidTr="00E36A27">
        <w:trPr>
          <w:trHeight w:val="330"/>
          <w:jc w:val="center"/>
        </w:trPr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Темп прироста,%</w:t>
            </w:r>
          </w:p>
        </w:tc>
      </w:tr>
      <w:tr w:rsidR="004F0C8A" w:rsidRPr="004F0C8A" w:rsidTr="004E74FF">
        <w:trPr>
          <w:trHeight w:val="454"/>
          <w:jc w:val="center"/>
        </w:trPr>
        <w:tc>
          <w:tcPr>
            <w:tcW w:w="3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4F0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2017</w:t>
            </w:r>
            <w:r w:rsidRPr="004F0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0C8A" w:rsidRPr="004F0C8A" w:rsidTr="004E74FF">
        <w:trPr>
          <w:trHeight w:val="330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Капитал и резервы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-2,21</w:t>
            </w:r>
          </w:p>
        </w:tc>
      </w:tr>
      <w:tr w:rsidR="004F0C8A" w:rsidRPr="004F0C8A" w:rsidTr="004E74FF">
        <w:trPr>
          <w:trHeight w:val="427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Уставный капитал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C8A" w:rsidRPr="004F0C8A" w:rsidTr="004E74FF">
        <w:trPr>
          <w:trHeight w:val="431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Переоценка </w:t>
            </w:r>
            <w:proofErr w:type="spellStart"/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внеоборотных</w:t>
            </w:r>
            <w:proofErr w:type="spellEnd"/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C8A" w:rsidRPr="004F0C8A" w:rsidTr="004E74FF">
        <w:trPr>
          <w:trHeight w:val="237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Добавочный капитал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C8A" w:rsidRPr="004F0C8A" w:rsidTr="004E74FF">
        <w:trPr>
          <w:trHeight w:val="330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C8A" w:rsidRPr="004F0C8A" w:rsidTr="004E74FF">
        <w:trPr>
          <w:trHeight w:val="645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-2,35</w:t>
            </w:r>
          </w:p>
        </w:tc>
      </w:tr>
      <w:tr w:rsidR="004F0C8A" w:rsidRPr="004F0C8A" w:rsidTr="004E74FF">
        <w:trPr>
          <w:trHeight w:val="330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Долгосрочные обязательства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142,04</w:t>
            </w:r>
          </w:p>
        </w:tc>
      </w:tr>
      <w:tr w:rsidR="004F0C8A" w:rsidRPr="004F0C8A" w:rsidTr="004E74FF">
        <w:trPr>
          <w:trHeight w:val="330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142,04</w:t>
            </w:r>
          </w:p>
        </w:tc>
      </w:tr>
      <w:tr w:rsidR="004F0C8A" w:rsidRPr="004F0C8A" w:rsidTr="004E74FF">
        <w:trPr>
          <w:trHeight w:val="330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Краткосрочные обязательства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546486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732749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1042804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-29,73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-25,42</w:t>
            </w:r>
          </w:p>
        </w:tc>
      </w:tr>
      <w:tr w:rsidR="004F0C8A" w:rsidRPr="004F0C8A" w:rsidTr="004E74FF">
        <w:trPr>
          <w:trHeight w:val="330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325265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478308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717788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-33,36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</w:t>
            </w:r>
          </w:p>
        </w:tc>
      </w:tr>
      <w:tr w:rsidR="004F0C8A" w:rsidRPr="004F0C8A" w:rsidTr="004E74FF">
        <w:trPr>
          <w:trHeight w:val="330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-23,33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-11,2</w:t>
            </w:r>
          </w:p>
        </w:tc>
      </w:tr>
      <w:tr w:rsidR="004F0C8A" w:rsidRPr="004F0C8A" w:rsidTr="004E74FF">
        <w:trPr>
          <w:trHeight w:val="330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-29,61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-86,98</w:t>
            </w:r>
          </w:p>
        </w:tc>
      </w:tr>
      <w:tr w:rsidR="004F0C8A" w:rsidRPr="004F0C8A" w:rsidTr="004E74FF">
        <w:trPr>
          <w:trHeight w:val="330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-20,09</w:t>
            </w:r>
          </w:p>
        </w:tc>
      </w:tr>
      <w:tr w:rsidR="004F0C8A" w:rsidRPr="004F0C8A" w:rsidTr="004E74FF">
        <w:trPr>
          <w:trHeight w:val="330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обязательства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0C8A" w:rsidRPr="004F0C8A" w:rsidTr="004E74FF">
        <w:trPr>
          <w:trHeight w:val="330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пассивы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948248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1246716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-23,94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-17,72</w:t>
            </w:r>
          </w:p>
        </w:tc>
      </w:tr>
    </w:tbl>
    <w:p w:rsidR="004F0C8A" w:rsidRPr="004F0C8A" w:rsidRDefault="004F0C8A" w:rsidP="004F0C8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0C8A" w:rsidRPr="004F0C8A" w:rsidRDefault="004F0C8A" w:rsidP="004F0C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8A">
        <w:rPr>
          <w:noProof/>
          <w:lang w:eastAsia="ru-RU"/>
        </w:rPr>
        <w:drawing>
          <wp:inline distT="0" distB="0" distL="0" distR="0" wp14:anchorId="12E4AF7E" wp14:editId="6A2D2CBE">
            <wp:extent cx="5534025" cy="32004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0C8A" w:rsidRPr="004F0C8A" w:rsidRDefault="004F0C8A" w:rsidP="004F0C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8A">
        <w:rPr>
          <w:rFonts w:ascii="Times New Roman" w:hAnsi="Times New Roman" w:cs="Times New Roman"/>
          <w:sz w:val="28"/>
          <w:szCs w:val="28"/>
        </w:rPr>
        <w:t>Рис</w:t>
      </w:r>
      <w:r w:rsidR="009E131C" w:rsidRPr="009E131C">
        <w:rPr>
          <w:rFonts w:ascii="Times New Roman" w:hAnsi="Times New Roman" w:cs="Times New Roman"/>
          <w:sz w:val="28"/>
          <w:szCs w:val="28"/>
        </w:rPr>
        <w:t xml:space="preserve">унок 2.7. - </w:t>
      </w:r>
      <w:r w:rsidRPr="004F0C8A">
        <w:rPr>
          <w:rFonts w:ascii="Times New Roman" w:hAnsi="Times New Roman" w:cs="Times New Roman"/>
          <w:sz w:val="28"/>
          <w:szCs w:val="28"/>
        </w:rPr>
        <w:t xml:space="preserve">  Структура пассива </w:t>
      </w:r>
      <w:r w:rsidRPr="009E131C">
        <w:rPr>
          <w:rFonts w:ascii="Times New Roman" w:hAnsi="Times New Roman" w:cs="Times New Roman"/>
          <w:sz w:val="28"/>
          <w:szCs w:val="28"/>
        </w:rPr>
        <w:t>АПК «Алексино»</w:t>
      </w:r>
      <w:r w:rsidRPr="004F0C8A">
        <w:rPr>
          <w:rFonts w:ascii="Times New Roman" w:hAnsi="Times New Roman" w:cs="Times New Roman"/>
          <w:sz w:val="28"/>
          <w:szCs w:val="28"/>
        </w:rPr>
        <w:t xml:space="preserve"> за 201</w:t>
      </w:r>
      <w:r w:rsidRPr="009E131C">
        <w:rPr>
          <w:rFonts w:ascii="Times New Roman" w:hAnsi="Times New Roman" w:cs="Times New Roman"/>
          <w:sz w:val="28"/>
          <w:szCs w:val="28"/>
        </w:rPr>
        <w:t>7</w:t>
      </w:r>
      <w:r w:rsidRPr="004F0C8A">
        <w:rPr>
          <w:rFonts w:ascii="Times New Roman" w:hAnsi="Times New Roman" w:cs="Times New Roman"/>
          <w:sz w:val="28"/>
          <w:szCs w:val="28"/>
        </w:rPr>
        <w:t xml:space="preserve"> год, %</w:t>
      </w:r>
    </w:p>
    <w:p w:rsidR="004F0C8A" w:rsidRDefault="004F0C8A" w:rsidP="004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C03" w:rsidRDefault="009E131C" w:rsidP="00757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рисунка 2.7.</w:t>
      </w:r>
      <w:r w:rsidR="004F0C8A" w:rsidRPr="004F0C8A">
        <w:rPr>
          <w:rFonts w:ascii="Times New Roman" w:hAnsi="Times New Roman" w:cs="Times New Roman"/>
          <w:sz w:val="28"/>
          <w:szCs w:val="28"/>
        </w:rPr>
        <w:t xml:space="preserve"> и таблицы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F0C8A" w:rsidRPr="004F0C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0C8A" w:rsidRPr="004F0C8A">
        <w:rPr>
          <w:rFonts w:ascii="Times New Roman" w:hAnsi="Times New Roman" w:cs="Times New Roman"/>
          <w:sz w:val="28"/>
          <w:szCs w:val="28"/>
        </w:rPr>
        <w:t xml:space="preserve"> свидетельствуют о преобладании в структуре пассива краткосрочных заемных средств – 58% по результатам 201</w:t>
      </w:r>
      <w:r w:rsidR="004F0C8A">
        <w:rPr>
          <w:rFonts w:ascii="Times New Roman" w:hAnsi="Times New Roman" w:cs="Times New Roman"/>
          <w:sz w:val="28"/>
          <w:szCs w:val="28"/>
        </w:rPr>
        <w:t>7</w:t>
      </w:r>
      <w:r w:rsidR="004F0C8A" w:rsidRPr="004F0C8A">
        <w:rPr>
          <w:rFonts w:ascii="Times New Roman" w:hAnsi="Times New Roman" w:cs="Times New Roman"/>
          <w:sz w:val="28"/>
          <w:szCs w:val="28"/>
        </w:rPr>
        <w:t xml:space="preserve"> года. Так же достаточную долю в структуре источников финансирования </w:t>
      </w:r>
      <w:r w:rsidR="004F0C8A">
        <w:rPr>
          <w:rFonts w:ascii="Times New Roman" w:hAnsi="Times New Roman" w:cs="Times New Roman"/>
          <w:sz w:val="28"/>
          <w:szCs w:val="28"/>
        </w:rPr>
        <w:t>АПК «Алексино»</w:t>
      </w:r>
      <w:r w:rsidR="004F0C8A" w:rsidRPr="004F0C8A">
        <w:rPr>
          <w:rFonts w:ascii="Times New Roman" w:hAnsi="Times New Roman" w:cs="Times New Roman"/>
          <w:sz w:val="28"/>
          <w:szCs w:val="28"/>
        </w:rPr>
        <w:t xml:space="preserve"> занимает кредиторская задолженность – 24%. В структуре источников собственный капитал представлен нераспределенной прибылью – 15%. При этом прибыль отчетного периода составляет 0,35%, и 14,65% - положительным финансовым прошлых периодов. Данные свидетельствуют о превышение заемного капитала над собственными средствами, что говорит о финансовой зависимости от внешних кредиторов. Далее  проанализируем финансовые результаты деятельности </w:t>
      </w:r>
      <w:r w:rsidR="004F0C8A">
        <w:rPr>
          <w:rFonts w:ascii="Times New Roman" w:hAnsi="Times New Roman" w:cs="Times New Roman"/>
          <w:sz w:val="28"/>
          <w:szCs w:val="28"/>
        </w:rPr>
        <w:t>АПК «Алексино»</w:t>
      </w:r>
      <w:r w:rsidR="004F0C8A" w:rsidRPr="004F0C8A">
        <w:rPr>
          <w:rFonts w:ascii="Times New Roman" w:hAnsi="Times New Roman" w:cs="Times New Roman"/>
          <w:sz w:val="28"/>
          <w:szCs w:val="28"/>
        </w:rPr>
        <w:t xml:space="preserve">  за 201</w:t>
      </w:r>
      <w:r w:rsidR="004F0C8A">
        <w:rPr>
          <w:rFonts w:ascii="Times New Roman" w:hAnsi="Times New Roman" w:cs="Times New Roman"/>
          <w:sz w:val="28"/>
          <w:szCs w:val="28"/>
        </w:rPr>
        <w:t>5</w:t>
      </w:r>
      <w:r w:rsidR="004F0C8A" w:rsidRPr="004F0C8A">
        <w:rPr>
          <w:rFonts w:ascii="Times New Roman" w:hAnsi="Times New Roman" w:cs="Times New Roman"/>
          <w:sz w:val="28"/>
          <w:szCs w:val="28"/>
        </w:rPr>
        <w:t xml:space="preserve"> – 201</w:t>
      </w:r>
      <w:r w:rsidR="004F0C8A">
        <w:rPr>
          <w:rFonts w:ascii="Times New Roman" w:hAnsi="Times New Roman" w:cs="Times New Roman"/>
          <w:sz w:val="28"/>
          <w:szCs w:val="28"/>
        </w:rPr>
        <w:t>7</w:t>
      </w:r>
      <w:r w:rsidR="004F0C8A" w:rsidRPr="004F0C8A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9E131C" w:rsidRDefault="009E131C" w:rsidP="00757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31C" w:rsidRDefault="009E131C" w:rsidP="00757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C8A" w:rsidRPr="004F0C8A" w:rsidRDefault="004F0C8A" w:rsidP="00757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8A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9E131C" w:rsidRPr="009E131C">
        <w:rPr>
          <w:rFonts w:ascii="Times New Roman" w:hAnsi="Times New Roman" w:cs="Times New Roman"/>
          <w:sz w:val="28"/>
          <w:szCs w:val="28"/>
        </w:rPr>
        <w:t>2.</w:t>
      </w:r>
      <w:r w:rsidRPr="004F0C8A">
        <w:rPr>
          <w:rFonts w:ascii="Times New Roman" w:hAnsi="Times New Roman" w:cs="Times New Roman"/>
          <w:sz w:val="28"/>
          <w:szCs w:val="28"/>
        </w:rPr>
        <w:t xml:space="preserve">6 </w:t>
      </w:r>
      <w:r w:rsidR="00757C03" w:rsidRPr="009E131C">
        <w:rPr>
          <w:rFonts w:ascii="Times New Roman" w:hAnsi="Times New Roman" w:cs="Times New Roman"/>
          <w:sz w:val="28"/>
          <w:szCs w:val="28"/>
        </w:rPr>
        <w:t xml:space="preserve"> - </w:t>
      </w:r>
      <w:r w:rsidRPr="004F0C8A">
        <w:rPr>
          <w:rFonts w:ascii="Times New Roman" w:hAnsi="Times New Roman" w:cs="Times New Roman"/>
          <w:sz w:val="28"/>
          <w:szCs w:val="28"/>
        </w:rPr>
        <w:t xml:space="preserve">Анализ финансовых результатов деятельности </w:t>
      </w:r>
      <w:r w:rsidRPr="009E131C">
        <w:rPr>
          <w:rFonts w:ascii="Times New Roman" w:hAnsi="Times New Roman" w:cs="Times New Roman"/>
          <w:sz w:val="28"/>
          <w:szCs w:val="28"/>
        </w:rPr>
        <w:t>АПК «Алексино»</w:t>
      </w:r>
      <w:r w:rsidRPr="004F0C8A">
        <w:rPr>
          <w:rFonts w:ascii="Times New Roman" w:hAnsi="Times New Roman" w:cs="Times New Roman"/>
          <w:sz w:val="28"/>
          <w:szCs w:val="28"/>
        </w:rPr>
        <w:t xml:space="preserve">, тыс. </w:t>
      </w:r>
      <w:proofErr w:type="spellStart"/>
      <w:r w:rsidRPr="004F0C8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1276"/>
        <w:gridCol w:w="1417"/>
        <w:gridCol w:w="1276"/>
        <w:gridCol w:w="1245"/>
        <w:gridCol w:w="7"/>
        <w:gridCol w:w="1299"/>
      </w:tblGrid>
      <w:tr w:rsidR="004F0C8A" w:rsidRPr="004F0C8A" w:rsidTr="003973DF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E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Отклонение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4F0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 </w:t>
            </w:r>
            <w:proofErr w:type="gramStart"/>
            <w:r w:rsidRPr="004F0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F0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 от</w:t>
            </w:r>
          </w:p>
        </w:tc>
      </w:tr>
      <w:tr w:rsidR="004F0C8A" w:rsidRPr="004F0C8A" w:rsidTr="004E74FF">
        <w:trPr>
          <w:trHeight w:val="6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</w:t>
            </w:r>
            <w:r w:rsidRPr="004F0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4F0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F0C8A" w:rsidRPr="004F0C8A" w:rsidTr="004E74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1820415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+22,74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+8,12</w:t>
            </w:r>
          </w:p>
        </w:tc>
      </w:tr>
      <w:tr w:rsidR="004F0C8A" w:rsidRPr="004F0C8A" w:rsidTr="004E74FF">
        <w:trPr>
          <w:trHeight w:val="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1225765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+22,38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+11,34</w:t>
            </w:r>
          </w:p>
        </w:tc>
      </w:tr>
      <w:tr w:rsidR="004F0C8A" w:rsidRPr="004F0C8A" w:rsidTr="004E74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594650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+23,48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+2,03</w:t>
            </w:r>
          </w:p>
        </w:tc>
      </w:tr>
      <w:tr w:rsidR="004F0C8A" w:rsidRPr="004F0C8A" w:rsidTr="004E74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368297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+14,26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-8,29</w:t>
            </w:r>
          </w:p>
        </w:tc>
      </w:tr>
      <w:tr w:rsidR="004F0C8A" w:rsidRPr="004F0C8A" w:rsidTr="004F0C8A">
        <w:trPr>
          <w:trHeight w:val="15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226353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C8A" w:rsidRPr="004F0C8A" w:rsidTr="004F0C8A">
        <w:trPr>
          <w:trHeight w:val="391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+42,15</w:t>
            </w:r>
          </w:p>
        </w:tc>
        <w:tc>
          <w:tcPr>
            <w:tcW w:w="12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+24,92</w:t>
            </w:r>
          </w:p>
        </w:tc>
      </w:tr>
      <w:tr w:rsidR="004F0C8A" w:rsidRPr="004F0C8A" w:rsidTr="004F0C8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к получению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32814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+39,93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-12,64</w:t>
            </w:r>
          </w:p>
        </w:tc>
      </w:tr>
      <w:tr w:rsidR="004F0C8A" w:rsidRPr="004F0C8A" w:rsidTr="004E74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к уплате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46478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+94,14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-0,56</w:t>
            </w:r>
          </w:p>
        </w:tc>
      </w:tr>
      <w:tr w:rsidR="004F0C8A" w:rsidRPr="004F0C8A" w:rsidTr="004E74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50171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+38,60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-79,58</w:t>
            </w:r>
          </w:p>
        </w:tc>
      </w:tr>
      <w:tr w:rsidR="004F0C8A" w:rsidRPr="004F0C8A" w:rsidTr="004E74FF">
        <w:trPr>
          <w:trHeight w:val="3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230872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-38,29</w:t>
            </w:r>
          </w:p>
        </w:tc>
      </w:tr>
      <w:tr w:rsidR="004F0C8A" w:rsidRPr="004F0C8A" w:rsidTr="004E74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31988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-26,53</w:t>
            </w:r>
          </w:p>
        </w:tc>
      </w:tr>
      <w:tr w:rsidR="004F0C8A" w:rsidRPr="004F0C8A" w:rsidTr="004E74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налог на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24188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+1,52</w:t>
            </w:r>
          </w:p>
        </w:tc>
      </w:tr>
      <w:tr w:rsidR="004F0C8A" w:rsidRPr="004F0C8A" w:rsidTr="004E74F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8A" w:rsidRPr="004F0C8A" w:rsidRDefault="004F0C8A" w:rsidP="004F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-68,23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8A" w:rsidRPr="004F0C8A" w:rsidRDefault="004F0C8A" w:rsidP="004F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-1,64</w:t>
            </w:r>
          </w:p>
        </w:tc>
      </w:tr>
    </w:tbl>
    <w:p w:rsidR="004F0C8A" w:rsidRDefault="004F0C8A" w:rsidP="004F0C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C8A" w:rsidRPr="004F0C8A" w:rsidRDefault="004F0C8A" w:rsidP="004F0C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8A">
        <w:rPr>
          <w:noProof/>
          <w:lang w:eastAsia="ru-RU"/>
        </w:rPr>
        <w:drawing>
          <wp:inline distT="0" distB="0" distL="0" distR="0" wp14:anchorId="621A6929" wp14:editId="2A413891">
            <wp:extent cx="5537200" cy="3441700"/>
            <wp:effectExtent l="0" t="0" r="25400" b="254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0C8A" w:rsidRPr="004F0C8A" w:rsidRDefault="004F0C8A" w:rsidP="004F0C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8A">
        <w:rPr>
          <w:rFonts w:ascii="Times New Roman" w:hAnsi="Times New Roman" w:cs="Times New Roman"/>
          <w:sz w:val="28"/>
          <w:szCs w:val="28"/>
        </w:rPr>
        <w:t>Рис</w:t>
      </w:r>
      <w:r w:rsidR="009E131C" w:rsidRPr="009E131C">
        <w:rPr>
          <w:rFonts w:ascii="Times New Roman" w:hAnsi="Times New Roman" w:cs="Times New Roman"/>
          <w:sz w:val="28"/>
          <w:szCs w:val="28"/>
        </w:rPr>
        <w:t xml:space="preserve">унок 2.8. - </w:t>
      </w:r>
      <w:r w:rsidRPr="004F0C8A">
        <w:rPr>
          <w:rFonts w:ascii="Times New Roman" w:hAnsi="Times New Roman" w:cs="Times New Roman"/>
          <w:sz w:val="28"/>
          <w:szCs w:val="28"/>
        </w:rPr>
        <w:t xml:space="preserve"> Динамика чистой прибыли </w:t>
      </w:r>
      <w:r w:rsidRPr="009E131C">
        <w:rPr>
          <w:rFonts w:ascii="Times New Roman" w:hAnsi="Times New Roman" w:cs="Times New Roman"/>
          <w:sz w:val="28"/>
          <w:szCs w:val="28"/>
        </w:rPr>
        <w:t>АПК «Алексино»</w:t>
      </w:r>
    </w:p>
    <w:p w:rsidR="004F0C8A" w:rsidRPr="004F0C8A" w:rsidRDefault="004F0C8A" w:rsidP="004F0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8A">
        <w:rPr>
          <w:rFonts w:ascii="Times New Roman" w:hAnsi="Times New Roman" w:cs="Times New Roman"/>
          <w:sz w:val="28"/>
          <w:szCs w:val="28"/>
        </w:rPr>
        <w:lastRenderedPageBreak/>
        <w:t xml:space="preserve">Анализ финансовых результатов </w:t>
      </w:r>
      <w:r>
        <w:rPr>
          <w:rFonts w:ascii="Times New Roman" w:hAnsi="Times New Roman" w:cs="Times New Roman"/>
          <w:sz w:val="28"/>
          <w:szCs w:val="28"/>
        </w:rPr>
        <w:t>АПК «Алексино»</w:t>
      </w:r>
      <w:r w:rsidRPr="004F0C8A">
        <w:rPr>
          <w:rFonts w:ascii="Times New Roman" w:hAnsi="Times New Roman" w:cs="Times New Roman"/>
          <w:sz w:val="28"/>
          <w:szCs w:val="28"/>
        </w:rPr>
        <w:t xml:space="preserve"> показывает, что предприятие на протяжении анализируемого периода работает достаточно прибыльно, что говорит о его рентабельности. Стоит отметить снижение</w:t>
      </w:r>
      <w:r>
        <w:rPr>
          <w:rFonts w:ascii="Times New Roman" w:hAnsi="Times New Roman" w:cs="Times New Roman"/>
          <w:sz w:val="28"/>
          <w:szCs w:val="28"/>
        </w:rPr>
        <w:t xml:space="preserve"> величины чистой прибыль в  2017</w:t>
      </w:r>
      <w:r w:rsidRPr="004F0C8A">
        <w:rPr>
          <w:rFonts w:ascii="Times New Roman" w:hAnsi="Times New Roman" w:cs="Times New Roman"/>
          <w:sz w:val="28"/>
          <w:szCs w:val="28"/>
        </w:rPr>
        <w:t xml:space="preserve"> году: на 68,23% в сравнении 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0C8A">
        <w:rPr>
          <w:rFonts w:ascii="Times New Roman" w:hAnsi="Times New Roman" w:cs="Times New Roman"/>
          <w:sz w:val="28"/>
          <w:szCs w:val="28"/>
        </w:rPr>
        <w:t xml:space="preserve"> годом и на 1,64%  относительно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0C8A">
        <w:rPr>
          <w:rFonts w:ascii="Times New Roman" w:hAnsi="Times New Roman" w:cs="Times New Roman"/>
          <w:sz w:val="28"/>
          <w:szCs w:val="28"/>
        </w:rPr>
        <w:t xml:space="preserve"> года.  Уменьшение чистой прибыли объясняется ростом величины себестоимости на 11,34%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0C8A">
        <w:rPr>
          <w:rFonts w:ascii="Times New Roman" w:hAnsi="Times New Roman" w:cs="Times New Roman"/>
          <w:sz w:val="28"/>
          <w:szCs w:val="28"/>
        </w:rPr>
        <w:t xml:space="preserve"> году в сравнении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0C8A">
        <w:rPr>
          <w:rFonts w:ascii="Times New Roman" w:hAnsi="Times New Roman" w:cs="Times New Roman"/>
          <w:sz w:val="28"/>
          <w:szCs w:val="28"/>
        </w:rPr>
        <w:t xml:space="preserve"> года, а так же увеличением объема штрафов, пеней и неустоек к получению. </w:t>
      </w:r>
    </w:p>
    <w:p w:rsidR="004F0C8A" w:rsidRPr="004F0C8A" w:rsidRDefault="004F0C8A" w:rsidP="004F0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8A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том, что </w:t>
      </w:r>
      <w:r>
        <w:rPr>
          <w:rFonts w:ascii="Times New Roman" w:hAnsi="Times New Roman" w:cs="Times New Roman"/>
          <w:sz w:val="28"/>
          <w:szCs w:val="28"/>
        </w:rPr>
        <w:t>АПК «Алексино»</w:t>
      </w:r>
      <w:r w:rsidRPr="004F0C8A">
        <w:rPr>
          <w:rFonts w:ascii="Times New Roman" w:hAnsi="Times New Roman" w:cs="Times New Roman"/>
          <w:sz w:val="28"/>
          <w:szCs w:val="28"/>
        </w:rPr>
        <w:t xml:space="preserve"> является субъектом, функционирующим на протяжении длительного времени. Анализ финансовых результатов показывает рентабельность и эффективность деятельности </w:t>
      </w:r>
      <w:r>
        <w:rPr>
          <w:rFonts w:ascii="Times New Roman" w:hAnsi="Times New Roman" w:cs="Times New Roman"/>
          <w:sz w:val="28"/>
          <w:szCs w:val="28"/>
        </w:rPr>
        <w:t>АПК «Алексино»</w:t>
      </w:r>
      <w:r w:rsidRPr="004F0C8A">
        <w:rPr>
          <w:rFonts w:ascii="Times New Roman" w:hAnsi="Times New Roman" w:cs="Times New Roman"/>
          <w:sz w:val="28"/>
          <w:szCs w:val="28"/>
        </w:rPr>
        <w:t xml:space="preserve"> на протяжении трех анализируемых лет, несмотря на снижение величины финансового результата. </w:t>
      </w:r>
      <w:bookmarkStart w:id="0" w:name="_GoBack"/>
      <w:bookmarkEnd w:id="0"/>
    </w:p>
    <w:p w:rsidR="006A7E21" w:rsidRDefault="006A7E21">
      <w:pPr>
        <w:rPr>
          <w:rFonts w:ascii="Times New Roman" w:hAnsi="Times New Roman" w:cs="Times New Roman"/>
          <w:sz w:val="28"/>
          <w:szCs w:val="28"/>
        </w:rPr>
      </w:pPr>
    </w:p>
    <w:p w:rsidR="006A7E21" w:rsidRDefault="006A7E21">
      <w:pPr>
        <w:rPr>
          <w:rFonts w:ascii="Times New Roman" w:hAnsi="Times New Roman" w:cs="Times New Roman"/>
          <w:sz w:val="28"/>
          <w:szCs w:val="28"/>
        </w:rPr>
      </w:pPr>
    </w:p>
    <w:p w:rsidR="006A7E21" w:rsidRDefault="006A7E21">
      <w:pPr>
        <w:rPr>
          <w:rFonts w:ascii="Times New Roman" w:hAnsi="Times New Roman" w:cs="Times New Roman"/>
          <w:sz w:val="28"/>
          <w:szCs w:val="28"/>
        </w:rPr>
      </w:pPr>
    </w:p>
    <w:p w:rsidR="006A7E21" w:rsidRDefault="006A7E21">
      <w:pPr>
        <w:rPr>
          <w:rFonts w:ascii="Times New Roman" w:hAnsi="Times New Roman" w:cs="Times New Roman"/>
          <w:sz w:val="28"/>
          <w:szCs w:val="28"/>
        </w:rPr>
      </w:pPr>
    </w:p>
    <w:p w:rsidR="006A7E21" w:rsidRDefault="006A7E21">
      <w:pPr>
        <w:rPr>
          <w:rFonts w:ascii="Times New Roman" w:hAnsi="Times New Roman" w:cs="Times New Roman"/>
          <w:sz w:val="28"/>
          <w:szCs w:val="28"/>
        </w:rPr>
      </w:pPr>
    </w:p>
    <w:sectPr w:rsidR="006A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29"/>
    <w:rsid w:val="00103366"/>
    <w:rsid w:val="003D019F"/>
    <w:rsid w:val="004F0C8A"/>
    <w:rsid w:val="005E2AE7"/>
    <w:rsid w:val="006A7E21"/>
    <w:rsid w:val="006E0E71"/>
    <w:rsid w:val="00757C03"/>
    <w:rsid w:val="00787820"/>
    <w:rsid w:val="007B1DA2"/>
    <w:rsid w:val="007E4B71"/>
    <w:rsid w:val="00821F0E"/>
    <w:rsid w:val="009E131C"/>
    <w:rsid w:val="00C4684E"/>
    <w:rsid w:val="00D60129"/>
    <w:rsid w:val="00E34736"/>
    <w:rsid w:val="00E93F5D"/>
    <w:rsid w:val="00E9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E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E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7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6.xml"/><Relationship Id="rId5" Type="http://schemas.openxmlformats.org/officeDocument/2006/relationships/chart" Target="charts/chart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Лист1!$D$5:$D$8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Лист1!$E$5:$E$8</c:f>
              <c:numCache>
                <c:formatCode>General</c:formatCode>
                <c:ptCount val="4"/>
                <c:pt idx="0">
                  <c:v>3540179.74</c:v>
                </c:pt>
                <c:pt idx="1">
                  <c:v>3876983.81</c:v>
                </c:pt>
                <c:pt idx="2">
                  <c:v>4316503.7300000004</c:v>
                </c:pt>
                <c:pt idx="3">
                  <c:v>4452274.21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455872"/>
        <c:axId val="27458176"/>
        <c:axId val="0"/>
      </c:bar3DChart>
      <c:catAx>
        <c:axId val="27455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458176"/>
        <c:crosses val="autoZero"/>
        <c:auto val="1"/>
        <c:lblAlgn val="ctr"/>
        <c:lblOffset val="100"/>
        <c:noMultiLvlLbl val="0"/>
      </c:catAx>
      <c:valAx>
        <c:axId val="27458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4558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Лист1!$E$4:$L$5</c:f>
              <c:strCache>
                <c:ptCount val="8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</c:strCache>
            </c:strRef>
          </c:cat>
          <c:val>
            <c:numRef>
              <c:f>Лист1!$E$6:$L$6</c:f>
              <c:numCache>
                <c:formatCode>General</c:formatCode>
                <c:ptCount val="8"/>
                <c:pt idx="0">
                  <c:v>1687.9</c:v>
                </c:pt>
                <c:pt idx="1">
                  <c:v>1733.1</c:v>
                </c:pt>
                <c:pt idx="2">
                  <c:v>1794.2</c:v>
                </c:pt>
                <c:pt idx="3">
                  <c:v>1844.5</c:v>
                </c:pt>
                <c:pt idx="4">
                  <c:v>1899.2</c:v>
                </c:pt>
                <c:pt idx="5">
                  <c:v>1954.9</c:v>
                </c:pt>
                <c:pt idx="6">
                  <c:v>1981.6</c:v>
                </c:pt>
                <c:pt idx="7">
                  <c:v>2021.3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746752"/>
        <c:axId val="76748288"/>
        <c:axId val="0"/>
      </c:bar3DChart>
      <c:catAx>
        <c:axId val="76746752"/>
        <c:scaling>
          <c:orientation val="minMax"/>
        </c:scaling>
        <c:delete val="0"/>
        <c:axPos val="b"/>
        <c:majorTickMark val="out"/>
        <c:minorTickMark val="none"/>
        <c:tickLblPos val="nextTo"/>
        <c:crossAx val="76748288"/>
        <c:crosses val="autoZero"/>
        <c:auto val="1"/>
        <c:lblAlgn val="ctr"/>
        <c:lblOffset val="100"/>
        <c:noMultiLvlLbl val="0"/>
      </c:catAx>
      <c:valAx>
        <c:axId val="7674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7467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Лист1!$C$51</c:f>
              <c:strCache>
                <c:ptCount val="1"/>
                <c:pt idx="0">
                  <c:v>Внеоборотные активы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Лист1!$D$49:$F$49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Лист1!$D$51:$F$51</c:f>
              <c:numCache>
                <c:formatCode>General</c:formatCode>
                <c:ptCount val="3"/>
                <c:pt idx="0">
                  <c:v>274455</c:v>
                </c:pt>
                <c:pt idx="1">
                  <c:v>272714</c:v>
                </c:pt>
                <c:pt idx="2">
                  <c:v>221680</c:v>
                </c:pt>
              </c:numCache>
            </c:numRef>
          </c:val>
        </c:ser>
        <c:ser>
          <c:idx val="2"/>
          <c:order val="1"/>
          <c:tx>
            <c:strRef>
              <c:f>Лист1!$C$52</c:f>
              <c:strCache>
                <c:ptCount val="1"/>
                <c:pt idx="0">
                  <c:v>Оборотные активы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Лист1!$D$49:$F$49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Лист1!$D$52:$F$52</c:f>
              <c:numCache>
                <c:formatCode>General</c:formatCode>
                <c:ptCount val="3"/>
                <c:pt idx="0">
                  <c:v>505729</c:v>
                </c:pt>
                <c:pt idx="1">
                  <c:v>675534</c:v>
                </c:pt>
                <c:pt idx="2">
                  <c:v>1025036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3114624"/>
        <c:axId val="143116160"/>
        <c:axId val="0"/>
      </c:bar3DChart>
      <c:catAx>
        <c:axId val="143114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43116160"/>
        <c:crosses val="autoZero"/>
        <c:auto val="1"/>
        <c:lblAlgn val="ctr"/>
        <c:lblOffset val="100"/>
        <c:noMultiLvlLbl val="0"/>
      </c:catAx>
      <c:valAx>
        <c:axId val="143116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114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Лист2!$D$47</c:f>
              <c:strCache>
                <c:ptCount val="1"/>
                <c:pt idx="0">
                  <c:v>Капитал и резервы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Лист2!$E$45:$G$46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Лист2!$E$47:$G$47</c:f>
              <c:numCache>
                <c:formatCode>General</c:formatCode>
                <c:ptCount val="3"/>
                <c:pt idx="0">
                  <c:v>19579</c:v>
                </c:pt>
                <c:pt idx="1">
                  <c:v>199585</c:v>
                </c:pt>
                <c:pt idx="2">
                  <c:v>203912</c:v>
                </c:pt>
              </c:numCache>
            </c:numRef>
          </c:val>
        </c:ser>
        <c:ser>
          <c:idx val="1"/>
          <c:order val="1"/>
          <c:tx>
            <c:strRef>
              <c:f>Лист2!$D$48</c:f>
              <c:strCache>
                <c:ptCount val="1"/>
                <c:pt idx="0">
                  <c:v>Долгосрочные обязательства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Лист2!$E$45:$G$46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Лист2!$E$48:$G$48</c:f>
              <c:numCache>
                <c:formatCode>General</c:formatCode>
                <c:ptCount val="3"/>
                <c:pt idx="0">
                  <c:v>38519</c:v>
                </c:pt>
                <c:pt idx="1">
                  <c:v>15914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Лист2!$D$49</c:f>
              <c:strCache>
                <c:ptCount val="1"/>
                <c:pt idx="0">
                  <c:v>Краткосрочные обязательства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Лист2!$E$45:$G$46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Лист2!$E$49:$G$49</c:f>
              <c:numCache>
                <c:formatCode>General</c:formatCode>
                <c:ptCount val="3"/>
                <c:pt idx="0">
                  <c:v>546486</c:v>
                </c:pt>
                <c:pt idx="1">
                  <c:v>732749</c:v>
                </c:pt>
                <c:pt idx="2">
                  <c:v>1042804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709504"/>
        <c:axId val="142711040"/>
        <c:axId val="0"/>
      </c:bar3DChart>
      <c:catAx>
        <c:axId val="142709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42711040"/>
        <c:crosses val="autoZero"/>
        <c:auto val="1"/>
        <c:lblAlgn val="ctr"/>
        <c:lblOffset val="100"/>
        <c:noMultiLvlLbl val="0"/>
      </c:catAx>
      <c:valAx>
        <c:axId val="14271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709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683161965024946"/>
          <c:y val="0.32392902650994571"/>
          <c:w val="0.25039842142034402"/>
          <c:h val="0.4972397714991508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Лист4!$N$7:$N$11</c:f>
              <c:strCache>
                <c:ptCount val="5"/>
                <c:pt idx="0">
                  <c:v>Основные средства</c:v>
                </c:pt>
                <c:pt idx="1">
                  <c:v>Запасы</c:v>
                </c:pt>
                <c:pt idx="2">
                  <c:v>Дебиторская задолженность</c:v>
                </c:pt>
                <c:pt idx="3">
                  <c:v>Финансовые вложения</c:v>
                </c:pt>
                <c:pt idx="4">
                  <c:v>Денежные средства</c:v>
                </c:pt>
              </c:strCache>
            </c:strRef>
          </c:cat>
          <c:val>
            <c:numRef>
              <c:f>Лист4!$O$7:$O$11</c:f>
              <c:numCache>
                <c:formatCode>General</c:formatCode>
                <c:ptCount val="5"/>
                <c:pt idx="0">
                  <c:v>17.77</c:v>
                </c:pt>
                <c:pt idx="1">
                  <c:v>6.43</c:v>
                </c:pt>
                <c:pt idx="2">
                  <c:v>50.71</c:v>
                </c:pt>
                <c:pt idx="3">
                  <c:v>24.06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Лист5!$N$7:$N$11</c:f>
              <c:strCache>
                <c:ptCount val="5"/>
                <c:pt idx="0">
                  <c:v>Нераспределенная прибыль</c:v>
                </c:pt>
                <c:pt idx="1">
                  <c:v>Заемные средства</c:v>
                </c:pt>
                <c:pt idx="2">
                  <c:v>Кредиторская задолженность</c:v>
                </c:pt>
                <c:pt idx="3">
                  <c:v>Оценочные обязательства</c:v>
                </c:pt>
                <c:pt idx="4">
                  <c:v>Доходы будущих периодов</c:v>
                </c:pt>
              </c:strCache>
            </c:strRef>
          </c:cat>
          <c:val>
            <c:numRef>
              <c:f>Лист5!$O$7:$O$11</c:f>
              <c:numCache>
                <c:formatCode>General</c:formatCode>
                <c:ptCount val="5"/>
                <c:pt idx="0">
                  <c:v>15.37</c:v>
                </c:pt>
                <c:pt idx="1">
                  <c:v>57.57</c:v>
                </c:pt>
                <c:pt idx="2">
                  <c:v>23.61</c:v>
                </c:pt>
                <c:pt idx="3">
                  <c:v>2.09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41275">
              <a:solidFill>
                <a:srgbClr val="C00000"/>
              </a:solidFill>
            </a:ln>
          </c:spP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Лист6!$E$3:$G$4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Лист6!$E$40:$G$40</c:f>
              <c:numCache>
                <c:formatCode>General</c:formatCode>
                <c:ptCount val="3"/>
                <c:pt idx="0">
                  <c:v>13620</c:v>
                </c:pt>
                <c:pt idx="1">
                  <c:v>4399</c:v>
                </c:pt>
                <c:pt idx="2">
                  <c:v>4327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083776"/>
        <c:axId val="182124544"/>
      </c:lineChart>
      <c:catAx>
        <c:axId val="143083776"/>
        <c:scaling>
          <c:orientation val="minMax"/>
        </c:scaling>
        <c:delete val="0"/>
        <c:axPos val="b"/>
        <c:majorTickMark val="out"/>
        <c:minorTickMark val="none"/>
        <c:tickLblPos val="nextTo"/>
        <c:crossAx val="182124544"/>
        <c:crosses val="autoZero"/>
        <c:auto val="1"/>
        <c:lblAlgn val="ctr"/>
        <c:lblOffset val="100"/>
        <c:noMultiLvlLbl val="0"/>
      </c:catAx>
      <c:valAx>
        <c:axId val="182124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0837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2607</Words>
  <Characters>14861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17</cp:revision>
  <dcterms:created xsi:type="dcterms:W3CDTF">2018-03-18T19:51:00Z</dcterms:created>
  <dcterms:modified xsi:type="dcterms:W3CDTF">2018-03-20T20:49:00Z</dcterms:modified>
</cp:coreProperties>
</file>