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87" w:rsidRPr="002A361A" w:rsidRDefault="00F14087" w:rsidP="00F14087">
      <w:pPr>
        <w:jc w:val="center"/>
        <w:rPr>
          <w:rFonts w:ascii="Times New Roman" w:hAnsi="Times New Roman" w:cs="Times New Roman"/>
          <w:b/>
          <w:sz w:val="28"/>
        </w:rPr>
      </w:pPr>
      <w:r w:rsidRPr="002A361A">
        <w:rPr>
          <w:rFonts w:ascii="Times New Roman" w:hAnsi="Times New Roman" w:cs="Times New Roman"/>
          <w:b/>
          <w:sz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635A3" w:rsidTr="002A361A">
        <w:tc>
          <w:tcPr>
            <w:tcW w:w="9571" w:type="dxa"/>
          </w:tcPr>
          <w:p w:rsidR="005635A3" w:rsidRPr="009E0CCF" w:rsidRDefault="005635A3" w:rsidP="002A361A">
            <w:pPr>
              <w:spacing w:line="276" w:lineRule="auto"/>
              <w:jc w:val="both"/>
              <w:rPr>
                <w:rFonts w:ascii="Times New Roman" w:hAnsi="Times New Roman" w:cs="Times New Roman"/>
                <w:sz w:val="28"/>
              </w:rPr>
            </w:pPr>
            <w:r w:rsidRPr="005635A3">
              <w:rPr>
                <w:rFonts w:ascii="Times New Roman" w:hAnsi="Times New Roman" w:cs="Times New Roman"/>
                <w:sz w:val="28"/>
                <w:lang w:val="en-US"/>
              </w:rPr>
              <w:t>ВВЕДЕНИЕ</w:t>
            </w:r>
            <w:r w:rsidR="009E0CCF">
              <w:rPr>
                <w:rFonts w:ascii="Times New Roman" w:hAnsi="Times New Roman" w:cs="Times New Roman"/>
                <w:sz w:val="28"/>
              </w:rPr>
              <w:t>……………………………………………………………………….</w:t>
            </w:r>
            <w:r w:rsidR="002A361A">
              <w:rPr>
                <w:rFonts w:ascii="Times New Roman" w:hAnsi="Times New Roman" w:cs="Times New Roman"/>
                <w:sz w:val="28"/>
              </w:rPr>
              <w:t>3</w:t>
            </w:r>
          </w:p>
        </w:tc>
      </w:tr>
      <w:tr w:rsidR="005635A3" w:rsidRPr="005635A3" w:rsidTr="002A361A">
        <w:tc>
          <w:tcPr>
            <w:tcW w:w="9571" w:type="dxa"/>
          </w:tcPr>
          <w:p w:rsidR="005635A3" w:rsidRPr="00906EDA" w:rsidRDefault="005635A3" w:rsidP="002A361A">
            <w:pPr>
              <w:pStyle w:val="a3"/>
              <w:numPr>
                <w:ilvl w:val="0"/>
                <w:numId w:val="6"/>
              </w:numPr>
              <w:spacing w:line="276" w:lineRule="auto"/>
              <w:ind w:left="0" w:firstLine="0"/>
              <w:jc w:val="both"/>
              <w:rPr>
                <w:rFonts w:ascii="Times New Roman" w:hAnsi="Times New Roman" w:cs="Times New Roman"/>
                <w:sz w:val="28"/>
              </w:rPr>
            </w:pPr>
            <w:r w:rsidRPr="00906EDA">
              <w:rPr>
                <w:rFonts w:ascii="Times New Roman" w:hAnsi="Times New Roman" w:cs="Times New Roman"/>
                <w:sz w:val="28"/>
              </w:rPr>
              <w:t>ТЕОРЕТИЧЕСКИЕ АСПЕКТЫ ФОРМИРОВАНИЯ БЮДЖЕТА И РОЛЬ НАЛОГОВОЙ ПОЛИТИКИ В ФОРМИРОВАНИИ БЮДЖЕТА</w:t>
            </w:r>
            <w:r w:rsidR="009E0CCF">
              <w:rPr>
                <w:rFonts w:ascii="Times New Roman" w:hAnsi="Times New Roman" w:cs="Times New Roman"/>
                <w:sz w:val="28"/>
              </w:rPr>
              <w:t>……</w:t>
            </w:r>
            <w:r w:rsidR="002A361A">
              <w:rPr>
                <w:rFonts w:ascii="Times New Roman" w:hAnsi="Times New Roman" w:cs="Times New Roman"/>
                <w:sz w:val="28"/>
              </w:rPr>
              <w:t>5</w:t>
            </w:r>
          </w:p>
        </w:tc>
      </w:tr>
      <w:tr w:rsidR="005635A3" w:rsidRPr="005635A3" w:rsidTr="002A361A">
        <w:tc>
          <w:tcPr>
            <w:tcW w:w="9571" w:type="dxa"/>
          </w:tcPr>
          <w:p w:rsidR="005635A3" w:rsidRPr="00906EDA" w:rsidRDefault="005635A3" w:rsidP="002A361A">
            <w:pPr>
              <w:pStyle w:val="a3"/>
              <w:numPr>
                <w:ilvl w:val="1"/>
                <w:numId w:val="9"/>
              </w:numPr>
              <w:spacing w:line="276" w:lineRule="auto"/>
              <w:jc w:val="both"/>
              <w:rPr>
                <w:rFonts w:ascii="Times New Roman" w:hAnsi="Times New Roman" w:cs="Times New Roman"/>
                <w:sz w:val="28"/>
              </w:rPr>
            </w:pPr>
            <w:r w:rsidRPr="00906EDA">
              <w:rPr>
                <w:rFonts w:ascii="Times New Roman" w:hAnsi="Times New Roman" w:cs="Times New Roman"/>
                <w:sz w:val="28"/>
              </w:rPr>
              <w:t>Состав и структура бюджетов различных уровней</w:t>
            </w:r>
            <w:r w:rsidR="009E0CCF">
              <w:rPr>
                <w:rFonts w:ascii="Times New Roman" w:hAnsi="Times New Roman" w:cs="Times New Roman"/>
                <w:sz w:val="28"/>
              </w:rPr>
              <w:t>……………………</w:t>
            </w:r>
            <w:r w:rsidR="002A361A">
              <w:rPr>
                <w:rFonts w:ascii="Times New Roman" w:hAnsi="Times New Roman" w:cs="Times New Roman"/>
                <w:sz w:val="28"/>
              </w:rPr>
              <w:t>5</w:t>
            </w:r>
          </w:p>
        </w:tc>
      </w:tr>
      <w:tr w:rsidR="005635A3" w:rsidRPr="005635A3" w:rsidTr="002A361A">
        <w:tc>
          <w:tcPr>
            <w:tcW w:w="9571" w:type="dxa"/>
          </w:tcPr>
          <w:p w:rsidR="005635A3" w:rsidRPr="00906EDA" w:rsidRDefault="005635A3" w:rsidP="002A361A">
            <w:pPr>
              <w:pStyle w:val="a3"/>
              <w:numPr>
                <w:ilvl w:val="1"/>
                <w:numId w:val="9"/>
              </w:numPr>
              <w:spacing w:line="276" w:lineRule="auto"/>
              <w:jc w:val="both"/>
              <w:rPr>
                <w:rFonts w:ascii="Times New Roman" w:hAnsi="Times New Roman" w:cs="Times New Roman"/>
                <w:sz w:val="28"/>
              </w:rPr>
            </w:pPr>
            <w:r w:rsidRPr="00906EDA">
              <w:rPr>
                <w:rFonts w:ascii="Times New Roman" w:hAnsi="Times New Roman" w:cs="Times New Roman"/>
                <w:sz w:val="28"/>
              </w:rPr>
              <w:t>Понятие и методы реализации налоговой политики</w:t>
            </w:r>
            <w:r w:rsidR="009E0CCF">
              <w:rPr>
                <w:rFonts w:ascii="Times New Roman" w:hAnsi="Times New Roman" w:cs="Times New Roman"/>
                <w:sz w:val="28"/>
              </w:rPr>
              <w:t>…………………..</w:t>
            </w:r>
            <w:r w:rsidR="002A361A">
              <w:rPr>
                <w:rFonts w:ascii="Times New Roman" w:hAnsi="Times New Roman" w:cs="Times New Roman"/>
                <w:sz w:val="28"/>
              </w:rPr>
              <w:t>7</w:t>
            </w:r>
          </w:p>
        </w:tc>
      </w:tr>
      <w:tr w:rsidR="005635A3" w:rsidRPr="005635A3" w:rsidTr="002A361A">
        <w:tc>
          <w:tcPr>
            <w:tcW w:w="9571" w:type="dxa"/>
          </w:tcPr>
          <w:p w:rsidR="005635A3" w:rsidRPr="00906EDA" w:rsidRDefault="005635A3" w:rsidP="002A361A">
            <w:pPr>
              <w:pStyle w:val="a3"/>
              <w:numPr>
                <w:ilvl w:val="1"/>
                <w:numId w:val="9"/>
              </w:numPr>
              <w:spacing w:line="276" w:lineRule="auto"/>
              <w:jc w:val="both"/>
              <w:rPr>
                <w:rFonts w:ascii="Times New Roman" w:hAnsi="Times New Roman" w:cs="Times New Roman"/>
                <w:sz w:val="28"/>
              </w:rPr>
            </w:pPr>
            <w:r w:rsidRPr="00906EDA">
              <w:rPr>
                <w:rFonts w:ascii="Times New Roman" w:hAnsi="Times New Roman" w:cs="Times New Roman"/>
                <w:sz w:val="28"/>
              </w:rPr>
              <w:t>Налоги как инструмент доходной части бюджета</w:t>
            </w:r>
            <w:r w:rsidR="009E0CCF">
              <w:rPr>
                <w:rFonts w:ascii="Times New Roman" w:hAnsi="Times New Roman" w:cs="Times New Roman"/>
                <w:sz w:val="28"/>
              </w:rPr>
              <w:t>……………………..</w:t>
            </w:r>
            <w:r w:rsidR="002A361A">
              <w:rPr>
                <w:rFonts w:ascii="Times New Roman" w:hAnsi="Times New Roman" w:cs="Times New Roman"/>
                <w:sz w:val="28"/>
              </w:rPr>
              <w:t>9</w:t>
            </w:r>
          </w:p>
        </w:tc>
      </w:tr>
      <w:tr w:rsidR="005635A3" w:rsidRPr="005635A3" w:rsidTr="002A361A">
        <w:tc>
          <w:tcPr>
            <w:tcW w:w="9571" w:type="dxa"/>
          </w:tcPr>
          <w:p w:rsidR="005635A3" w:rsidRPr="007077BD" w:rsidRDefault="005635A3" w:rsidP="002A361A">
            <w:pPr>
              <w:pStyle w:val="a3"/>
              <w:numPr>
                <w:ilvl w:val="0"/>
                <w:numId w:val="6"/>
              </w:numPr>
              <w:spacing w:line="276" w:lineRule="auto"/>
              <w:ind w:left="0" w:firstLine="0"/>
              <w:jc w:val="both"/>
              <w:rPr>
                <w:rFonts w:ascii="Times New Roman" w:hAnsi="Times New Roman" w:cs="Times New Roman"/>
                <w:sz w:val="28"/>
              </w:rPr>
            </w:pPr>
            <w:r w:rsidRPr="007077BD">
              <w:rPr>
                <w:rFonts w:ascii="Times New Roman" w:hAnsi="Times New Roman" w:cs="Times New Roman"/>
                <w:sz w:val="28"/>
              </w:rPr>
              <w:t>АНАЛИЗ БЮДЖЕТА И ПРИОРИТЕТНЫХ НАПРАВЛЕНИЙ НАЛОГОВОЙ ПОЛИТИКИ РФ</w:t>
            </w:r>
            <w:r w:rsidR="009E0CCF">
              <w:rPr>
                <w:rFonts w:ascii="Times New Roman" w:hAnsi="Times New Roman" w:cs="Times New Roman"/>
                <w:sz w:val="28"/>
              </w:rPr>
              <w:t>………………………………………………</w:t>
            </w:r>
            <w:r w:rsidR="002A361A">
              <w:rPr>
                <w:rFonts w:ascii="Times New Roman" w:hAnsi="Times New Roman" w:cs="Times New Roman"/>
                <w:sz w:val="28"/>
              </w:rPr>
              <w:t>13</w:t>
            </w:r>
          </w:p>
        </w:tc>
      </w:tr>
      <w:tr w:rsidR="005635A3" w:rsidRPr="005635A3" w:rsidTr="002A361A">
        <w:tc>
          <w:tcPr>
            <w:tcW w:w="9571" w:type="dxa"/>
          </w:tcPr>
          <w:p w:rsidR="005635A3" w:rsidRPr="005635A3" w:rsidRDefault="005635A3" w:rsidP="002A361A">
            <w:pPr>
              <w:pStyle w:val="a3"/>
              <w:numPr>
                <w:ilvl w:val="1"/>
                <w:numId w:val="10"/>
              </w:numPr>
              <w:spacing w:line="276" w:lineRule="auto"/>
              <w:jc w:val="both"/>
              <w:rPr>
                <w:rFonts w:ascii="Times New Roman" w:hAnsi="Times New Roman" w:cs="Times New Roman"/>
                <w:sz w:val="28"/>
              </w:rPr>
            </w:pPr>
            <w:r w:rsidRPr="005635A3">
              <w:rPr>
                <w:rFonts w:ascii="Times New Roman" w:hAnsi="Times New Roman" w:cs="Times New Roman"/>
                <w:sz w:val="28"/>
              </w:rPr>
              <w:t xml:space="preserve">Анализ динамики доходов и расходов федерального бюджета </w:t>
            </w:r>
            <w:r w:rsidRPr="005635A3">
              <w:rPr>
                <w:rFonts w:ascii="Times New Roman" w:hAnsi="Times New Roman" w:cs="Times New Roman"/>
                <w:vanish/>
                <w:sz w:val="28"/>
              </w:rPr>
              <w:t>ФРФ</w:t>
            </w:r>
            <w:r w:rsidRPr="005635A3">
              <w:rPr>
                <w:rFonts w:ascii="Times New Roman" w:hAnsi="Times New Roman" w:cs="Times New Roman"/>
                <w:sz w:val="28"/>
              </w:rPr>
              <w:t>РФ</w:t>
            </w:r>
            <w:r w:rsidR="009E0CCF">
              <w:rPr>
                <w:rFonts w:ascii="Times New Roman" w:hAnsi="Times New Roman" w:cs="Times New Roman"/>
                <w:sz w:val="28"/>
              </w:rPr>
              <w:t>….</w:t>
            </w:r>
            <w:r w:rsidR="002A361A">
              <w:rPr>
                <w:rFonts w:ascii="Times New Roman" w:hAnsi="Times New Roman" w:cs="Times New Roman"/>
                <w:sz w:val="28"/>
              </w:rPr>
              <w:t>13</w:t>
            </w:r>
          </w:p>
        </w:tc>
      </w:tr>
      <w:tr w:rsidR="005635A3" w:rsidRPr="005635A3" w:rsidTr="002A361A">
        <w:tc>
          <w:tcPr>
            <w:tcW w:w="9571" w:type="dxa"/>
          </w:tcPr>
          <w:p w:rsidR="005635A3" w:rsidRPr="005635A3" w:rsidRDefault="005635A3" w:rsidP="002A361A">
            <w:pPr>
              <w:pStyle w:val="a3"/>
              <w:numPr>
                <w:ilvl w:val="1"/>
                <w:numId w:val="10"/>
              </w:numPr>
              <w:spacing w:line="276" w:lineRule="auto"/>
              <w:jc w:val="both"/>
              <w:rPr>
                <w:rFonts w:ascii="Times New Roman" w:hAnsi="Times New Roman" w:cs="Times New Roman"/>
                <w:sz w:val="28"/>
              </w:rPr>
            </w:pPr>
            <w:r w:rsidRPr="005635A3">
              <w:rPr>
                <w:rFonts w:ascii="Times New Roman" w:hAnsi="Times New Roman" w:cs="Times New Roman"/>
                <w:sz w:val="28"/>
              </w:rPr>
              <w:t>Оценка структуры доходной части федерального бюджета РФ</w:t>
            </w:r>
            <w:r w:rsidR="009E0CCF">
              <w:rPr>
                <w:rFonts w:ascii="Times New Roman" w:hAnsi="Times New Roman" w:cs="Times New Roman"/>
                <w:sz w:val="28"/>
              </w:rPr>
              <w:t>……</w:t>
            </w:r>
            <w:r w:rsidR="002A361A">
              <w:rPr>
                <w:rFonts w:ascii="Times New Roman" w:hAnsi="Times New Roman" w:cs="Times New Roman"/>
                <w:sz w:val="28"/>
              </w:rPr>
              <w:t>16</w:t>
            </w:r>
          </w:p>
        </w:tc>
      </w:tr>
      <w:tr w:rsidR="005635A3" w:rsidRPr="005635A3" w:rsidTr="002A361A">
        <w:tc>
          <w:tcPr>
            <w:tcW w:w="9571" w:type="dxa"/>
          </w:tcPr>
          <w:p w:rsidR="005635A3" w:rsidRPr="007077BD" w:rsidRDefault="005635A3" w:rsidP="002A361A">
            <w:pPr>
              <w:pStyle w:val="a3"/>
              <w:numPr>
                <w:ilvl w:val="1"/>
                <w:numId w:val="10"/>
              </w:numPr>
              <w:spacing w:line="276" w:lineRule="auto"/>
              <w:jc w:val="both"/>
              <w:rPr>
                <w:rFonts w:ascii="Times New Roman" w:hAnsi="Times New Roman" w:cs="Times New Roman"/>
                <w:sz w:val="28"/>
              </w:rPr>
            </w:pPr>
            <w:r w:rsidRPr="007077BD">
              <w:rPr>
                <w:rFonts w:ascii="Times New Roman" w:hAnsi="Times New Roman" w:cs="Times New Roman"/>
                <w:sz w:val="28"/>
              </w:rPr>
              <w:t>Особенности налоговой политики РФ</w:t>
            </w:r>
            <w:r w:rsidR="009E0CCF">
              <w:rPr>
                <w:rFonts w:ascii="Times New Roman" w:hAnsi="Times New Roman" w:cs="Times New Roman"/>
                <w:sz w:val="28"/>
              </w:rPr>
              <w:t>…………………………………</w:t>
            </w:r>
            <w:r w:rsidR="002A361A">
              <w:rPr>
                <w:rFonts w:ascii="Times New Roman" w:hAnsi="Times New Roman" w:cs="Times New Roman"/>
                <w:sz w:val="28"/>
              </w:rPr>
              <w:t>19</w:t>
            </w:r>
          </w:p>
        </w:tc>
      </w:tr>
      <w:tr w:rsidR="005635A3" w:rsidRPr="005635A3" w:rsidTr="002A361A">
        <w:tc>
          <w:tcPr>
            <w:tcW w:w="9571" w:type="dxa"/>
          </w:tcPr>
          <w:p w:rsidR="005635A3" w:rsidRPr="00833EBF" w:rsidRDefault="005635A3" w:rsidP="002A361A">
            <w:pPr>
              <w:pStyle w:val="a3"/>
              <w:numPr>
                <w:ilvl w:val="0"/>
                <w:numId w:val="6"/>
              </w:numPr>
              <w:spacing w:line="276" w:lineRule="auto"/>
              <w:ind w:left="0" w:firstLine="0"/>
              <w:jc w:val="both"/>
              <w:rPr>
                <w:rFonts w:ascii="Times New Roman" w:hAnsi="Times New Roman" w:cs="Times New Roman"/>
                <w:sz w:val="28"/>
              </w:rPr>
            </w:pPr>
            <w:r w:rsidRPr="00833EBF">
              <w:rPr>
                <w:rFonts w:ascii="Times New Roman" w:hAnsi="Times New Roman" w:cs="Times New Roman"/>
                <w:sz w:val="28"/>
              </w:rPr>
              <w:t xml:space="preserve">ПУТИ ДОСТИЖЕНИЯ СБАЛАНСИРОВАННОСТИ БЮДЖЕТА </w:t>
            </w:r>
            <w:r w:rsidR="009E0CCF">
              <w:rPr>
                <w:rFonts w:ascii="Times New Roman" w:hAnsi="Times New Roman" w:cs="Times New Roman"/>
                <w:sz w:val="28"/>
              </w:rPr>
              <w:t>…..</w:t>
            </w:r>
            <w:r w:rsidR="002A361A">
              <w:rPr>
                <w:rFonts w:ascii="Times New Roman" w:hAnsi="Times New Roman" w:cs="Times New Roman"/>
                <w:sz w:val="28"/>
              </w:rPr>
              <w:t>22</w:t>
            </w:r>
          </w:p>
        </w:tc>
      </w:tr>
      <w:tr w:rsidR="005635A3" w:rsidRPr="005635A3" w:rsidTr="002A361A">
        <w:tc>
          <w:tcPr>
            <w:tcW w:w="9571" w:type="dxa"/>
          </w:tcPr>
          <w:p w:rsidR="005635A3" w:rsidRPr="005635A3" w:rsidRDefault="005635A3" w:rsidP="002A361A">
            <w:pPr>
              <w:pStyle w:val="a3"/>
              <w:spacing w:line="276" w:lineRule="auto"/>
              <w:ind w:left="426"/>
              <w:jc w:val="both"/>
              <w:rPr>
                <w:rFonts w:ascii="Times New Roman" w:hAnsi="Times New Roman" w:cs="Times New Roman"/>
                <w:sz w:val="28"/>
              </w:rPr>
            </w:pPr>
            <w:r>
              <w:rPr>
                <w:rFonts w:ascii="Times New Roman" w:hAnsi="Times New Roman" w:cs="Times New Roman"/>
                <w:sz w:val="28"/>
              </w:rPr>
              <w:t>3.1</w:t>
            </w:r>
            <w:r w:rsidRPr="005635A3">
              <w:rPr>
                <w:rFonts w:ascii="Times New Roman" w:hAnsi="Times New Roman" w:cs="Times New Roman"/>
                <w:sz w:val="28"/>
              </w:rPr>
              <w:t>Устранение дефицита федерального бюджета РФ</w:t>
            </w:r>
            <w:r w:rsidR="009E0CCF">
              <w:rPr>
                <w:rFonts w:ascii="Times New Roman" w:hAnsi="Times New Roman" w:cs="Times New Roman"/>
                <w:sz w:val="28"/>
              </w:rPr>
              <w:t>…………………….</w:t>
            </w:r>
            <w:r w:rsidR="002A361A">
              <w:rPr>
                <w:rFonts w:ascii="Times New Roman" w:hAnsi="Times New Roman" w:cs="Times New Roman"/>
                <w:sz w:val="28"/>
              </w:rPr>
              <w:t>22</w:t>
            </w:r>
          </w:p>
        </w:tc>
      </w:tr>
      <w:tr w:rsidR="005635A3" w:rsidRPr="005635A3" w:rsidTr="002A361A">
        <w:tc>
          <w:tcPr>
            <w:tcW w:w="9571" w:type="dxa"/>
          </w:tcPr>
          <w:p w:rsidR="005635A3" w:rsidRPr="005635A3" w:rsidRDefault="005635A3" w:rsidP="002A361A">
            <w:pPr>
              <w:pStyle w:val="a3"/>
              <w:numPr>
                <w:ilvl w:val="1"/>
                <w:numId w:val="13"/>
              </w:numPr>
              <w:spacing w:line="276" w:lineRule="auto"/>
              <w:jc w:val="both"/>
              <w:rPr>
                <w:rFonts w:ascii="Times New Roman" w:hAnsi="Times New Roman" w:cs="Times New Roman"/>
                <w:sz w:val="28"/>
              </w:rPr>
            </w:pPr>
            <w:r w:rsidRPr="005635A3">
              <w:rPr>
                <w:rFonts w:ascii="Times New Roman" w:hAnsi="Times New Roman" w:cs="Times New Roman"/>
                <w:sz w:val="28"/>
              </w:rPr>
              <w:t>Перспективные направления налоговой политики РФ</w:t>
            </w:r>
            <w:r w:rsidR="009E0CCF">
              <w:rPr>
                <w:rFonts w:ascii="Times New Roman" w:hAnsi="Times New Roman" w:cs="Times New Roman"/>
                <w:sz w:val="28"/>
              </w:rPr>
              <w:t>……………</w:t>
            </w:r>
            <w:r w:rsidR="002A361A">
              <w:rPr>
                <w:rFonts w:ascii="Times New Roman" w:hAnsi="Times New Roman" w:cs="Times New Roman"/>
                <w:sz w:val="28"/>
              </w:rPr>
              <w:t>.</w:t>
            </w:r>
            <w:r w:rsidR="009E0CCF">
              <w:rPr>
                <w:rFonts w:ascii="Times New Roman" w:hAnsi="Times New Roman" w:cs="Times New Roman"/>
                <w:sz w:val="28"/>
              </w:rPr>
              <w:t>….</w:t>
            </w:r>
            <w:r w:rsidR="002A361A">
              <w:rPr>
                <w:rFonts w:ascii="Times New Roman" w:hAnsi="Times New Roman" w:cs="Times New Roman"/>
                <w:sz w:val="28"/>
              </w:rPr>
              <w:t>26</w:t>
            </w:r>
          </w:p>
        </w:tc>
      </w:tr>
      <w:tr w:rsidR="005635A3" w:rsidRPr="005635A3" w:rsidTr="002A361A">
        <w:tc>
          <w:tcPr>
            <w:tcW w:w="9571" w:type="dxa"/>
          </w:tcPr>
          <w:p w:rsidR="005635A3" w:rsidRPr="00BC6764" w:rsidRDefault="005635A3" w:rsidP="002A361A">
            <w:pPr>
              <w:pStyle w:val="a3"/>
              <w:spacing w:line="276" w:lineRule="auto"/>
              <w:ind w:left="0"/>
              <w:jc w:val="both"/>
              <w:rPr>
                <w:rFonts w:ascii="Times New Roman" w:hAnsi="Times New Roman" w:cs="Times New Roman"/>
                <w:sz w:val="28"/>
              </w:rPr>
            </w:pPr>
            <w:r w:rsidRPr="00BC6764">
              <w:rPr>
                <w:rFonts w:ascii="Times New Roman" w:hAnsi="Times New Roman" w:cs="Times New Roman"/>
                <w:sz w:val="28"/>
              </w:rPr>
              <w:t>ЗАКЛЮЧЕНИЕ</w:t>
            </w:r>
            <w:r w:rsidR="009E0CCF">
              <w:rPr>
                <w:rFonts w:ascii="Times New Roman" w:hAnsi="Times New Roman" w:cs="Times New Roman"/>
                <w:sz w:val="28"/>
              </w:rPr>
              <w:t>…………………………………………………………………</w:t>
            </w:r>
            <w:r w:rsidR="002A361A">
              <w:rPr>
                <w:rFonts w:ascii="Times New Roman" w:hAnsi="Times New Roman" w:cs="Times New Roman"/>
                <w:sz w:val="28"/>
              </w:rPr>
              <w:t>31</w:t>
            </w:r>
          </w:p>
        </w:tc>
      </w:tr>
      <w:tr w:rsidR="005635A3" w:rsidRPr="005635A3" w:rsidTr="002A361A">
        <w:tc>
          <w:tcPr>
            <w:tcW w:w="9571" w:type="dxa"/>
          </w:tcPr>
          <w:p w:rsidR="005635A3" w:rsidRPr="00BC6764" w:rsidRDefault="005635A3" w:rsidP="002A361A">
            <w:pPr>
              <w:pStyle w:val="a3"/>
              <w:spacing w:line="276" w:lineRule="auto"/>
              <w:ind w:left="0"/>
              <w:jc w:val="both"/>
              <w:rPr>
                <w:rFonts w:ascii="Times New Roman" w:hAnsi="Times New Roman" w:cs="Times New Roman"/>
                <w:sz w:val="28"/>
              </w:rPr>
            </w:pPr>
            <w:r w:rsidRPr="00BC6764">
              <w:rPr>
                <w:rFonts w:ascii="Times New Roman" w:hAnsi="Times New Roman" w:cs="Times New Roman"/>
                <w:sz w:val="28"/>
              </w:rPr>
              <w:t>БИБЛИОГРАФИЧЕСКИЙ СПИСОК</w:t>
            </w:r>
            <w:r w:rsidR="009E0CCF">
              <w:rPr>
                <w:rFonts w:ascii="Times New Roman" w:hAnsi="Times New Roman" w:cs="Times New Roman"/>
                <w:sz w:val="28"/>
              </w:rPr>
              <w:t>…………………………………………..</w:t>
            </w:r>
            <w:r w:rsidR="002A361A">
              <w:rPr>
                <w:rFonts w:ascii="Times New Roman" w:hAnsi="Times New Roman" w:cs="Times New Roman"/>
                <w:sz w:val="28"/>
              </w:rPr>
              <w:t>33</w:t>
            </w:r>
          </w:p>
        </w:tc>
      </w:tr>
    </w:tbl>
    <w:p w:rsidR="005635A3" w:rsidRPr="005635A3" w:rsidRDefault="005635A3" w:rsidP="00F14087">
      <w:pPr>
        <w:jc w:val="both"/>
        <w:rPr>
          <w:rFonts w:ascii="Times New Roman" w:hAnsi="Times New Roman" w:cs="Times New Roman"/>
          <w:sz w:val="28"/>
        </w:rPr>
      </w:pPr>
    </w:p>
    <w:p w:rsidR="00533D16" w:rsidRDefault="00533D16" w:rsidP="00533D16">
      <w:pPr>
        <w:pStyle w:val="a3"/>
        <w:ind w:left="1440"/>
        <w:jc w:val="both"/>
        <w:rPr>
          <w:rFonts w:ascii="Times New Roman" w:hAnsi="Times New Roman" w:cs="Times New Roman"/>
          <w:sz w:val="28"/>
        </w:rPr>
      </w:pPr>
    </w:p>
    <w:p w:rsidR="0030378C" w:rsidRDefault="0030378C" w:rsidP="0030378C">
      <w:pPr>
        <w:pStyle w:val="a3"/>
        <w:ind w:left="1440"/>
        <w:jc w:val="both"/>
        <w:rPr>
          <w:rFonts w:ascii="Times New Roman" w:hAnsi="Times New Roman" w:cs="Times New Roman"/>
          <w:sz w:val="28"/>
        </w:rPr>
      </w:pPr>
    </w:p>
    <w:p w:rsidR="005C369A" w:rsidRDefault="005C369A" w:rsidP="00533D16">
      <w:pPr>
        <w:pStyle w:val="a3"/>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9E0CCF" w:rsidRDefault="009E0CCF" w:rsidP="005C369A">
      <w:pPr>
        <w:pStyle w:val="a3"/>
        <w:ind w:left="0"/>
        <w:jc w:val="both"/>
        <w:rPr>
          <w:rFonts w:ascii="Times New Roman" w:hAnsi="Times New Roman" w:cs="Times New Roman"/>
          <w:sz w:val="28"/>
        </w:rPr>
      </w:pPr>
    </w:p>
    <w:p w:rsidR="009E0CCF" w:rsidRDefault="009E0CCF" w:rsidP="005C369A">
      <w:pPr>
        <w:pStyle w:val="a3"/>
        <w:ind w:left="0"/>
        <w:jc w:val="both"/>
        <w:rPr>
          <w:rFonts w:ascii="Times New Roman" w:hAnsi="Times New Roman" w:cs="Times New Roman"/>
          <w:sz w:val="28"/>
        </w:rPr>
      </w:pPr>
    </w:p>
    <w:p w:rsidR="005C369A" w:rsidRDefault="005C369A" w:rsidP="005C369A">
      <w:pPr>
        <w:pStyle w:val="a3"/>
        <w:ind w:left="0"/>
        <w:jc w:val="both"/>
        <w:rPr>
          <w:rFonts w:ascii="Times New Roman" w:hAnsi="Times New Roman" w:cs="Times New Roman"/>
          <w:sz w:val="28"/>
        </w:rPr>
      </w:pPr>
    </w:p>
    <w:p w:rsidR="005C369A" w:rsidRPr="00435963" w:rsidRDefault="00435963" w:rsidP="00435963">
      <w:pPr>
        <w:pStyle w:val="a3"/>
        <w:ind w:left="0"/>
        <w:jc w:val="center"/>
        <w:rPr>
          <w:rFonts w:ascii="Times New Roman" w:hAnsi="Times New Roman" w:cs="Times New Roman"/>
          <w:b/>
          <w:sz w:val="28"/>
        </w:rPr>
      </w:pPr>
      <w:r w:rsidRPr="00435963">
        <w:rPr>
          <w:rFonts w:ascii="Times New Roman" w:hAnsi="Times New Roman" w:cs="Times New Roman"/>
          <w:b/>
          <w:sz w:val="28"/>
        </w:rPr>
        <w:t>ВВЕДЕНИЕ</w:t>
      </w:r>
    </w:p>
    <w:p w:rsidR="00435963" w:rsidRDefault="00435963" w:rsidP="003E0CEE">
      <w:pPr>
        <w:pStyle w:val="a3"/>
        <w:spacing w:after="0" w:line="360" w:lineRule="auto"/>
        <w:ind w:left="0" w:firstLine="709"/>
        <w:jc w:val="both"/>
        <w:rPr>
          <w:rFonts w:ascii="Times New Roman" w:hAnsi="Times New Roman" w:cs="Times New Roman"/>
          <w:sz w:val="28"/>
        </w:rPr>
      </w:pPr>
    </w:p>
    <w:p w:rsidR="00435963" w:rsidRDefault="003E0CEE" w:rsidP="00D56601">
      <w:pPr>
        <w:pStyle w:val="a3"/>
        <w:spacing w:after="0" w:line="360" w:lineRule="auto"/>
        <w:ind w:left="0" w:firstLine="709"/>
        <w:jc w:val="both"/>
        <w:rPr>
          <w:rFonts w:ascii="Times New Roman" w:hAnsi="Times New Roman" w:cs="Times New Roman"/>
          <w:sz w:val="28"/>
        </w:rPr>
      </w:pPr>
      <w:r w:rsidRPr="003E0CEE">
        <w:rPr>
          <w:rFonts w:ascii="Times New Roman" w:hAnsi="Times New Roman" w:cs="Times New Roman"/>
          <w:sz w:val="28"/>
        </w:rPr>
        <w:t>Эффективное формирование нал</w:t>
      </w:r>
      <w:r>
        <w:rPr>
          <w:rFonts w:ascii="Times New Roman" w:hAnsi="Times New Roman" w:cs="Times New Roman"/>
          <w:sz w:val="28"/>
        </w:rPr>
        <w:t xml:space="preserve">оговой политики в стране должно </w:t>
      </w:r>
      <w:r w:rsidRPr="003E0CEE">
        <w:rPr>
          <w:rFonts w:ascii="Times New Roman" w:hAnsi="Times New Roman" w:cs="Times New Roman"/>
          <w:sz w:val="28"/>
        </w:rPr>
        <w:t>способствовать развитию налогового потенциала каждого региона в</w:t>
      </w:r>
      <w:r>
        <w:rPr>
          <w:rFonts w:ascii="Times New Roman" w:hAnsi="Times New Roman" w:cs="Times New Roman"/>
          <w:sz w:val="28"/>
        </w:rPr>
        <w:t xml:space="preserve"> </w:t>
      </w:r>
      <w:r w:rsidRPr="003E0CEE">
        <w:rPr>
          <w:rFonts w:ascii="Times New Roman" w:hAnsi="Times New Roman" w:cs="Times New Roman"/>
          <w:sz w:val="28"/>
        </w:rPr>
        <w:t>отдельности и снижению его финансовой зависимости от федерального</w:t>
      </w:r>
      <w:r>
        <w:rPr>
          <w:rFonts w:ascii="Times New Roman" w:hAnsi="Times New Roman" w:cs="Times New Roman"/>
          <w:sz w:val="28"/>
        </w:rPr>
        <w:t xml:space="preserve"> </w:t>
      </w:r>
      <w:r w:rsidRPr="003E0CEE">
        <w:rPr>
          <w:rFonts w:ascii="Times New Roman" w:hAnsi="Times New Roman" w:cs="Times New Roman"/>
          <w:sz w:val="28"/>
        </w:rPr>
        <w:t>бюджета. Это одна из ключевых проблем как субнациональных</w:t>
      </w:r>
      <w:r>
        <w:rPr>
          <w:rFonts w:ascii="Times New Roman" w:hAnsi="Times New Roman" w:cs="Times New Roman"/>
          <w:sz w:val="28"/>
        </w:rPr>
        <w:t xml:space="preserve"> </w:t>
      </w:r>
      <w:r w:rsidRPr="003E0CEE">
        <w:rPr>
          <w:rFonts w:ascii="Times New Roman" w:hAnsi="Times New Roman" w:cs="Times New Roman"/>
          <w:sz w:val="28"/>
        </w:rPr>
        <w:t>образований, так и федерального центра</w:t>
      </w:r>
      <w:r>
        <w:rPr>
          <w:rFonts w:ascii="Times New Roman" w:hAnsi="Times New Roman" w:cs="Times New Roman"/>
          <w:sz w:val="28"/>
        </w:rPr>
        <w:t xml:space="preserve">. Собственных налоговых доходов </w:t>
      </w:r>
      <w:r w:rsidRPr="003E0CEE">
        <w:rPr>
          <w:rFonts w:ascii="Times New Roman" w:hAnsi="Times New Roman" w:cs="Times New Roman"/>
          <w:sz w:val="28"/>
        </w:rPr>
        <w:t>как регионов, так и муниципальных образований не хватает на полное</w:t>
      </w:r>
      <w:r>
        <w:rPr>
          <w:rFonts w:ascii="Times New Roman" w:hAnsi="Times New Roman" w:cs="Times New Roman"/>
          <w:sz w:val="28"/>
        </w:rPr>
        <w:t xml:space="preserve"> </w:t>
      </w:r>
      <w:r w:rsidRPr="003E0CEE">
        <w:rPr>
          <w:rFonts w:ascii="Times New Roman" w:hAnsi="Times New Roman" w:cs="Times New Roman"/>
          <w:sz w:val="28"/>
        </w:rPr>
        <w:t>финансирование их расходных обязательс</w:t>
      </w:r>
      <w:r>
        <w:rPr>
          <w:rFonts w:ascii="Times New Roman" w:hAnsi="Times New Roman" w:cs="Times New Roman"/>
          <w:sz w:val="28"/>
        </w:rPr>
        <w:t xml:space="preserve">тв, закрепленных соответственно </w:t>
      </w:r>
      <w:r w:rsidRPr="003E0CEE">
        <w:rPr>
          <w:rFonts w:ascii="Times New Roman" w:hAnsi="Times New Roman" w:cs="Times New Roman"/>
          <w:sz w:val="28"/>
        </w:rPr>
        <w:t>за региональным и муниципальным уровнями власти, и на их</w:t>
      </w:r>
      <w:r>
        <w:rPr>
          <w:rFonts w:ascii="Times New Roman" w:hAnsi="Times New Roman" w:cs="Times New Roman"/>
          <w:sz w:val="28"/>
        </w:rPr>
        <w:t xml:space="preserve"> </w:t>
      </w:r>
      <w:r w:rsidRPr="003E0CEE">
        <w:rPr>
          <w:rFonts w:ascii="Times New Roman" w:hAnsi="Times New Roman" w:cs="Times New Roman"/>
          <w:sz w:val="28"/>
        </w:rPr>
        <w:t>инвестиционное развитие. И за последн</w:t>
      </w:r>
      <w:r>
        <w:rPr>
          <w:rFonts w:ascii="Times New Roman" w:hAnsi="Times New Roman" w:cs="Times New Roman"/>
          <w:sz w:val="28"/>
        </w:rPr>
        <w:t xml:space="preserve">ие несколько лет острота данной </w:t>
      </w:r>
      <w:r w:rsidRPr="003E0CEE">
        <w:rPr>
          <w:rFonts w:ascii="Times New Roman" w:hAnsi="Times New Roman" w:cs="Times New Roman"/>
          <w:sz w:val="28"/>
        </w:rPr>
        <w:t>проблемы только возрастает. Экономическая ситуация в стране в</w:t>
      </w:r>
      <w:r w:rsidR="00455BE2">
        <w:rPr>
          <w:rFonts w:ascii="Times New Roman" w:hAnsi="Times New Roman" w:cs="Times New Roman"/>
          <w:sz w:val="28"/>
        </w:rPr>
        <w:t xml:space="preserve"> </w:t>
      </w:r>
      <w:r w:rsidRPr="00455BE2">
        <w:rPr>
          <w:rFonts w:ascii="Times New Roman" w:hAnsi="Times New Roman" w:cs="Times New Roman"/>
          <w:sz w:val="28"/>
        </w:rPr>
        <w:t>настоящее время не позволяет федеральному уровню обеспечить</w:t>
      </w:r>
      <w:r w:rsidR="00455BE2">
        <w:rPr>
          <w:rFonts w:ascii="Times New Roman" w:hAnsi="Times New Roman" w:cs="Times New Roman"/>
          <w:sz w:val="28"/>
        </w:rPr>
        <w:t xml:space="preserve"> </w:t>
      </w:r>
      <w:r w:rsidRPr="00455BE2">
        <w:rPr>
          <w:rFonts w:ascii="Times New Roman" w:hAnsi="Times New Roman" w:cs="Times New Roman"/>
          <w:sz w:val="28"/>
        </w:rPr>
        <w:t>финансирование нижестоящих бюджетов даже в прежних объемах.</w:t>
      </w:r>
    </w:p>
    <w:p w:rsidR="00455BE2" w:rsidRDefault="00D56601" w:rsidP="00D56601">
      <w:pPr>
        <w:pStyle w:val="a3"/>
        <w:spacing w:after="0" w:line="360" w:lineRule="auto"/>
        <w:ind w:left="0" w:firstLine="709"/>
        <w:jc w:val="both"/>
        <w:rPr>
          <w:rFonts w:ascii="Times New Roman" w:hAnsi="Times New Roman" w:cs="Times New Roman"/>
          <w:sz w:val="28"/>
        </w:rPr>
      </w:pPr>
      <w:r w:rsidRPr="00D56601">
        <w:rPr>
          <w:rFonts w:ascii="Times New Roman" w:hAnsi="Times New Roman" w:cs="Times New Roman"/>
          <w:sz w:val="28"/>
        </w:rPr>
        <w:t>Несмотря на принятые решения</w:t>
      </w:r>
      <w:r>
        <w:rPr>
          <w:rFonts w:ascii="Times New Roman" w:hAnsi="Times New Roman" w:cs="Times New Roman"/>
          <w:sz w:val="28"/>
        </w:rPr>
        <w:t xml:space="preserve"> по совершенствованию налоговой </w:t>
      </w:r>
      <w:r w:rsidRPr="00D56601">
        <w:rPr>
          <w:rFonts w:ascii="Times New Roman" w:hAnsi="Times New Roman" w:cs="Times New Roman"/>
          <w:sz w:val="28"/>
        </w:rPr>
        <w:t>политики России, в системе региональных экономических отношений</w:t>
      </w:r>
      <w:r>
        <w:rPr>
          <w:rFonts w:ascii="Times New Roman" w:hAnsi="Times New Roman" w:cs="Times New Roman"/>
          <w:sz w:val="28"/>
        </w:rPr>
        <w:t xml:space="preserve"> </w:t>
      </w:r>
      <w:r w:rsidRPr="00D56601">
        <w:rPr>
          <w:rFonts w:ascii="Times New Roman" w:hAnsi="Times New Roman" w:cs="Times New Roman"/>
          <w:sz w:val="28"/>
        </w:rPr>
        <w:t>имеются значительные недостатки. Они серьезно влияют на объем</w:t>
      </w:r>
      <w:r>
        <w:rPr>
          <w:rFonts w:ascii="Times New Roman" w:hAnsi="Times New Roman" w:cs="Times New Roman"/>
          <w:sz w:val="28"/>
        </w:rPr>
        <w:t xml:space="preserve"> </w:t>
      </w:r>
      <w:r w:rsidRPr="00D56601">
        <w:rPr>
          <w:rFonts w:ascii="Times New Roman" w:hAnsi="Times New Roman" w:cs="Times New Roman"/>
          <w:sz w:val="28"/>
        </w:rPr>
        <w:t>валового регионального продукта, нарушают систему доходов регионов,</w:t>
      </w:r>
      <w:r>
        <w:rPr>
          <w:rFonts w:ascii="Times New Roman" w:hAnsi="Times New Roman" w:cs="Times New Roman"/>
          <w:sz w:val="28"/>
        </w:rPr>
        <w:t xml:space="preserve"> </w:t>
      </w:r>
      <w:r w:rsidRPr="00D56601">
        <w:rPr>
          <w:rFonts w:ascii="Times New Roman" w:hAnsi="Times New Roman" w:cs="Times New Roman"/>
          <w:sz w:val="28"/>
        </w:rPr>
        <w:t>снижают инвестиционную привлекательность, препятствуют</w:t>
      </w:r>
      <w:r>
        <w:rPr>
          <w:rFonts w:ascii="Times New Roman" w:hAnsi="Times New Roman" w:cs="Times New Roman"/>
          <w:sz w:val="28"/>
        </w:rPr>
        <w:t xml:space="preserve"> </w:t>
      </w:r>
      <w:r w:rsidR="000E3D57">
        <w:rPr>
          <w:rFonts w:ascii="Times New Roman" w:hAnsi="Times New Roman" w:cs="Times New Roman"/>
          <w:sz w:val="28"/>
        </w:rPr>
        <w:t>инновационной деятельности, что обуславливает актуальность выбранной темы.</w:t>
      </w:r>
    </w:p>
    <w:p w:rsidR="00172F8B" w:rsidRDefault="00172F8B" w:rsidP="00D5660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Целью данной работы является исследование бюджета и налоговой политики </w:t>
      </w:r>
      <w:r w:rsidRPr="00172F8B">
        <w:rPr>
          <w:rFonts w:ascii="Times New Roman" w:hAnsi="Times New Roman" w:cs="Times New Roman"/>
          <w:sz w:val="28"/>
        </w:rPr>
        <w:t>России в современных условиях</w:t>
      </w:r>
      <w:r>
        <w:rPr>
          <w:rFonts w:ascii="Times New Roman" w:hAnsi="Times New Roman" w:cs="Times New Roman"/>
          <w:sz w:val="28"/>
        </w:rPr>
        <w:t>.</w:t>
      </w:r>
    </w:p>
    <w:p w:rsidR="00172F8B" w:rsidRDefault="00172F8B" w:rsidP="00D5660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Исходя из поставленной цели в рамках данной работы предполагается решение следующих задач:</w:t>
      </w:r>
    </w:p>
    <w:p w:rsidR="00172F8B" w:rsidRDefault="00172F8B" w:rsidP="00172F8B">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изучение состава и структуры </w:t>
      </w:r>
      <w:r w:rsidRPr="00172F8B">
        <w:rPr>
          <w:rFonts w:ascii="Times New Roman" w:hAnsi="Times New Roman" w:cs="Times New Roman"/>
          <w:sz w:val="28"/>
        </w:rPr>
        <w:t>бюджетов различных уровней</w:t>
      </w:r>
      <w:r>
        <w:rPr>
          <w:rFonts w:ascii="Times New Roman" w:hAnsi="Times New Roman" w:cs="Times New Roman"/>
          <w:sz w:val="28"/>
        </w:rPr>
        <w:t>;</w:t>
      </w:r>
    </w:p>
    <w:p w:rsidR="00172F8B" w:rsidRDefault="00172F8B" w:rsidP="00172F8B">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рассмотрение понятия и методов </w:t>
      </w:r>
      <w:r w:rsidRPr="00172F8B">
        <w:rPr>
          <w:rFonts w:ascii="Times New Roman" w:hAnsi="Times New Roman" w:cs="Times New Roman"/>
          <w:sz w:val="28"/>
        </w:rPr>
        <w:t xml:space="preserve"> реализации налоговой политики</w:t>
      </w:r>
      <w:r>
        <w:rPr>
          <w:rFonts w:ascii="Times New Roman" w:hAnsi="Times New Roman" w:cs="Times New Roman"/>
          <w:sz w:val="28"/>
        </w:rPr>
        <w:t>;</w:t>
      </w:r>
    </w:p>
    <w:p w:rsidR="00172F8B" w:rsidRDefault="00172F8B" w:rsidP="00172F8B">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а</w:t>
      </w:r>
      <w:r w:rsidRPr="00172F8B">
        <w:rPr>
          <w:rFonts w:ascii="Times New Roman" w:hAnsi="Times New Roman" w:cs="Times New Roman"/>
          <w:sz w:val="28"/>
        </w:rPr>
        <w:t>нализ динамики доходов и расходов федерального бюджета РФ</w:t>
      </w:r>
      <w:r>
        <w:rPr>
          <w:rFonts w:ascii="Times New Roman" w:hAnsi="Times New Roman" w:cs="Times New Roman"/>
          <w:sz w:val="28"/>
        </w:rPr>
        <w:t>;</w:t>
      </w:r>
    </w:p>
    <w:p w:rsidR="00172F8B" w:rsidRDefault="00172F8B" w:rsidP="00172F8B">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о</w:t>
      </w:r>
      <w:r w:rsidRPr="00172F8B">
        <w:rPr>
          <w:rFonts w:ascii="Times New Roman" w:hAnsi="Times New Roman" w:cs="Times New Roman"/>
          <w:sz w:val="28"/>
        </w:rPr>
        <w:t>ценка структуры доходной части федерального бюджета РФ</w:t>
      </w:r>
      <w:r>
        <w:rPr>
          <w:rFonts w:ascii="Times New Roman" w:hAnsi="Times New Roman" w:cs="Times New Roman"/>
          <w:sz w:val="28"/>
        </w:rPr>
        <w:t>;</w:t>
      </w:r>
    </w:p>
    <w:p w:rsidR="00172F8B" w:rsidRDefault="00172F8B" w:rsidP="00172F8B">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определение особенностей </w:t>
      </w:r>
      <w:r w:rsidRPr="00172F8B">
        <w:rPr>
          <w:rFonts w:ascii="Times New Roman" w:hAnsi="Times New Roman" w:cs="Times New Roman"/>
          <w:sz w:val="28"/>
        </w:rPr>
        <w:t>налоговой политики РФ</w:t>
      </w:r>
      <w:r>
        <w:rPr>
          <w:rFonts w:ascii="Times New Roman" w:hAnsi="Times New Roman" w:cs="Times New Roman"/>
          <w:sz w:val="28"/>
        </w:rPr>
        <w:t>;</w:t>
      </w:r>
    </w:p>
    <w:p w:rsidR="00172F8B" w:rsidRDefault="00172F8B" w:rsidP="00172F8B">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выявление перспективных направлений </w:t>
      </w:r>
      <w:r w:rsidRPr="00172F8B">
        <w:rPr>
          <w:rFonts w:ascii="Times New Roman" w:hAnsi="Times New Roman" w:cs="Times New Roman"/>
          <w:sz w:val="28"/>
        </w:rPr>
        <w:t>налоговой политики РФ</w:t>
      </w:r>
      <w:r>
        <w:rPr>
          <w:rFonts w:ascii="Times New Roman" w:hAnsi="Times New Roman" w:cs="Times New Roman"/>
          <w:sz w:val="28"/>
        </w:rPr>
        <w:t>.</w:t>
      </w:r>
    </w:p>
    <w:p w:rsidR="00172F8B" w:rsidRDefault="00172F8B" w:rsidP="00D3101D">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Объектом исследования в работе выступает бюджет и его составляющие.</w:t>
      </w:r>
    </w:p>
    <w:p w:rsidR="00172F8B" w:rsidRDefault="00172F8B" w:rsidP="00D3101D">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Предметом исследования в работе выступает налоговая политика РФ.</w:t>
      </w:r>
    </w:p>
    <w:p w:rsidR="00D3101D" w:rsidRPr="00D3101D" w:rsidRDefault="007B27EA" w:rsidP="00D3101D">
      <w:pPr>
        <w:pStyle w:val="a3"/>
        <w:spacing w:after="0" w:line="360" w:lineRule="auto"/>
        <w:ind w:left="0" w:firstLine="709"/>
        <w:jc w:val="both"/>
        <w:rPr>
          <w:rFonts w:ascii="Times New Roman" w:hAnsi="Times New Roman" w:cs="Times New Roman"/>
          <w:sz w:val="28"/>
        </w:rPr>
      </w:pPr>
      <w:r w:rsidRPr="007B27EA">
        <w:rPr>
          <w:rFonts w:ascii="Times New Roman" w:hAnsi="Times New Roman" w:cs="Times New Roman"/>
          <w:sz w:val="28"/>
        </w:rPr>
        <w:t xml:space="preserve">В данной работе были использованы  следующие работы в области исследования </w:t>
      </w:r>
      <w:r>
        <w:rPr>
          <w:rFonts w:ascii="Times New Roman" w:hAnsi="Times New Roman" w:cs="Times New Roman"/>
          <w:sz w:val="28"/>
        </w:rPr>
        <w:t>бюджетной и налоговой политики РФ</w:t>
      </w:r>
      <w:r w:rsidRPr="007B27EA">
        <w:rPr>
          <w:rFonts w:ascii="Times New Roman" w:hAnsi="Times New Roman" w:cs="Times New Roman"/>
          <w:sz w:val="28"/>
        </w:rPr>
        <w:t xml:space="preserve">: </w:t>
      </w:r>
      <w:r w:rsidR="00D3101D">
        <w:rPr>
          <w:rFonts w:ascii="Times New Roman" w:hAnsi="Times New Roman" w:cs="Times New Roman"/>
          <w:sz w:val="28"/>
        </w:rPr>
        <w:t xml:space="preserve">Артемьева А.А., Бобинкина С.А., Домбровского Е. А., Куликова II. И., </w:t>
      </w:r>
      <w:r w:rsidR="00D3101D">
        <w:rPr>
          <w:rFonts w:ascii="Times New Roman" w:hAnsi="Times New Roman" w:cs="Times New Roman"/>
          <w:sz w:val="28"/>
        </w:rPr>
        <w:tab/>
        <w:t>Куцегреевой Л. В., Панскова В. Г., Федотовой Г.А., Андреевой О.В., Воронковой</w:t>
      </w:r>
      <w:r w:rsidR="00D3101D" w:rsidRPr="00D3101D">
        <w:rPr>
          <w:rFonts w:ascii="Times New Roman" w:hAnsi="Times New Roman" w:cs="Times New Roman"/>
          <w:sz w:val="28"/>
        </w:rPr>
        <w:t xml:space="preserve"> О.Н., Гульпенко К.В. </w:t>
      </w:r>
      <w:r w:rsidR="00D3101D">
        <w:rPr>
          <w:rFonts w:ascii="Times New Roman" w:hAnsi="Times New Roman" w:cs="Times New Roman"/>
          <w:sz w:val="28"/>
        </w:rPr>
        <w:t xml:space="preserve">и др. </w:t>
      </w:r>
    </w:p>
    <w:p w:rsidR="00172F8B" w:rsidRDefault="007B27EA" w:rsidP="007B27EA">
      <w:pPr>
        <w:pStyle w:val="a3"/>
        <w:spacing w:after="0" w:line="360" w:lineRule="auto"/>
        <w:ind w:left="0" w:firstLine="709"/>
        <w:jc w:val="both"/>
        <w:rPr>
          <w:rFonts w:ascii="Times New Roman" w:hAnsi="Times New Roman" w:cs="Times New Roman"/>
          <w:sz w:val="28"/>
        </w:rPr>
      </w:pPr>
      <w:r w:rsidRPr="007B27EA">
        <w:rPr>
          <w:rFonts w:ascii="Times New Roman" w:hAnsi="Times New Roman" w:cs="Times New Roman"/>
          <w:sz w:val="28"/>
        </w:rPr>
        <w:t xml:space="preserve">Теоретической и методологической основой данной работы стали </w:t>
      </w:r>
      <w:r>
        <w:rPr>
          <w:rFonts w:ascii="Times New Roman" w:hAnsi="Times New Roman" w:cs="Times New Roman"/>
          <w:sz w:val="28"/>
        </w:rPr>
        <w:t xml:space="preserve">нормативно-правовые акты, закрепляющие основы бюджетной и налоговой политики, </w:t>
      </w:r>
      <w:r w:rsidRPr="007B27EA">
        <w:rPr>
          <w:rFonts w:ascii="Times New Roman" w:hAnsi="Times New Roman" w:cs="Times New Roman"/>
          <w:sz w:val="28"/>
        </w:rPr>
        <w:t xml:space="preserve">труды ведущих отечественных и зарубежных специалистов, раскрывающие </w:t>
      </w:r>
      <w:r>
        <w:rPr>
          <w:rFonts w:ascii="Times New Roman" w:hAnsi="Times New Roman" w:cs="Times New Roman"/>
          <w:sz w:val="28"/>
        </w:rPr>
        <w:t>структуру бюджета</w:t>
      </w:r>
      <w:r w:rsidRPr="007B27EA">
        <w:rPr>
          <w:rFonts w:ascii="Times New Roman" w:hAnsi="Times New Roman" w:cs="Times New Roman"/>
          <w:sz w:val="28"/>
        </w:rPr>
        <w:t xml:space="preserve">, </w:t>
      </w:r>
      <w:r>
        <w:rPr>
          <w:rFonts w:ascii="Times New Roman" w:hAnsi="Times New Roman" w:cs="Times New Roman"/>
          <w:sz w:val="28"/>
        </w:rPr>
        <w:t>основные методы реализации налоговой политики</w:t>
      </w:r>
      <w:r w:rsidRPr="007B27EA">
        <w:rPr>
          <w:rFonts w:ascii="Times New Roman" w:hAnsi="Times New Roman" w:cs="Times New Roman"/>
          <w:sz w:val="28"/>
        </w:rPr>
        <w:t>.</w:t>
      </w:r>
    </w:p>
    <w:p w:rsidR="005635A3" w:rsidRDefault="005635A3" w:rsidP="007B27E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Работа представлена введением, тремя главами, заключением и библиографическим списком. Во введении обусловлена актуальность выбранной темы, определены цель и задачи работы, а так же объект и предмет.</w:t>
      </w:r>
    </w:p>
    <w:p w:rsidR="007B27EA" w:rsidRDefault="005635A3" w:rsidP="005635A3">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Первый раздел посвящен </w:t>
      </w:r>
      <w:r w:rsidRPr="005635A3">
        <w:rPr>
          <w:rFonts w:ascii="Times New Roman" w:hAnsi="Times New Roman" w:cs="Times New Roman"/>
          <w:sz w:val="28"/>
        </w:rPr>
        <w:t>теоретически</w:t>
      </w:r>
      <w:r>
        <w:rPr>
          <w:rFonts w:ascii="Times New Roman" w:hAnsi="Times New Roman" w:cs="Times New Roman"/>
          <w:sz w:val="28"/>
        </w:rPr>
        <w:t>м аспектам</w:t>
      </w:r>
      <w:r w:rsidRPr="005635A3">
        <w:rPr>
          <w:rFonts w:ascii="Times New Roman" w:hAnsi="Times New Roman" w:cs="Times New Roman"/>
          <w:sz w:val="28"/>
        </w:rPr>
        <w:t xml:space="preserve"> формирования бюджета и рол</w:t>
      </w:r>
      <w:r>
        <w:rPr>
          <w:rFonts w:ascii="Times New Roman" w:hAnsi="Times New Roman" w:cs="Times New Roman"/>
          <w:sz w:val="28"/>
        </w:rPr>
        <w:t>и</w:t>
      </w:r>
      <w:r w:rsidRPr="005635A3">
        <w:rPr>
          <w:rFonts w:ascii="Times New Roman" w:hAnsi="Times New Roman" w:cs="Times New Roman"/>
          <w:sz w:val="28"/>
        </w:rPr>
        <w:t xml:space="preserve"> налоговой политики в формировании бюджета</w:t>
      </w:r>
      <w:r>
        <w:rPr>
          <w:rFonts w:ascii="Times New Roman" w:hAnsi="Times New Roman" w:cs="Times New Roman"/>
          <w:sz w:val="28"/>
        </w:rPr>
        <w:t xml:space="preserve">. Второй раздел  состоит в </w:t>
      </w:r>
      <w:r w:rsidRPr="005635A3">
        <w:rPr>
          <w:rFonts w:ascii="Times New Roman" w:hAnsi="Times New Roman" w:cs="Times New Roman"/>
          <w:sz w:val="28"/>
        </w:rPr>
        <w:t>анализ</w:t>
      </w:r>
      <w:r>
        <w:rPr>
          <w:rFonts w:ascii="Times New Roman" w:hAnsi="Times New Roman" w:cs="Times New Roman"/>
          <w:sz w:val="28"/>
        </w:rPr>
        <w:t>е</w:t>
      </w:r>
      <w:r w:rsidRPr="005635A3">
        <w:rPr>
          <w:rFonts w:ascii="Times New Roman" w:hAnsi="Times New Roman" w:cs="Times New Roman"/>
          <w:sz w:val="28"/>
        </w:rPr>
        <w:t xml:space="preserve"> бюджета и приоритетных н</w:t>
      </w:r>
      <w:r>
        <w:rPr>
          <w:rFonts w:ascii="Times New Roman" w:hAnsi="Times New Roman" w:cs="Times New Roman"/>
          <w:sz w:val="28"/>
        </w:rPr>
        <w:t xml:space="preserve">аправлений налоговой политики РФ. Третий раздел содержит определенные в рамках работы </w:t>
      </w:r>
      <w:r w:rsidRPr="005635A3">
        <w:rPr>
          <w:rFonts w:ascii="Times New Roman" w:hAnsi="Times New Roman" w:cs="Times New Roman"/>
          <w:sz w:val="28"/>
        </w:rPr>
        <w:t>пути достижения сбалансированности бюджета</w:t>
      </w:r>
      <w:r>
        <w:rPr>
          <w:rFonts w:ascii="Times New Roman" w:hAnsi="Times New Roman" w:cs="Times New Roman"/>
          <w:sz w:val="28"/>
        </w:rPr>
        <w:t xml:space="preserve">. </w:t>
      </w:r>
    </w:p>
    <w:p w:rsidR="005635A3" w:rsidRPr="005635A3" w:rsidRDefault="005635A3" w:rsidP="005635A3">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В заключении подводятся итоги проделанной работы.</w:t>
      </w:r>
    </w:p>
    <w:p w:rsidR="000E3D57" w:rsidRDefault="000E3D57" w:rsidP="00D56601">
      <w:pPr>
        <w:pStyle w:val="a3"/>
        <w:spacing w:after="0" w:line="360" w:lineRule="auto"/>
        <w:ind w:left="0" w:firstLine="709"/>
        <w:jc w:val="both"/>
        <w:rPr>
          <w:rFonts w:ascii="Times New Roman" w:hAnsi="Times New Roman" w:cs="Times New Roman"/>
          <w:sz w:val="28"/>
        </w:rPr>
      </w:pPr>
    </w:p>
    <w:p w:rsidR="000E3D57" w:rsidRPr="00455BE2" w:rsidRDefault="000E3D57" w:rsidP="00D56601">
      <w:pPr>
        <w:pStyle w:val="a3"/>
        <w:spacing w:after="0" w:line="360" w:lineRule="auto"/>
        <w:ind w:left="0" w:firstLine="709"/>
        <w:jc w:val="both"/>
        <w:rPr>
          <w:rFonts w:ascii="Times New Roman" w:hAnsi="Times New Roman" w:cs="Times New Roman"/>
          <w:sz w:val="28"/>
        </w:rPr>
      </w:pPr>
    </w:p>
    <w:p w:rsidR="00435963" w:rsidRDefault="00435963" w:rsidP="005C369A">
      <w:pPr>
        <w:pStyle w:val="a3"/>
        <w:ind w:left="0"/>
        <w:jc w:val="both"/>
        <w:rPr>
          <w:rFonts w:ascii="Times New Roman" w:hAnsi="Times New Roman" w:cs="Times New Roman"/>
          <w:sz w:val="28"/>
        </w:rPr>
      </w:pPr>
    </w:p>
    <w:p w:rsidR="00435963" w:rsidRDefault="00435963" w:rsidP="005C369A">
      <w:pPr>
        <w:pStyle w:val="a3"/>
        <w:ind w:left="0"/>
        <w:jc w:val="both"/>
        <w:rPr>
          <w:rFonts w:ascii="Times New Roman" w:hAnsi="Times New Roman" w:cs="Times New Roman"/>
          <w:sz w:val="28"/>
        </w:rPr>
      </w:pPr>
    </w:p>
    <w:p w:rsidR="00435963" w:rsidRDefault="00435963" w:rsidP="005C369A">
      <w:pPr>
        <w:pStyle w:val="a3"/>
        <w:ind w:left="0"/>
        <w:jc w:val="both"/>
        <w:rPr>
          <w:rFonts w:ascii="Times New Roman" w:hAnsi="Times New Roman" w:cs="Times New Roman"/>
          <w:sz w:val="28"/>
        </w:rPr>
      </w:pPr>
    </w:p>
    <w:p w:rsidR="007B27EA" w:rsidRDefault="007B27EA" w:rsidP="005C369A">
      <w:pPr>
        <w:pStyle w:val="a3"/>
        <w:ind w:left="0"/>
        <w:jc w:val="both"/>
        <w:rPr>
          <w:rFonts w:ascii="Times New Roman" w:hAnsi="Times New Roman" w:cs="Times New Roman"/>
          <w:sz w:val="28"/>
        </w:rPr>
      </w:pPr>
    </w:p>
    <w:p w:rsidR="007B27EA" w:rsidRDefault="007B27EA" w:rsidP="005C369A">
      <w:pPr>
        <w:pStyle w:val="a3"/>
        <w:ind w:left="0"/>
        <w:jc w:val="both"/>
        <w:rPr>
          <w:rFonts w:ascii="Times New Roman" w:hAnsi="Times New Roman" w:cs="Times New Roman"/>
          <w:sz w:val="28"/>
        </w:rPr>
      </w:pPr>
    </w:p>
    <w:p w:rsidR="007B27EA" w:rsidRDefault="007B27EA" w:rsidP="005C369A">
      <w:pPr>
        <w:pStyle w:val="a3"/>
        <w:ind w:left="0"/>
        <w:jc w:val="both"/>
        <w:rPr>
          <w:rFonts w:ascii="Times New Roman" w:hAnsi="Times New Roman" w:cs="Times New Roman"/>
          <w:sz w:val="28"/>
        </w:rPr>
      </w:pPr>
    </w:p>
    <w:p w:rsidR="007B27EA" w:rsidRDefault="007B27EA" w:rsidP="005C369A">
      <w:pPr>
        <w:pStyle w:val="a3"/>
        <w:ind w:left="0"/>
        <w:jc w:val="both"/>
        <w:rPr>
          <w:rFonts w:ascii="Times New Roman" w:hAnsi="Times New Roman" w:cs="Times New Roman"/>
          <w:sz w:val="28"/>
        </w:rPr>
      </w:pPr>
    </w:p>
    <w:p w:rsidR="007B27EA" w:rsidRDefault="007B27EA" w:rsidP="005C369A">
      <w:pPr>
        <w:pStyle w:val="a3"/>
        <w:ind w:left="0"/>
        <w:jc w:val="both"/>
        <w:rPr>
          <w:rFonts w:ascii="Times New Roman" w:hAnsi="Times New Roman" w:cs="Times New Roman"/>
          <w:sz w:val="28"/>
        </w:rPr>
      </w:pPr>
    </w:p>
    <w:p w:rsidR="007B27EA" w:rsidRDefault="007B27EA" w:rsidP="005C369A">
      <w:pPr>
        <w:pStyle w:val="a3"/>
        <w:ind w:left="0"/>
        <w:jc w:val="both"/>
        <w:rPr>
          <w:rFonts w:ascii="Times New Roman" w:hAnsi="Times New Roman" w:cs="Times New Roman"/>
          <w:sz w:val="28"/>
        </w:rPr>
      </w:pPr>
    </w:p>
    <w:p w:rsidR="005C369A" w:rsidRPr="005C369A" w:rsidRDefault="005C369A" w:rsidP="00E106E7">
      <w:pPr>
        <w:pStyle w:val="a3"/>
        <w:ind w:left="0" w:firstLine="709"/>
        <w:jc w:val="both"/>
        <w:rPr>
          <w:rFonts w:ascii="Times New Roman" w:hAnsi="Times New Roman" w:cs="Times New Roman"/>
          <w:b/>
          <w:sz w:val="28"/>
        </w:rPr>
      </w:pPr>
      <w:r w:rsidRPr="005C369A">
        <w:rPr>
          <w:rFonts w:ascii="Times New Roman" w:hAnsi="Times New Roman" w:cs="Times New Roman"/>
          <w:b/>
          <w:sz w:val="28"/>
        </w:rPr>
        <w:t>1.</w:t>
      </w:r>
      <w:r w:rsidRPr="005C369A">
        <w:rPr>
          <w:rFonts w:ascii="Times New Roman" w:hAnsi="Times New Roman" w:cs="Times New Roman"/>
          <w:b/>
          <w:sz w:val="28"/>
        </w:rPr>
        <w:tab/>
        <w:t>Теоретические аспекты формирования бюджета и роль налоговой политики в формировании бюджета</w:t>
      </w:r>
    </w:p>
    <w:p w:rsidR="005C369A" w:rsidRDefault="005C369A" w:rsidP="00E106E7">
      <w:pPr>
        <w:pStyle w:val="a3"/>
        <w:ind w:left="0" w:firstLine="709"/>
        <w:jc w:val="both"/>
        <w:rPr>
          <w:rFonts w:ascii="Times New Roman" w:hAnsi="Times New Roman" w:cs="Times New Roman"/>
          <w:b/>
          <w:sz w:val="28"/>
        </w:rPr>
      </w:pPr>
      <w:r w:rsidRPr="005C369A">
        <w:rPr>
          <w:rFonts w:ascii="Times New Roman" w:hAnsi="Times New Roman" w:cs="Times New Roman"/>
          <w:b/>
          <w:sz w:val="28"/>
        </w:rPr>
        <w:t>1.1.</w:t>
      </w:r>
      <w:r w:rsidRPr="005C369A">
        <w:rPr>
          <w:rFonts w:ascii="Times New Roman" w:hAnsi="Times New Roman" w:cs="Times New Roman"/>
          <w:b/>
          <w:sz w:val="28"/>
        </w:rPr>
        <w:tab/>
        <w:t>Состав и структура бюджетов различных уровней</w:t>
      </w:r>
    </w:p>
    <w:p w:rsidR="005C369A" w:rsidRDefault="005C369A" w:rsidP="00E106E7">
      <w:pPr>
        <w:pStyle w:val="a3"/>
        <w:spacing w:line="240" w:lineRule="auto"/>
        <w:ind w:left="0"/>
        <w:jc w:val="both"/>
        <w:rPr>
          <w:rFonts w:ascii="Times New Roman" w:hAnsi="Times New Roman" w:cs="Times New Roman"/>
          <w:b/>
          <w:sz w:val="28"/>
        </w:rPr>
      </w:pPr>
    </w:p>
    <w:p w:rsidR="00E106E7" w:rsidRPr="00E106E7" w:rsidRDefault="00E106E7" w:rsidP="00E106E7">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xml:space="preserve">Главную роль в развитии экономики любого общества играет государство, осуществляя при этом в позиции своей власти экономическую политику. Одной из составляющих частей, позволяющих государству контролировать экономическую структуру является финансовая система общества, главным подразделение которой является государственный бюджет. Именно с помощью финансовой системы государство образует, централизованные фонды и воздействует на развитие и формирование </w:t>
      </w:r>
      <w:r w:rsidRPr="00E106E7">
        <w:rPr>
          <w:rFonts w:ascii="Times New Roman" w:eastAsia="Times New Roman" w:hAnsi="Times New Roman" w:cs="Times New Roman"/>
          <w:sz w:val="28"/>
          <w:szCs w:val="28"/>
        </w:rPr>
        <w:lastRenderedPageBreak/>
        <w:t>децентрализованных фондов денежных средств, обеспечивая непосредственное выполнение государством обязательных функций</w:t>
      </w:r>
      <w:r w:rsidR="00D3101D">
        <w:rPr>
          <w:rStyle w:val="ae"/>
          <w:rFonts w:ascii="Times New Roman" w:eastAsia="Times New Roman" w:hAnsi="Times New Roman" w:cs="Times New Roman"/>
          <w:sz w:val="28"/>
          <w:szCs w:val="28"/>
        </w:rPr>
        <w:footnoteReference w:id="1"/>
      </w:r>
      <w:r w:rsidRPr="00E106E7">
        <w:rPr>
          <w:rFonts w:ascii="Times New Roman" w:eastAsia="Times New Roman" w:hAnsi="Times New Roman" w:cs="Times New Roman"/>
          <w:sz w:val="28"/>
          <w:szCs w:val="28"/>
        </w:rPr>
        <w:t>.</w:t>
      </w:r>
    </w:p>
    <w:p w:rsidR="00E106E7" w:rsidRPr="00E106E7" w:rsidRDefault="00E106E7" w:rsidP="00E106E7">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Важнейшую роль в финансовой системе играет государственный бюджет. Он содержит в себе 2 составляющих части доходы и расходы государства.</w:t>
      </w:r>
    </w:p>
    <w:p w:rsidR="00E106E7" w:rsidRPr="00E106E7" w:rsidRDefault="00E106E7" w:rsidP="00E106E7">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xml:space="preserve">Доходы бюджета – все невозвратные поступления, независимо от того, являются ли они возмездными или безвозмездными, за исключением добровольных, невозвратных, безвозмездных поступлений или официальных трансфертов от других органов государственного управления (отечественных или зарубежных) или международных организаций. </w:t>
      </w:r>
    </w:p>
    <w:p w:rsidR="00E106E7" w:rsidRPr="00E106E7" w:rsidRDefault="00E106E7" w:rsidP="00E106E7">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Расходы бюджета – невозвратные платежи, независимо от того, являются ли они возмездными или безвозмездными и для каких целей они осуществляются –</w:t>
      </w:r>
      <w:r w:rsidR="00000213">
        <w:rPr>
          <w:rFonts w:ascii="Times New Roman" w:eastAsia="Times New Roman" w:hAnsi="Times New Roman" w:cs="Times New Roman"/>
          <w:sz w:val="28"/>
          <w:szCs w:val="28"/>
        </w:rPr>
        <w:t xml:space="preserve"> текущих или капитальных</w:t>
      </w:r>
      <w:r w:rsidRPr="00E106E7">
        <w:rPr>
          <w:rFonts w:ascii="Times New Roman" w:eastAsia="Times New Roman" w:hAnsi="Times New Roman" w:cs="Times New Roman"/>
          <w:sz w:val="28"/>
          <w:szCs w:val="28"/>
        </w:rPr>
        <w:t>.</w:t>
      </w:r>
    </w:p>
    <w:p w:rsidR="00E106E7" w:rsidRPr="00E106E7" w:rsidRDefault="00E106E7" w:rsidP="00E106E7">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Региональные финансы – это система экономических отношений, при помощи которой распределяется и перераспределяется национальный доход на экономическое и социальное развитие региона.</w:t>
      </w:r>
    </w:p>
    <w:p w:rsidR="00E106E7" w:rsidRPr="00E106E7" w:rsidRDefault="00E106E7" w:rsidP="00E106E7">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Основными поставщиками финансовых ресурсов в экономику, формирующих доходную часть бюджетов субъектов РФ, являются предприятия и организации уплачивающие различного рода налоги и сборы.</w:t>
      </w:r>
    </w:p>
    <w:p w:rsidR="00F42075" w:rsidRPr="00E106E7" w:rsidRDefault="00F42075" w:rsidP="00F42075">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xml:space="preserve">Наряду с налоговыми и неналоговыми доходами значительную часть доходов местных бюджетов составляют межбюджетные трансферты из бюджетов бюджетной системы Российской Федерации, которые </w:t>
      </w:r>
      <w:r w:rsidRPr="00E106E7">
        <w:rPr>
          <w:rFonts w:ascii="Times New Roman" w:eastAsia="Times New Roman" w:hAnsi="Times New Roman" w:cs="Times New Roman"/>
          <w:sz w:val="28"/>
          <w:szCs w:val="28"/>
        </w:rPr>
        <w:lastRenderedPageBreak/>
        <w:t xml:space="preserve">предоставляются в форме дотаций, субсидий, субвенций и иных межбюджетных трансфертов. </w:t>
      </w:r>
    </w:p>
    <w:p w:rsidR="00F42075" w:rsidRPr="00E106E7" w:rsidRDefault="00F42075" w:rsidP="00F42075">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Наиболее сложной проблемой является проблема сбалансированности бюджета. Современная экономическая теория и практика уделяют большое внимание проблемам дефицита бюджета и государственного долга. В настоящее время это является существенной проблемой практически для всех стран мира – развитых, развивающихся, с переходной экономикой, различного общественного строя. Именно поэтому важнейшей задачей экономической политики государств является поиск оптимального решения проблем бюджетного дефицита и государственного долга.</w:t>
      </w:r>
    </w:p>
    <w:p w:rsidR="00F42075" w:rsidRPr="00E106E7" w:rsidRDefault="00F42075" w:rsidP="00F42075">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При прогнозировании бюджетного дефицита и государственного долга могут быть выделены следующие блоки:</w:t>
      </w:r>
    </w:p>
    <w:p w:rsidR="00F42075" w:rsidRPr="00E106E7" w:rsidRDefault="00F42075" w:rsidP="00F42075">
      <w:pPr>
        <w:numPr>
          <w:ilvl w:val="0"/>
          <w:numId w:val="2"/>
        </w:num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блок доходов государственного бюджета.</w:t>
      </w:r>
    </w:p>
    <w:p w:rsidR="00F42075" w:rsidRPr="00E106E7" w:rsidRDefault="00F42075" w:rsidP="00F42075">
      <w:pPr>
        <w:numPr>
          <w:ilvl w:val="0"/>
          <w:numId w:val="2"/>
        </w:num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блок расходов государственного бюджета (с определением дефицита).</w:t>
      </w:r>
    </w:p>
    <w:p w:rsidR="00F42075" w:rsidRPr="00E106E7" w:rsidRDefault="00F42075" w:rsidP="00F42075">
      <w:pPr>
        <w:numPr>
          <w:ilvl w:val="0"/>
          <w:numId w:val="2"/>
        </w:num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блок государственного долга (государственные заимствования, обслуживание и погашение долгов).</w:t>
      </w:r>
    </w:p>
    <w:p w:rsidR="00F42075" w:rsidRPr="00E106E7" w:rsidRDefault="00F42075" w:rsidP="00F42075">
      <w:pPr>
        <w:numPr>
          <w:ilvl w:val="0"/>
          <w:numId w:val="2"/>
        </w:num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блок макроэкономического развития</w:t>
      </w:r>
      <w:r w:rsidR="009321EB">
        <w:rPr>
          <w:rStyle w:val="ae"/>
          <w:rFonts w:ascii="Times New Roman" w:eastAsia="Times New Roman" w:hAnsi="Times New Roman" w:cs="Times New Roman"/>
          <w:sz w:val="28"/>
          <w:szCs w:val="28"/>
        </w:rPr>
        <w:footnoteReference w:id="2"/>
      </w:r>
      <w:r w:rsidRPr="00E106E7">
        <w:rPr>
          <w:rFonts w:ascii="Times New Roman" w:eastAsia="Times New Roman" w:hAnsi="Times New Roman" w:cs="Times New Roman"/>
          <w:sz w:val="28"/>
          <w:szCs w:val="28"/>
        </w:rPr>
        <w:t>.</w:t>
      </w:r>
    </w:p>
    <w:p w:rsidR="00F42075" w:rsidRPr="00E106E7" w:rsidRDefault="00F42075" w:rsidP="00F42075">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xml:space="preserve">Последний блок можно рассматривать как такой, который моделирует внешнюю среду к предыдущим трем блокам. Показатели этого блока (а именно, показатели, которые отображают деятельность экономических агентов) являются базовыми для определения показателей 1-го блока. Блоки 2–й и 3–й также связаны с блоком внешней среды, хотя и менее тесно. Так, отдельные показатели блока 2 (которые касаются государственной помощи </w:t>
      </w:r>
      <w:r w:rsidRPr="00E106E7">
        <w:rPr>
          <w:rFonts w:ascii="Times New Roman" w:eastAsia="Times New Roman" w:hAnsi="Times New Roman" w:cs="Times New Roman"/>
          <w:sz w:val="28"/>
          <w:szCs w:val="28"/>
        </w:rPr>
        <w:lastRenderedPageBreak/>
        <w:t>отраслям производства) моделируются исходя из перспектив макроэкономического развития. То же касается и ряда показателей блока 3 – в части заимствований производственных отраслей (предприятий) под государственные гарантии. Возможно, в блоке 4 целесообразно отдельно выделить развитие социальной сферы, которая полностью определяется возможностями б</w:t>
      </w:r>
      <w:r>
        <w:rPr>
          <w:rFonts w:ascii="Times New Roman" w:eastAsia="Times New Roman" w:hAnsi="Times New Roman" w:cs="Times New Roman"/>
          <w:sz w:val="28"/>
          <w:szCs w:val="28"/>
        </w:rPr>
        <w:t>юджета (блоком 1 и блоком 2)</w:t>
      </w:r>
      <w:r w:rsidRPr="00E106E7">
        <w:rPr>
          <w:rFonts w:ascii="Times New Roman" w:eastAsia="Times New Roman" w:hAnsi="Times New Roman" w:cs="Times New Roman"/>
          <w:sz w:val="28"/>
          <w:szCs w:val="28"/>
        </w:rPr>
        <w:t>.</w:t>
      </w:r>
    </w:p>
    <w:p w:rsidR="00F42075" w:rsidRPr="00E106E7" w:rsidRDefault="00F42075" w:rsidP="00F42075">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Финансовые ресурсы, отражая уровень развитости экономики, позволяют определить наиболее приоритетные направления социально–экономического развития государства и его субъектов. Процесс их образования и направления использования влияет на пропорции распределения финансовых ресурсов между отраслями и сферами экономики. Посредством финансовых ресурсов, государство может воздействовать на развитие экономики путем изменения их размеров, оставляемых в распоряжении субъектов хозяйствования, и выбора приоритетных направлений использования. Соответственно, комплексное социально–экономическое развитие государства во многом зависит от методов формирования финансовых ресурсов и от оптимального выбора направлений их использования.</w:t>
      </w:r>
    </w:p>
    <w:p w:rsidR="00F42075" w:rsidRDefault="00F42075" w:rsidP="00F42075">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Аналогичные процессы происходят и на региональном уровне, следовательно, успешное развитие региона так же напрямую зависит от механизма формирования региональных финансовых ресурсов и их эффективного использования</w:t>
      </w:r>
      <w:r>
        <w:rPr>
          <w:rFonts w:ascii="Times New Roman" w:eastAsia="Times New Roman" w:hAnsi="Times New Roman" w:cs="Times New Roman"/>
          <w:sz w:val="28"/>
          <w:szCs w:val="28"/>
        </w:rPr>
        <w:t>.</w:t>
      </w:r>
    </w:p>
    <w:p w:rsidR="00F42075" w:rsidRDefault="00F42075" w:rsidP="00E106E7">
      <w:pPr>
        <w:spacing w:after="0" w:line="360" w:lineRule="auto"/>
        <w:ind w:firstLine="709"/>
        <w:jc w:val="both"/>
        <w:rPr>
          <w:rFonts w:ascii="Times New Roman" w:eastAsia="Times New Roman" w:hAnsi="Times New Roman" w:cs="Times New Roman"/>
          <w:sz w:val="28"/>
          <w:szCs w:val="28"/>
        </w:rPr>
      </w:pPr>
    </w:p>
    <w:p w:rsidR="00F42075" w:rsidRDefault="00F42075" w:rsidP="00E106E7">
      <w:pPr>
        <w:spacing w:after="0" w:line="360" w:lineRule="auto"/>
        <w:ind w:firstLine="709"/>
        <w:jc w:val="both"/>
        <w:rPr>
          <w:rFonts w:ascii="Times New Roman" w:eastAsia="Times New Roman" w:hAnsi="Times New Roman" w:cs="Times New Roman"/>
          <w:sz w:val="28"/>
          <w:szCs w:val="28"/>
        </w:rPr>
      </w:pPr>
    </w:p>
    <w:p w:rsidR="00F42075" w:rsidRPr="005C369A" w:rsidRDefault="00B430A1" w:rsidP="00F42075">
      <w:pPr>
        <w:pStyle w:val="a3"/>
        <w:ind w:left="0" w:firstLine="709"/>
        <w:jc w:val="both"/>
        <w:rPr>
          <w:rFonts w:ascii="Times New Roman" w:hAnsi="Times New Roman" w:cs="Times New Roman"/>
          <w:b/>
          <w:sz w:val="28"/>
        </w:rPr>
      </w:pPr>
      <w:r>
        <w:rPr>
          <w:rFonts w:ascii="Times New Roman" w:hAnsi="Times New Roman" w:cs="Times New Roman"/>
          <w:b/>
          <w:sz w:val="28"/>
        </w:rPr>
        <w:t>1.2.</w:t>
      </w:r>
      <w:r>
        <w:rPr>
          <w:rFonts w:ascii="Times New Roman" w:hAnsi="Times New Roman" w:cs="Times New Roman"/>
          <w:b/>
          <w:sz w:val="28"/>
        </w:rPr>
        <w:tab/>
        <w:t xml:space="preserve">Понятие и методы реализации </w:t>
      </w:r>
      <w:r w:rsidR="00F42075" w:rsidRPr="005C369A">
        <w:rPr>
          <w:rFonts w:ascii="Times New Roman" w:hAnsi="Times New Roman" w:cs="Times New Roman"/>
          <w:b/>
          <w:sz w:val="28"/>
        </w:rPr>
        <w:t>налоговой политики</w:t>
      </w:r>
    </w:p>
    <w:p w:rsidR="00F42075" w:rsidRDefault="00F42075" w:rsidP="00F42075">
      <w:pPr>
        <w:spacing w:after="0" w:line="240" w:lineRule="auto"/>
        <w:ind w:firstLine="709"/>
        <w:jc w:val="both"/>
        <w:rPr>
          <w:rFonts w:ascii="Times New Roman" w:eastAsia="Times New Roman" w:hAnsi="Times New Roman" w:cs="Times New Roman"/>
          <w:sz w:val="28"/>
          <w:szCs w:val="28"/>
        </w:rPr>
      </w:pPr>
    </w:p>
    <w:p w:rsidR="00CE65DA" w:rsidRP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sidRPr="00CE65DA">
        <w:rPr>
          <w:rFonts w:ascii="Times New Roman" w:eastAsia="Times New Roman" w:hAnsi="Times New Roman" w:cs="Times New Roman"/>
          <w:sz w:val="28"/>
          <w:szCs w:val="28"/>
        </w:rPr>
        <w:lastRenderedPageBreak/>
        <w:t>Налоговая политика – система целенапр</w:t>
      </w:r>
      <w:r>
        <w:rPr>
          <w:rFonts w:ascii="Times New Roman" w:eastAsia="Times New Roman" w:hAnsi="Times New Roman" w:cs="Times New Roman"/>
          <w:sz w:val="28"/>
          <w:szCs w:val="28"/>
        </w:rPr>
        <w:t xml:space="preserve">авленных экономических правовых </w:t>
      </w:r>
      <w:r w:rsidRPr="00CE65DA">
        <w:rPr>
          <w:rFonts w:ascii="Times New Roman" w:eastAsia="Times New Roman" w:hAnsi="Times New Roman" w:cs="Times New Roman"/>
          <w:sz w:val="28"/>
          <w:szCs w:val="28"/>
        </w:rPr>
        <w:t>организационных и контрольных мероприятий государства в области налогов. Содержание</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и цели налоговой политики обусловлены социально - экономическим строем общества и</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социальными группами, стоящими у власти. Задачи налоговой политики сводятся к</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обеспечению государства финансовыми ресурсами, созданию условий для регулирования</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хозяйства страны в целом, сглаживанию возникающего в процессе рыночных отношений</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неравенства в уровнях доходов населения. Следовательно, налоговая политика – это не</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автоматическое выполнение предписаний налоговых законов, а их совершенствование</w:t>
      </w:r>
      <w:r w:rsidR="00D3101D">
        <w:rPr>
          <w:rStyle w:val="ae"/>
          <w:rFonts w:ascii="Times New Roman" w:eastAsia="Times New Roman" w:hAnsi="Times New Roman" w:cs="Times New Roman"/>
          <w:sz w:val="28"/>
          <w:szCs w:val="28"/>
        </w:rPr>
        <w:footnoteReference w:id="3"/>
      </w:r>
      <w:r w:rsidRPr="00CE65DA">
        <w:rPr>
          <w:rFonts w:ascii="Times New Roman" w:eastAsia="Times New Roman" w:hAnsi="Times New Roman" w:cs="Times New Roman"/>
          <w:sz w:val="28"/>
          <w:szCs w:val="28"/>
        </w:rPr>
        <w:t>.</w:t>
      </w:r>
    </w:p>
    <w:p w:rsidR="00CE65DA" w:rsidRP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sidRPr="00CE65DA">
        <w:rPr>
          <w:rFonts w:ascii="Times New Roman" w:eastAsia="Times New Roman" w:hAnsi="Times New Roman" w:cs="Times New Roman"/>
          <w:sz w:val="28"/>
          <w:szCs w:val="28"/>
        </w:rPr>
        <w:t>Налоговая политика строится на исследовании во</w:t>
      </w:r>
      <w:r>
        <w:rPr>
          <w:rFonts w:ascii="Times New Roman" w:eastAsia="Times New Roman" w:hAnsi="Times New Roman" w:cs="Times New Roman"/>
          <w:sz w:val="28"/>
          <w:szCs w:val="28"/>
        </w:rPr>
        <w:t xml:space="preserve">зможности: создать новые модели </w:t>
      </w:r>
      <w:r w:rsidRPr="00CE65DA">
        <w:rPr>
          <w:rFonts w:ascii="Times New Roman" w:eastAsia="Times New Roman" w:hAnsi="Times New Roman" w:cs="Times New Roman"/>
          <w:sz w:val="28"/>
          <w:szCs w:val="28"/>
        </w:rPr>
        <w:t>управления налоговой системой, улучшить ее организацию, улучшить действующие</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налоговые режимы.</w:t>
      </w:r>
    </w:p>
    <w:p w:rsidR="00CE65DA" w:rsidRP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sidRPr="00CE65DA">
        <w:rPr>
          <w:rFonts w:ascii="Times New Roman" w:eastAsia="Times New Roman" w:hAnsi="Times New Roman" w:cs="Times New Roman"/>
          <w:sz w:val="28"/>
          <w:szCs w:val="28"/>
        </w:rPr>
        <w:t>Главной целью налоговой политики является обес</w:t>
      </w:r>
      <w:r>
        <w:rPr>
          <w:rFonts w:ascii="Times New Roman" w:eastAsia="Times New Roman" w:hAnsi="Times New Roman" w:cs="Times New Roman"/>
          <w:sz w:val="28"/>
          <w:szCs w:val="28"/>
        </w:rPr>
        <w:t xml:space="preserve">печение бюджетов разных уровней </w:t>
      </w:r>
      <w:r w:rsidRPr="00CE65DA">
        <w:rPr>
          <w:rFonts w:ascii="Times New Roman" w:eastAsia="Times New Roman" w:hAnsi="Times New Roman" w:cs="Times New Roman"/>
          <w:sz w:val="28"/>
          <w:szCs w:val="28"/>
        </w:rPr>
        <w:t>финансовыми ресурсами в достаточных объемах.</w:t>
      </w:r>
    </w:p>
    <w:p w:rsidR="00CE65DA" w:rsidRP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sidRPr="00CE65DA">
        <w:rPr>
          <w:rFonts w:ascii="Times New Roman" w:eastAsia="Times New Roman" w:hAnsi="Times New Roman" w:cs="Times New Roman"/>
          <w:sz w:val="28"/>
          <w:szCs w:val="28"/>
        </w:rPr>
        <w:t>В течение 2016 - 2018 гг. приоритетом налогово</w:t>
      </w:r>
      <w:r>
        <w:rPr>
          <w:rFonts w:ascii="Times New Roman" w:eastAsia="Times New Roman" w:hAnsi="Times New Roman" w:cs="Times New Roman"/>
          <w:sz w:val="28"/>
          <w:szCs w:val="28"/>
        </w:rPr>
        <w:t xml:space="preserve">й политики остается недопущение </w:t>
      </w:r>
      <w:r w:rsidRPr="00CE65DA">
        <w:rPr>
          <w:rFonts w:ascii="Times New Roman" w:eastAsia="Times New Roman" w:hAnsi="Times New Roman" w:cs="Times New Roman"/>
          <w:sz w:val="28"/>
          <w:szCs w:val="28"/>
        </w:rPr>
        <w:t>увеличения налоговой нагрузки. Мораторий должен обеспечить стабильность налоговой</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системы, а также повысить ее привлекательность для инвесторов. При проведении</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налоговой политики основное внимание будет уделяться проведению антикризисных</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налоговых мер (разработаны Правительством РФ и Госдумой), а также совершенствованию</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налогового администрирования и воп</w:t>
      </w:r>
      <w:r>
        <w:rPr>
          <w:rFonts w:ascii="Times New Roman" w:eastAsia="Times New Roman" w:hAnsi="Times New Roman" w:cs="Times New Roman"/>
          <w:sz w:val="28"/>
          <w:szCs w:val="28"/>
        </w:rPr>
        <w:t>росам предоставления льгот</w:t>
      </w:r>
      <w:r w:rsidRPr="00CE65DA">
        <w:rPr>
          <w:rFonts w:ascii="Times New Roman" w:eastAsia="Times New Roman" w:hAnsi="Times New Roman" w:cs="Times New Roman"/>
          <w:sz w:val="28"/>
          <w:szCs w:val="28"/>
        </w:rPr>
        <w:t>.</w:t>
      </w:r>
    </w:p>
    <w:p w:rsid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sidRPr="00CE65DA">
        <w:rPr>
          <w:rFonts w:ascii="Times New Roman" w:eastAsia="Times New Roman" w:hAnsi="Times New Roman" w:cs="Times New Roman"/>
          <w:sz w:val="28"/>
          <w:szCs w:val="28"/>
        </w:rPr>
        <w:t>Среди основных мер в области налоговой политики на 2</w:t>
      </w:r>
      <w:r>
        <w:rPr>
          <w:rFonts w:ascii="Times New Roman" w:eastAsia="Times New Roman" w:hAnsi="Times New Roman" w:cs="Times New Roman"/>
          <w:sz w:val="28"/>
          <w:szCs w:val="28"/>
        </w:rPr>
        <w:t xml:space="preserve">016 и на плановый период 2017 - </w:t>
      </w:r>
      <w:r w:rsidRPr="00CE65DA">
        <w:rPr>
          <w:rFonts w:ascii="Times New Roman" w:eastAsia="Times New Roman" w:hAnsi="Times New Roman" w:cs="Times New Roman"/>
          <w:sz w:val="28"/>
          <w:szCs w:val="28"/>
        </w:rPr>
        <w:t xml:space="preserve">2018 гг. указаны: </w:t>
      </w:r>
    </w:p>
    <w:p w:rsid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E65DA">
        <w:rPr>
          <w:rFonts w:ascii="Times New Roman" w:eastAsia="Times New Roman" w:hAnsi="Times New Roman" w:cs="Times New Roman"/>
          <w:sz w:val="28"/>
          <w:szCs w:val="28"/>
        </w:rPr>
        <w:t>совершенствование правил налогообложения прибыли контролируемых</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 xml:space="preserve">иностранных компаний; </w:t>
      </w:r>
    </w:p>
    <w:p w:rsid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совершенствование института консолидированной группы</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 xml:space="preserve">налогоплательщиков; </w:t>
      </w:r>
    </w:p>
    <w:p w:rsid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налоговые льготы вновь создаваемых предприятий</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 xml:space="preserve">промышленности, осуществляющих налоговые вложения; </w:t>
      </w:r>
    </w:p>
    <w:p w:rsid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повышение порогового значения</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амортизируемого имущества до 100000 рублей (указанная мера позволит списывать в</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затраты стоимость оборудования единовременно в момент его ввода в эксплуатацию, а не</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 xml:space="preserve">через механизм начисления амортизации); </w:t>
      </w:r>
    </w:p>
    <w:p w:rsid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совершен</w:t>
      </w:r>
      <w:r>
        <w:rPr>
          <w:rFonts w:ascii="Times New Roman" w:eastAsia="Times New Roman" w:hAnsi="Times New Roman" w:cs="Times New Roman"/>
          <w:sz w:val="28"/>
          <w:szCs w:val="28"/>
        </w:rPr>
        <w:t xml:space="preserve">ствование специальных налоговых </w:t>
      </w:r>
      <w:r w:rsidRPr="00CE65DA">
        <w:rPr>
          <w:rFonts w:ascii="Times New Roman" w:eastAsia="Times New Roman" w:hAnsi="Times New Roman" w:cs="Times New Roman"/>
          <w:sz w:val="28"/>
          <w:szCs w:val="28"/>
        </w:rPr>
        <w:t xml:space="preserve">режимов; </w:t>
      </w:r>
    </w:p>
    <w:p w:rsidR="00CE65DA" w:rsidRP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сокращение размеров ставок акцизов на 2016 - 2017 гг., установленных</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действующим законодательством о налогах и сборах; постепенная отмена федеральных</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льгот по региональным и местным налогам.</w:t>
      </w:r>
    </w:p>
    <w:p w:rsidR="00CE65DA" w:rsidRP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sidRPr="00CE65DA">
        <w:rPr>
          <w:rFonts w:ascii="Times New Roman" w:eastAsia="Times New Roman" w:hAnsi="Times New Roman" w:cs="Times New Roman"/>
          <w:sz w:val="28"/>
          <w:szCs w:val="28"/>
        </w:rPr>
        <w:t>Подводя итог, можно сделать вывод, что задач</w:t>
      </w:r>
      <w:r>
        <w:rPr>
          <w:rFonts w:ascii="Times New Roman" w:eastAsia="Times New Roman" w:hAnsi="Times New Roman" w:cs="Times New Roman"/>
          <w:sz w:val="28"/>
          <w:szCs w:val="28"/>
        </w:rPr>
        <w:t xml:space="preserve">и налоговой политики сводятся к </w:t>
      </w:r>
      <w:r w:rsidRPr="00CE65DA">
        <w:rPr>
          <w:rFonts w:ascii="Times New Roman" w:eastAsia="Times New Roman" w:hAnsi="Times New Roman" w:cs="Times New Roman"/>
          <w:sz w:val="28"/>
          <w:szCs w:val="28"/>
        </w:rPr>
        <w:t>обеспечению государства финансовыми ресурсами, созданию условий для регулирования</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хозяйства страны, сглаживанию возникающего в процессе рыночных отношений</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неравенства в уровнях доходов населения.</w:t>
      </w:r>
    </w:p>
    <w:p w:rsidR="00CE65DA" w:rsidRPr="00CE65DA" w:rsidRDefault="00CE65DA" w:rsidP="00CE65DA">
      <w:pPr>
        <w:spacing w:after="0" w:line="360" w:lineRule="auto"/>
        <w:ind w:firstLine="709"/>
        <w:contextualSpacing/>
        <w:jc w:val="both"/>
        <w:rPr>
          <w:rFonts w:ascii="Times New Roman" w:eastAsia="Times New Roman" w:hAnsi="Times New Roman" w:cs="Times New Roman"/>
          <w:sz w:val="28"/>
          <w:szCs w:val="28"/>
        </w:rPr>
      </w:pPr>
      <w:r w:rsidRPr="00CE65DA">
        <w:rPr>
          <w:rFonts w:ascii="Times New Roman" w:eastAsia="Times New Roman" w:hAnsi="Times New Roman" w:cs="Times New Roman"/>
          <w:sz w:val="28"/>
          <w:szCs w:val="28"/>
        </w:rPr>
        <w:t>Налоговая политика должна смягчать негат</w:t>
      </w:r>
      <w:r>
        <w:rPr>
          <w:rFonts w:ascii="Times New Roman" w:eastAsia="Times New Roman" w:hAnsi="Times New Roman" w:cs="Times New Roman"/>
          <w:sz w:val="28"/>
          <w:szCs w:val="28"/>
        </w:rPr>
        <w:t xml:space="preserve">ивные явления присущие рыночной </w:t>
      </w:r>
      <w:r w:rsidRPr="00CE65DA">
        <w:rPr>
          <w:rFonts w:ascii="Times New Roman" w:eastAsia="Times New Roman" w:hAnsi="Times New Roman" w:cs="Times New Roman"/>
          <w:sz w:val="28"/>
          <w:szCs w:val="28"/>
        </w:rPr>
        <w:t>экономики. Она является ключевым звеном экономической политики. В настоящее время</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изменения в налоговой системе Российской Федерации необходимы. Они должны быть</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последовательными и предсказуемыми. Задачи и меры налоговой политики, которые</w:t>
      </w:r>
      <w:r>
        <w:rPr>
          <w:rFonts w:ascii="Times New Roman" w:eastAsia="Times New Roman" w:hAnsi="Times New Roman" w:cs="Times New Roman"/>
          <w:sz w:val="28"/>
          <w:szCs w:val="28"/>
        </w:rPr>
        <w:t xml:space="preserve"> </w:t>
      </w:r>
      <w:r w:rsidRPr="00CE65DA">
        <w:rPr>
          <w:rFonts w:ascii="Times New Roman" w:eastAsia="Times New Roman" w:hAnsi="Times New Roman" w:cs="Times New Roman"/>
          <w:sz w:val="28"/>
          <w:szCs w:val="28"/>
        </w:rPr>
        <w:t>поставило перед собой государство на ближайшее время, должны быть выполнены.</w:t>
      </w:r>
    </w:p>
    <w:p w:rsidR="00B430A1" w:rsidRDefault="00B430A1" w:rsidP="00F42075">
      <w:pPr>
        <w:spacing w:after="0" w:line="240" w:lineRule="auto"/>
        <w:ind w:firstLine="709"/>
        <w:jc w:val="both"/>
        <w:rPr>
          <w:rFonts w:ascii="Times New Roman" w:eastAsia="Times New Roman" w:hAnsi="Times New Roman" w:cs="Times New Roman"/>
          <w:sz w:val="28"/>
          <w:szCs w:val="28"/>
        </w:rPr>
      </w:pPr>
    </w:p>
    <w:p w:rsidR="00000213" w:rsidRDefault="00000213" w:rsidP="00F42075">
      <w:pPr>
        <w:spacing w:after="0" w:line="240" w:lineRule="auto"/>
        <w:ind w:firstLine="709"/>
        <w:jc w:val="both"/>
        <w:rPr>
          <w:rFonts w:ascii="Times New Roman" w:eastAsia="Times New Roman" w:hAnsi="Times New Roman" w:cs="Times New Roman"/>
          <w:sz w:val="28"/>
          <w:szCs w:val="28"/>
        </w:rPr>
      </w:pPr>
    </w:p>
    <w:p w:rsidR="00B430A1" w:rsidRDefault="00B430A1" w:rsidP="00F42075">
      <w:pPr>
        <w:spacing w:after="0" w:line="240" w:lineRule="auto"/>
        <w:ind w:firstLine="709"/>
        <w:jc w:val="both"/>
        <w:rPr>
          <w:rFonts w:ascii="Times New Roman" w:eastAsia="Times New Roman" w:hAnsi="Times New Roman" w:cs="Times New Roman"/>
          <w:sz w:val="28"/>
          <w:szCs w:val="28"/>
        </w:rPr>
      </w:pPr>
    </w:p>
    <w:p w:rsidR="005C369A" w:rsidRPr="005C369A" w:rsidRDefault="005C369A" w:rsidP="00652A03">
      <w:pPr>
        <w:pStyle w:val="a3"/>
        <w:ind w:left="0" w:firstLine="709"/>
        <w:jc w:val="both"/>
        <w:rPr>
          <w:rFonts w:ascii="Times New Roman" w:hAnsi="Times New Roman" w:cs="Times New Roman"/>
          <w:b/>
          <w:sz w:val="28"/>
        </w:rPr>
      </w:pPr>
      <w:r w:rsidRPr="005C369A">
        <w:rPr>
          <w:rFonts w:ascii="Times New Roman" w:hAnsi="Times New Roman" w:cs="Times New Roman"/>
          <w:b/>
          <w:sz w:val="28"/>
        </w:rPr>
        <w:t>1.3.</w:t>
      </w:r>
      <w:r w:rsidRPr="005C369A">
        <w:rPr>
          <w:rFonts w:ascii="Times New Roman" w:hAnsi="Times New Roman" w:cs="Times New Roman"/>
          <w:b/>
          <w:sz w:val="28"/>
        </w:rPr>
        <w:tab/>
        <w:t>Налоги как инструмент доходной части бюджета</w:t>
      </w:r>
    </w:p>
    <w:p w:rsidR="00652A03" w:rsidRDefault="00652A03" w:rsidP="00652A03">
      <w:pPr>
        <w:spacing w:after="0" w:line="240" w:lineRule="auto"/>
        <w:ind w:firstLine="709"/>
        <w:jc w:val="both"/>
        <w:rPr>
          <w:rFonts w:ascii="Times New Roman" w:eastAsia="Times New Roman" w:hAnsi="Times New Roman" w:cs="Times New Roman"/>
          <w:sz w:val="28"/>
          <w:szCs w:val="28"/>
        </w:rPr>
      </w:pP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w:t>
      </w:r>
      <w:r w:rsidRPr="00E106E7">
        <w:rPr>
          <w:rFonts w:ascii="Times New Roman" w:eastAsia="Times New Roman" w:hAnsi="Times New Roman" w:cs="Times New Roman"/>
          <w:sz w:val="28"/>
          <w:szCs w:val="28"/>
        </w:rPr>
        <w:t xml:space="preserve"> бюджета формируются за счет поступления средств по нормативам отчислений регулирующих федеральных налогов и сборов, региональных налогов, отчисления по которым в соответствии с законодательством Российской Федерации и региона  производятся в </w:t>
      </w:r>
      <w:r>
        <w:rPr>
          <w:rFonts w:ascii="Times New Roman" w:eastAsia="Times New Roman" w:hAnsi="Times New Roman" w:cs="Times New Roman"/>
          <w:sz w:val="28"/>
          <w:szCs w:val="28"/>
        </w:rPr>
        <w:t xml:space="preserve">соответствующий </w:t>
      </w:r>
      <w:r w:rsidRPr="00E106E7">
        <w:rPr>
          <w:rFonts w:ascii="Times New Roman" w:eastAsia="Times New Roman" w:hAnsi="Times New Roman" w:cs="Times New Roman"/>
          <w:sz w:val="28"/>
          <w:szCs w:val="28"/>
        </w:rPr>
        <w:t xml:space="preserve">бюджет, а также за счет безвозмездных поступлений. Среди основных доходных источников формирования </w:t>
      </w:r>
      <w:r>
        <w:rPr>
          <w:rFonts w:ascii="Times New Roman" w:eastAsia="Times New Roman" w:hAnsi="Times New Roman" w:cs="Times New Roman"/>
          <w:sz w:val="28"/>
          <w:szCs w:val="28"/>
        </w:rPr>
        <w:t>регионального</w:t>
      </w:r>
      <w:r w:rsidRPr="00E106E7">
        <w:rPr>
          <w:rFonts w:ascii="Times New Roman" w:eastAsia="Times New Roman" w:hAnsi="Times New Roman" w:cs="Times New Roman"/>
          <w:sz w:val="28"/>
          <w:szCs w:val="28"/>
        </w:rPr>
        <w:t xml:space="preserve"> бюджета можно выделить:</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w:t>
      </w:r>
      <w:r w:rsidRPr="00E106E7">
        <w:rPr>
          <w:rFonts w:ascii="Times New Roman" w:eastAsia="Times New Roman" w:hAnsi="Times New Roman" w:cs="Times New Roman"/>
          <w:sz w:val="28"/>
          <w:szCs w:val="28"/>
        </w:rPr>
        <w:tab/>
        <w:t>налог на прибыль организаций – федеральный налог, ставка которого составляет 20%, из них 18% зачисляются в бюджет субъекта, и только 2% поступают в федеральный бюджет;</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w:t>
      </w:r>
      <w:r w:rsidRPr="00E106E7">
        <w:rPr>
          <w:rFonts w:ascii="Times New Roman" w:eastAsia="Times New Roman" w:hAnsi="Times New Roman" w:cs="Times New Roman"/>
          <w:sz w:val="28"/>
          <w:szCs w:val="28"/>
        </w:rPr>
        <w:tab/>
        <w:t>50% от акцизов на спирт этиловый из пищевого сырья, спиртосодержащую продукцию;</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w:t>
      </w:r>
      <w:r w:rsidRPr="00E106E7">
        <w:rPr>
          <w:rFonts w:ascii="Times New Roman" w:eastAsia="Times New Roman" w:hAnsi="Times New Roman" w:cs="Times New Roman"/>
          <w:sz w:val="28"/>
          <w:szCs w:val="28"/>
        </w:rPr>
        <w:tab/>
        <w:t>акцизы на автомобильный бензин, прямогонный бензин, дизельное топливо и т. д., производимые на территории РФ зачисляются в 100% объеме;</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w:t>
      </w:r>
      <w:r w:rsidRPr="00E106E7">
        <w:rPr>
          <w:rFonts w:ascii="Times New Roman" w:eastAsia="Times New Roman" w:hAnsi="Times New Roman" w:cs="Times New Roman"/>
          <w:sz w:val="28"/>
          <w:szCs w:val="28"/>
        </w:rPr>
        <w:tab/>
        <w:t>85% от налога на доходы физических лиц (НДФЛ);</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w:t>
      </w:r>
      <w:r w:rsidRPr="00E106E7">
        <w:rPr>
          <w:rFonts w:ascii="Times New Roman" w:eastAsia="Times New Roman" w:hAnsi="Times New Roman" w:cs="Times New Roman"/>
          <w:sz w:val="28"/>
          <w:szCs w:val="28"/>
        </w:rPr>
        <w:tab/>
        <w:t>100 % от сбора за пользование объектами животного мира;</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w:t>
      </w:r>
      <w:r w:rsidRPr="00E106E7">
        <w:rPr>
          <w:rFonts w:ascii="Times New Roman" w:eastAsia="Times New Roman" w:hAnsi="Times New Roman" w:cs="Times New Roman"/>
          <w:sz w:val="28"/>
          <w:szCs w:val="28"/>
        </w:rPr>
        <w:tab/>
        <w:t>80 % от сбора за пользование объектами водных биологических ресурсов (по внутренним водным объектам);</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w:t>
      </w:r>
      <w:r w:rsidRPr="00E106E7">
        <w:rPr>
          <w:rFonts w:ascii="Times New Roman" w:eastAsia="Times New Roman" w:hAnsi="Times New Roman" w:cs="Times New Roman"/>
          <w:sz w:val="28"/>
          <w:szCs w:val="28"/>
        </w:rPr>
        <w:tab/>
        <w:t>транспортный налог, налог на имущество организаций и налог на игорный бизнес являются региональными налогами и полностью зачисляются в региональные бюджеты;</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lastRenderedPageBreak/>
        <w:t>–</w:t>
      </w:r>
      <w:r w:rsidRPr="00E106E7">
        <w:rPr>
          <w:rFonts w:ascii="Times New Roman" w:eastAsia="Times New Roman" w:hAnsi="Times New Roman" w:cs="Times New Roman"/>
          <w:sz w:val="28"/>
          <w:szCs w:val="28"/>
        </w:rPr>
        <w:tab/>
        <w:t>единый налог, взимаемый в связи с применением упрощенной системы налогообложения (УСН), так же в полном объеме за</w:t>
      </w:r>
      <w:r w:rsidR="00000213">
        <w:rPr>
          <w:rFonts w:ascii="Times New Roman" w:eastAsia="Times New Roman" w:hAnsi="Times New Roman" w:cs="Times New Roman"/>
          <w:sz w:val="28"/>
          <w:szCs w:val="28"/>
        </w:rPr>
        <w:t>числяется в бюджет субъекта РФ</w:t>
      </w:r>
      <w:r w:rsidR="00D3101D">
        <w:rPr>
          <w:rStyle w:val="ae"/>
          <w:rFonts w:ascii="Times New Roman" w:eastAsia="Times New Roman" w:hAnsi="Times New Roman" w:cs="Times New Roman"/>
          <w:sz w:val="28"/>
          <w:szCs w:val="28"/>
        </w:rPr>
        <w:footnoteReference w:id="4"/>
      </w:r>
      <w:r w:rsidRPr="00E106E7">
        <w:rPr>
          <w:rFonts w:ascii="Times New Roman" w:eastAsia="Times New Roman" w:hAnsi="Times New Roman" w:cs="Times New Roman"/>
          <w:sz w:val="28"/>
          <w:szCs w:val="28"/>
        </w:rPr>
        <w:t>.</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Очевидно, что процесс и источники формирования регионального бюджета значительно отличаются от процесса и источников формирования федерального бюджета, хотя данные бюджеты имеют одинаковую номенклатуру расходных статей.</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В соответствии с перечнем, установленным БК РФ, основными направлениями расходования средств как федерального, так и регионального бюджета являются: национальная экономика, национальная оборона, национальная безопасность и правоохранительная деятельность, социальная политика, здравоохранение, образование, жилищно–коммунальное хозяйство (ЖКХ) и прочее. Различие заключается в объеме выделяемых средств на финансирование тех или иных расходных статей.</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Согласно статье 39 Бюджетного кодекса РФ доходы бюджетов формируются в соответствии с бюджетным и налоговым законодательством Российской Федерации и состоят из собственных доходов местных бюджетов и субвенций, предоставляемых на осуществление органами местного  самоуправления отдельных государственных полномочий, данных им федеральными законами и законами субъекта РФ</w:t>
      </w:r>
      <w:r w:rsidR="00D3101D">
        <w:rPr>
          <w:rStyle w:val="ae"/>
          <w:rFonts w:ascii="Times New Roman" w:eastAsia="Times New Roman" w:hAnsi="Times New Roman" w:cs="Times New Roman"/>
          <w:sz w:val="28"/>
          <w:szCs w:val="28"/>
        </w:rPr>
        <w:footnoteReference w:id="5"/>
      </w:r>
      <w:r w:rsidRPr="00E106E7">
        <w:rPr>
          <w:rFonts w:ascii="Times New Roman" w:eastAsia="Times New Roman" w:hAnsi="Times New Roman" w:cs="Times New Roman"/>
          <w:sz w:val="28"/>
          <w:szCs w:val="28"/>
        </w:rPr>
        <w:t>.</w:t>
      </w:r>
    </w:p>
    <w:p w:rsidR="00652A03" w:rsidRPr="00E106E7" w:rsidRDefault="00652A03" w:rsidP="009321EB">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Доходы местного бюджета составляют налоговые и неналоговые доходы, а также межбюджетные трансферты.</w:t>
      </w:r>
      <w:r w:rsidR="009321EB">
        <w:rPr>
          <w:rFonts w:ascii="Times New Roman" w:eastAsia="Times New Roman" w:hAnsi="Times New Roman" w:cs="Times New Roman"/>
          <w:sz w:val="28"/>
          <w:szCs w:val="28"/>
        </w:rPr>
        <w:t xml:space="preserve"> </w:t>
      </w:r>
      <w:r w:rsidRPr="00E106E7">
        <w:rPr>
          <w:rFonts w:ascii="Times New Roman" w:eastAsia="Times New Roman" w:hAnsi="Times New Roman" w:cs="Times New Roman"/>
          <w:sz w:val="28"/>
          <w:szCs w:val="28"/>
        </w:rPr>
        <w:t xml:space="preserve">Согласно статье 61 Бюджетного кодекса </w:t>
      </w:r>
      <w:r w:rsidRPr="00E106E7">
        <w:rPr>
          <w:rFonts w:ascii="Times New Roman" w:eastAsia="Times New Roman" w:hAnsi="Times New Roman" w:cs="Times New Roman"/>
          <w:sz w:val="28"/>
          <w:szCs w:val="28"/>
        </w:rPr>
        <w:lastRenderedPageBreak/>
        <w:t>РФ в бюджеты поселений состоят из налоговых доходов от земельного налога – по нормативу 100%  и от налога на имущество физических лиц</w:t>
      </w:r>
      <w:r w:rsidR="00000213">
        <w:rPr>
          <w:rFonts w:ascii="Times New Roman" w:eastAsia="Times New Roman" w:hAnsi="Times New Roman" w:cs="Times New Roman"/>
          <w:sz w:val="28"/>
          <w:szCs w:val="28"/>
        </w:rPr>
        <w:t xml:space="preserve"> – по нормативу 100%</w:t>
      </w:r>
      <w:r w:rsidRPr="00E106E7">
        <w:rPr>
          <w:rFonts w:ascii="Times New Roman" w:eastAsia="Times New Roman" w:hAnsi="Times New Roman" w:cs="Times New Roman"/>
          <w:sz w:val="28"/>
          <w:szCs w:val="28"/>
        </w:rPr>
        <w:t>.</w:t>
      </w:r>
    </w:p>
    <w:p w:rsidR="00652A03"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Налоговые доходы от федеральных налогов и сборов и предусмотренные налоги специальными налоговыми режимами, которые зачисляются в бюджеты поселений, представлены в таблице 1.1.</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pacing w:val="20"/>
          <w:sz w:val="28"/>
          <w:szCs w:val="28"/>
        </w:rPr>
        <w:t>Таблица</w:t>
      </w:r>
      <w:r w:rsidRPr="00E106E7">
        <w:rPr>
          <w:rFonts w:ascii="Times New Roman" w:eastAsia="Times New Roman" w:hAnsi="Times New Roman" w:cs="Times New Roman"/>
          <w:sz w:val="28"/>
          <w:szCs w:val="28"/>
        </w:rPr>
        <w:t xml:space="preserve"> 1.1 – Норматив отчислений налогов в бюджеты поселений</w:t>
      </w:r>
    </w:p>
    <w:tbl>
      <w:tblPr>
        <w:tblStyle w:val="a4"/>
        <w:tblW w:w="0" w:type="auto"/>
        <w:jc w:val="center"/>
        <w:tblInd w:w="239" w:type="dxa"/>
        <w:tblLook w:val="04A0"/>
      </w:tblPr>
      <w:tblGrid>
        <w:gridCol w:w="7240"/>
        <w:gridCol w:w="2092"/>
      </w:tblGrid>
      <w:tr w:rsidR="00652A03" w:rsidRPr="00E106E7" w:rsidTr="005A1EAA">
        <w:trPr>
          <w:jc w:val="center"/>
        </w:trPr>
        <w:tc>
          <w:tcPr>
            <w:tcW w:w="7240"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Налог</w:t>
            </w:r>
          </w:p>
        </w:tc>
        <w:tc>
          <w:tcPr>
            <w:tcW w:w="2092"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Норматив, %</w:t>
            </w:r>
          </w:p>
        </w:tc>
      </w:tr>
      <w:tr w:rsidR="00652A03" w:rsidRPr="00E106E7" w:rsidTr="005A1EAA">
        <w:trPr>
          <w:jc w:val="center"/>
        </w:trPr>
        <w:tc>
          <w:tcPr>
            <w:tcW w:w="7240"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Налог на доходы физических лиц</w:t>
            </w:r>
          </w:p>
        </w:tc>
        <w:tc>
          <w:tcPr>
            <w:tcW w:w="2092"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100</w:t>
            </w:r>
          </w:p>
        </w:tc>
      </w:tr>
      <w:tr w:rsidR="00652A03" w:rsidRPr="00E106E7" w:rsidTr="005A1EAA">
        <w:trPr>
          <w:jc w:val="center"/>
        </w:trPr>
        <w:tc>
          <w:tcPr>
            <w:tcW w:w="7240"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Единый сельскохозяйственный налог</w:t>
            </w:r>
          </w:p>
        </w:tc>
        <w:tc>
          <w:tcPr>
            <w:tcW w:w="2092"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35</w:t>
            </w:r>
          </w:p>
        </w:tc>
      </w:tr>
      <w:tr w:rsidR="00652A03" w:rsidRPr="00E106E7" w:rsidTr="005A1EAA">
        <w:trPr>
          <w:jc w:val="center"/>
        </w:trPr>
        <w:tc>
          <w:tcPr>
            <w:tcW w:w="7240"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Госпошлина, уплачиваемая должностными лицами органов местного самоуправления за совершение нотариальных действий</w:t>
            </w:r>
          </w:p>
        </w:tc>
        <w:tc>
          <w:tcPr>
            <w:tcW w:w="2092"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100</w:t>
            </w:r>
          </w:p>
        </w:tc>
      </w:tr>
    </w:tbl>
    <w:p w:rsidR="00652A03" w:rsidRPr="00E106E7" w:rsidRDefault="00652A03" w:rsidP="00652A03">
      <w:pPr>
        <w:spacing w:after="0" w:line="240" w:lineRule="auto"/>
        <w:ind w:firstLine="709"/>
        <w:jc w:val="both"/>
        <w:rPr>
          <w:rFonts w:ascii="Times New Roman" w:eastAsia="Times New Roman" w:hAnsi="Times New Roman" w:cs="Times New Roman"/>
          <w:sz w:val="28"/>
          <w:szCs w:val="28"/>
        </w:rPr>
      </w:pP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В бюджеты муниципальных районов включаются налоговые доходы от таких местных налогов как:</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земельный налог, взимаемый на межселенных территориях (норматив 100%);</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налог на имущество физических лиц, взимаемый на межселенных территориях (норматив 100%).</w:t>
      </w:r>
    </w:p>
    <w:p w:rsidR="00652A03"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В бюджеты муниципальных районов зачисляются налоговые доходы от федеральных налогов и сборов и налогов, предусмотренных специальными налоговыми режимами, представленные в таблице 1.2.</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pacing w:val="20"/>
          <w:sz w:val="28"/>
          <w:szCs w:val="28"/>
        </w:rPr>
        <w:t>Таблица</w:t>
      </w:r>
      <w:r w:rsidRPr="00E106E7">
        <w:rPr>
          <w:rFonts w:ascii="Times New Roman" w:eastAsia="Times New Roman" w:hAnsi="Times New Roman" w:cs="Times New Roman"/>
          <w:sz w:val="28"/>
          <w:szCs w:val="28"/>
        </w:rPr>
        <w:t xml:space="preserve"> 1.2 – Норматив отчислений налогов в б</w:t>
      </w:r>
      <w:r w:rsidR="00000213">
        <w:rPr>
          <w:rFonts w:ascii="Times New Roman" w:eastAsia="Times New Roman" w:hAnsi="Times New Roman" w:cs="Times New Roman"/>
          <w:sz w:val="28"/>
          <w:szCs w:val="28"/>
        </w:rPr>
        <w:t xml:space="preserve">юджеты муниципальных районов </w:t>
      </w:r>
    </w:p>
    <w:tbl>
      <w:tblPr>
        <w:tblStyle w:val="a4"/>
        <w:tblW w:w="0" w:type="auto"/>
        <w:tblInd w:w="108" w:type="dxa"/>
        <w:tblLook w:val="04A0"/>
      </w:tblPr>
      <w:tblGrid>
        <w:gridCol w:w="7655"/>
        <w:gridCol w:w="1808"/>
      </w:tblGrid>
      <w:tr w:rsidR="00652A03" w:rsidRPr="00E106E7" w:rsidTr="005A1EAA">
        <w:tc>
          <w:tcPr>
            <w:tcW w:w="7655"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Налог</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Норматив, %</w:t>
            </w:r>
          </w:p>
        </w:tc>
      </w:tr>
      <w:tr w:rsidR="00652A03" w:rsidRPr="00E106E7" w:rsidTr="005A1EAA">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Единый налог на вмененный доход для отдельных видов деятельности</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100</w:t>
            </w:r>
          </w:p>
        </w:tc>
      </w:tr>
      <w:tr w:rsidR="00652A03" w:rsidRPr="00E106E7" w:rsidTr="005A1EAA">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Единый сельхозналог, взимаемый на межселенных территориях</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70</w:t>
            </w:r>
          </w:p>
        </w:tc>
      </w:tr>
      <w:tr w:rsidR="00652A03" w:rsidRPr="00E106E7" w:rsidTr="005A1EAA">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Налог на доходы физических лиц</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10</w:t>
            </w:r>
          </w:p>
        </w:tc>
      </w:tr>
      <w:tr w:rsidR="00652A03" w:rsidRPr="00E106E7" w:rsidTr="005A1EAA">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Единый сельскохозяйственный налог</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35</w:t>
            </w:r>
          </w:p>
        </w:tc>
      </w:tr>
      <w:tr w:rsidR="00652A03" w:rsidRPr="00E106E7" w:rsidTr="005A1EAA">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Налог на доходы физических лиц, взимаемый на межселенных</w:t>
            </w:r>
          </w:p>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lastRenderedPageBreak/>
              <w:t>территориях</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lastRenderedPageBreak/>
              <w:t>20</w:t>
            </w:r>
          </w:p>
        </w:tc>
      </w:tr>
      <w:tr w:rsidR="00652A03" w:rsidRPr="00E106E7" w:rsidTr="005A1EAA">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lastRenderedPageBreak/>
              <w:t>Государственная пошлина по отдельным операциям</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100</w:t>
            </w:r>
          </w:p>
        </w:tc>
      </w:tr>
    </w:tbl>
    <w:p w:rsidR="00652A03" w:rsidRPr="00E106E7" w:rsidRDefault="00652A03" w:rsidP="00652A03">
      <w:pPr>
        <w:spacing w:after="0" w:line="240" w:lineRule="auto"/>
        <w:ind w:firstLine="709"/>
        <w:jc w:val="both"/>
        <w:rPr>
          <w:rFonts w:ascii="Times New Roman" w:eastAsia="Times New Roman" w:hAnsi="Times New Roman" w:cs="Times New Roman"/>
          <w:sz w:val="28"/>
          <w:szCs w:val="28"/>
        </w:rPr>
      </w:pP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Налоговые доходы бюджетов городских округов включают в себя доходы от таких местных налогов как:</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налог на имущество физических лиц (норматив 100%);</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 земельный налог (норматив 100%)</w:t>
      </w:r>
      <w:r w:rsidR="009321EB">
        <w:rPr>
          <w:rStyle w:val="ae"/>
          <w:rFonts w:ascii="Times New Roman" w:eastAsia="Times New Roman" w:hAnsi="Times New Roman" w:cs="Times New Roman"/>
          <w:sz w:val="28"/>
          <w:szCs w:val="28"/>
        </w:rPr>
        <w:footnoteReference w:id="6"/>
      </w:r>
      <w:r w:rsidRPr="00E106E7">
        <w:rPr>
          <w:rFonts w:ascii="Times New Roman" w:eastAsia="Times New Roman" w:hAnsi="Times New Roman" w:cs="Times New Roman"/>
          <w:sz w:val="28"/>
          <w:szCs w:val="28"/>
        </w:rPr>
        <w:t>.</w:t>
      </w:r>
    </w:p>
    <w:p w:rsidR="00652A03"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В бюджеты городских округов могут быть зачислены следующие налоговые доходы от федеральных налогов и сборов и налогов, предусмотренных специальными налоговыми режимами, представленные в таблице 1.3.</w:t>
      </w:r>
    </w:p>
    <w:p w:rsidR="00652A03" w:rsidRPr="00E106E7" w:rsidRDefault="00652A03" w:rsidP="00652A03">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pacing w:val="20"/>
          <w:sz w:val="28"/>
          <w:szCs w:val="28"/>
        </w:rPr>
        <w:t>Таблица</w:t>
      </w:r>
      <w:r w:rsidRPr="00E106E7">
        <w:rPr>
          <w:rFonts w:ascii="Times New Roman" w:eastAsia="Times New Roman" w:hAnsi="Times New Roman" w:cs="Times New Roman"/>
          <w:sz w:val="28"/>
          <w:szCs w:val="28"/>
        </w:rPr>
        <w:t xml:space="preserve"> 1.3 – Норматив отчислений налогов</w:t>
      </w:r>
      <w:r w:rsidR="00000213">
        <w:rPr>
          <w:rFonts w:ascii="Times New Roman" w:eastAsia="Times New Roman" w:hAnsi="Times New Roman" w:cs="Times New Roman"/>
          <w:sz w:val="28"/>
          <w:szCs w:val="28"/>
        </w:rPr>
        <w:t xml:space="preserve"> в бюджеты городских округов </w:t>
      </w:r>
    </w:p>
    <w:tbl>
      <w:tblPr>
        <w:tblStyle w:val="a4"/>
        <w:tblW w:w="0" w:type="auto"/>
        <w:tblInd w:w="108" w:type="dxa"/>
        <w:tblLook w:val="04A0"/>
      </w:tblPr>
      <w:tblGrid>
        <w:gridCol w:w="7655"/>
        <w:gridCol w:w="1808"/>
      </w:tblGrid>
      <w:tr w:rsidR="00652A03" w:rsidRPr="00E106E7" w:rsidTr="009321EB">
        <w:tc>
          <w:tcPr>
            <w:tcW w:w="7655"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Налог</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Норматив, %</w:t>
            </w:r>
          </w:p>
        </w:tc>
      </w:tr>
      <w:tr w:rsidR="00652A03" w:rsidRPr="00E106E7" w:rsidTr="009321EB">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Единый налог на вмененный доход для отдельных видов деятельности</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100</w:t>
            </w:r>
          </w:p>
        </w:tc>
      </w:tr>
      <w:tr w:rsidR="00652A03" w:rsidRPr="00E106E7" w:rsidTr="009321EB">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Единый сельскохозяйственный налог</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70</w:t>
            </w:r>
          </w:p>
        </w:tc>
      </w:tr>
      <w:tr w:rsidR="00652A03" w:rsidRPr="00E106E7" w:rsidTr="009321EB">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Налог на доходы физических лиц</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20</w:t>
            </w:r>
          </w:p>
        </w:tc>
      </w:tr>
      <w:tr w:rsidR="00652A03" w:rsidRPr="00E106E7" w:rsidTr="009321EB">
        <w:tc>
          <w:tcPr>
            <w:tcW w:w="7655" w:type="dxa"/>
          </w:tcPr>
          <w:p w:rsidR="00652A03" w:rsidRPr="00E106E7" w:rsidRDefault="00652A03" w:rsidP="005A1EAA">
            <w:pPr>
              <w:ind w:firstLine="34"/>
              <w:jc w:val="both"/>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Государственная пошлина по отдельным операциям</w:t>
            </w:r>
          </w:p>
        </w:tc>
        <w:tc>
          <w:tcPr>
            <w:tcW w:w="1808" w:type="dxa"/>
          </w:tcPr>
          <w:p w:rsidR="00652A03" w:rsidRPr="00E106E7" w:rsidRDefault="00652A03" w:rsidP="005A1EAA">
            <w:pPr>
              <w:ind w:firstLine="34"/>
              <w:jc w:val="center"/>
              <w:rPr>
                <w:rFonts w:ascii="Times New Roman" w:eastAsia="Times New Roman" w:hAnsi="Times New Roman" w:cs="Times New Roman"/>
                <w:sz w:val="24"/>
                <w:szCs w:val="28"/>
              </w:rPr>
            </w:pPr>
            <w:r w:rsidRPr="00E106E7">
              <w:rPr>
                <w:rFonts w:ascii="Times New Roman" w:eastAsia="Times New Roman" w:hAnsi="Times New Roman" w:cs="Times New Roman"/>
                <w:sz w:val="24"/>
                <w:szCs w:val="28"/>
              </w:rPr>
              <w:t>100</w:t>
            </w:r>
          </w:p>
        </w:tc>
      </w:tr>
    </w:tbl>
    <w:p w:rsidR="00652A03" w:rsidRPr="00E106E7" w:rsidRDefault="00652A03" w:rsidP="00652A03">
      <w:pPr>
        <w:spacing w:after="0" w:line="240" w:lineRule="auto"/>
        <w:ind w:firstLine="709"/>
        <w:jc w:val="both"/>
        <w:rPr>
          <w:rFonts w:ascii="Times New Roman" w:eastAsia="Times New Roman" w:hAnsi="Times New Roman" w:cs="Times New Roman"/>
          <w:sz w:val="28"/>
          <w:szCs w:val="28"/>
        </w:rPr>
      </w:pPr>
    </w:p>
    <w:p w:rsidR="00652A03" w:rsidRDefault="00652A03" w:rsidP="00CE65DA">
      <w:pPr>
        <w:spacing w:after="0" w:line="360" w:lineRule="auto"/>
        <w:ind w:firstLine="709"/>
        <w:jc w:val="both"/>
        <w:rPr>
          <w:rFonts w:ascii="Times New Roman" w:eastAsia="Times New Roman" w:hAnsi="Times New Roman" w:cs="Times New Roman"/>
          <w:sz w:val="28"/>
          <w:szCs w:val="28"/>
        </w:rPr>
      </w:pPr>
      <w:r w:rsidRPr="00E106E7">
        <w:rPr>
          <w:rFonts w:ascii="Times New Roman" w:eastAsia="Times New Roman" w:hAnsi="Times New Roman" w:cs="Times New Roman"/>
          <w:sz w:val="28"/>
          <w:szCs w:val="28"/>
        </w:rPr>
        <w:t>Неналоговые доходы местных бюджетов Российской Федерации в соответствии с Бюджетным кодексом РФ формируются за счет:</w:t>
      </w:r>
      <w:r w:rsidR="00CE65DA">
        <w:rPr>
          <w:rFonts w:ascii="Times New Roman" w:eastAsia="Times New Roman" w:hAnsi="Times New Roman" w:cs="Times New Roman"/>
          <w:sz w:val="28"/>
          <w:szCs w:val="28"/>
        </w:rPr>
        <w:t xml:space="preserve"> </w:t>
      </w:r>
      <w:r w:rsidRPr="00E106E7">
        <w:rPr>
          <w:rFonts w:ascii="Times New Roman" w:eastAsia="Times New Roman" w:hAnsi="Times New Roman" w:cs="Times New Roman"/>
          <w:sz w:val="28"/>
          <w:szCs w:val="28"/>
        </w:rPr>
        <w:t>доходов от использования имущества, находящегос</w:t>
      </w:r>
      <w:r w:rsidR="00CE65DA">
        <w:rPr>
          <w:rFonts w:ascii="Times New Roman" w:eastAsia="Times New Roman" w:hAnsi="Times New Roman" w:cs="Times New Roman"/>
          <w:sz w:val="28"/>
          <w:szCs w:val="28"/>
        </w:rPr>
        <w:t xml:space="preserve">я в муниципальной собственности </w:t>
      </w:r>
      <w:r w:rsidRPr="00E106E7">
        <w:rPr>
          <w:rFonts w:ascii="Times New Roman" w:eastAsia="Times New Roman" w:hAnsi="Times New Roman" w:cs="Times New Roman"/>
          <w:sz w:val="28"/>
          <w:szCs w:val="28"/>
        </w:rPr>
        <w:t xml:space="preserve"> доходов от продажи имущества, находящегося в муниципальной собственности; доходов от платных услуг, оказываемых муниципальными учреждениями;</w:t>
      </w:r>
      <w:r w:rsidR="00CE65DA">
        <w:rPr>
          <w:rFonts w:ascii="Times New Roman" w:eastAsia="Times New Roman" w:hAnsi="Times New Roman" w:cs="Times New Roman"/>
          <w:sz w:val="28"/>
          <w:szCs w:val="28"/>
        </w:rPr>
        <w:t xml:space="preserve"> </w:t>
      </w:r>
      <w:r w:rsidRPr="00E106E7">
        <w:rPr>
          <w:rFonts w:ascii="Times New Roman" w:eastAsia="Times New Roman" w:hAnsi="Times New Roman" w:cs="Times New Roman"/>
          <w:sz w:val="28"/>
          <w:szCs w:val="28"/>
        </w:rPr>
        <w:t xml:space="preserve">части прибыли муниципальных унитарных предприятий, остающейся после уплаты налогов </w:t>
      </w:r>
      <w:r w:rsidR="00CE65DA">
        <w:rPr>
          <w:rFonts w:ascii="Times New Roman" w:eastAsia="Times New Roman" w:hAnsi="Times New Roman" w:cs="Times New Roman"/>
          <w:sz w:val="28"/>
          <w:szCs w:val="28"/>
        </w:rPr>
        <w:t>и иных обязательных платежей</w:t>
      </w:r>
      <w:r w:rsidRPr="00E106E7">
        <w:rPr>
          <w:rFonts w:ascii="Times New Roman" w:eastAsia="Times New Roman" w:hAnsi="Times New Roman" w:cs="Times New Roman"/>
          <w:sz w:val="28"/>
          <w:szCs w:val="28"/>
        </w:rPr>
        <w:t>.</w:t>
      </w:r>
    </w:p>
    <w:p w:rsidR="0030378C" w:rsidRPr="0030378C" w:rsidRDefault="0030378C" w:rsidP="0030378C">
      <w:pPr>
        <w:pStyle w:val="a3"/>
        <w:ind w:left="0" w:firstLine="709"/>
        <w:jc w:val="both"/>
        <w:rPr>
          <w:rFonts w:ascii="Times New Roman" w:hAnsi="Times New Roman" w:cs="Times New Roman"/>
          <w:b/>
          <w:sz w:val="28"/>
        </w:rPr>
      </w:pPr>
      <w:r w:rsidRPr="0030378C">
        <w:rPr>
          <w:rFonts w:ascii="Times New Roman" w:hAnsi="Times New Roman" w:cs="Times New Roman"/>
          <w:b/>
          <w:sz w:val="28"/>
        </w:rPr>
        <w:t>2.</w:t>
      </w:r>
      <w:r w:rsidRPr="0030378C">
        <w:rPr>
          <w:rFonts w:ascii="Times New Roman" w:hAnsi="Times New Roman" w:cs="Times New Roman"/>
          <w:b/>
          <w:sz w:val="28"/>
        </w:rPr>
        <w:tab/>
        <w:t>Анализ бюджета и приоритетных направлений налоговой политики РФ</w:t>
      </w:r>
    </w:p>
    <w:p w:rsidR="0030378C" w:rsidRDefault="0030378C" w:rsidP="0030378C">
      <w:pPr>
        <w:pStyle w:val="a3"/>
        <w:ind w:left="0" w:firstLine="709"/>
        <w:jc w:val="both"/>
        <w:rPr>
          <w:rFonts w:ascii="Times New Roman" w:hAnsi="Times New Roman" w:cs="Times New Roman"/>
          <w:b/>
          <w:sz w:val="28"/>
        </w:rPr>
      </w:pPr>
      <w:r w:rsidRPr="0030378C">
        <w:rPr>
          <w:rFonts w:ascii="Times New Roman" w:hAnsi="Times New Roman" w:cs="Times New Roman"/>
          <w:b/>
          <w:sz w:val="28"/>
        </w:rPr>
        <w:lastRenderedPageBreak/>
        <w:t>2.1.</w:t>
      </w:r>
      <w:r w:rsidRPr="0030378C">
        <w:rPr>
          <w:rFonts w:ascii="Times New Roman" w:hAnsi="Times New Roman" w:cs="Times New Roman"/>
          <w:b/>
          <w:sz w:val="28"/>
        </w:rPr>
        <w:tab/>
        <w:t>Анализ динамики доходов и расходов федерального бюджета РФ</w:t>
      </w:r>
    </w:p>
    <w:p w:rsidR="0030378C" w:rsidRDefault="0030378C" w:rsidP="00000213">
      <w:pPr>
        <w:pStyle w:val="a3"/>
        <w:spacing w:after="0" w:line="240" w:lineRule="auto"/>
        <w:ind w:left="0" w:firstLine="709"/>
        <w:jc w:val="both"/>
        <w:rPr>
          <w:rFonts w:ascii="Times New Roman" w:hAnsi="Times New Roman" w:cs="Times New Roman"/>
          <w:b/>
          <w:sz w:val="28"/>
        </w:rPr>
      </w:pP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Доходы бюджета способны воздействовать на хозяйственную активность, на объемы выпускаемой продукции и техническое оснащение производства, на равновесие цен, на отраслевое и территориальное размещение инвестиций.</w:t>
      </w: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 xml:space="preserve">Динамика доходов федерального бюджета  за период с 2012 по 2016 год приведена на рисунке 2.1. </w:t>
      </w:r>
    </w:p>
    <w:p w:rsidR="0030378C" w:rsidRPr="0030378C" w:rsidRDefault="0030378C" w:rsidP="0030378C">
      <w:pPr>
        <w:spacing w:after="0" w:line="240" w:lineRule="auto"/>
        <w:ind w:firstLine="709"/>
        <w:jc w:val="both"/>
        <w:rPr>
          <w:rFonts w:ascii="Times New Roman" w:eastAsia="Times New Roman" w:hAnsi="Times New Roman" w:cs="Times New Roman"/>
          <w:sz w:val="28"/>
          <w:szCs w:val="28"/>
        </w:rPr>
      </w:pPr>
    </w:p>
    <w:p w:rsidR="0030378C" w:rsidRPr="0030378C" w:rsidRDefault="0030378C" w:rsidP="0030378C">
      <w:pPr>
        <w:spacing w:after="0" w:line="360" w:lineRule="auto"/>
        <w:ind w:firstLine="709"/>
        <w:jc w:val="center"/>
        <w:rPr>
          <w:rFonts w:ascii="Times New Roman" w:eastAsia="Times New Roman" w:hAnsi="Times New Roman" w:cs="Times New Roman"/>
          <w:b/>
          <w:sz w:val="28"/>
          <w:szCs w:val="28"/>
        </w:rPr>
      </w:pPr>
      <w:r w:rsidRPr="0030378C">
        <w:rPr>
          <w:rFonts w:ascii="Times New Roman" w:eastAsia="Times New Roman" w:hAnsi="Times New Roman" w:cs="Times New Roman"/>
          <w:noProof/>
          <w:sz w:val="28"/>
          <w:szCs w:val="28"/>
          <w:lang w:eastAsia="ru-RU"/>
        </w:rPr>
        <w:drawing>
          <wp:inline distT="0" distB="0" distL="0" distR="0">
            <wp:extent cx="494347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378C" w:rsidRPr="0030378C" w:rsidRDefault="0030378C" w:rsidP="0030378C">
      <w:pPr>
        <w:spacing w:after="0" w:line="360" w:lineRule="auto"/>
        <w:ind w:firstLine="709"/>
        <w:jc w:val="center"/>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Рисунок 2.1 – Динамика доходов федерального бюджета РФ, млрд. р.</w:t>
      </w:r>
      <w:r w:rsidR="00B057AE">
        <w:rPr>
          <w:rStyle w:val="ae"/>
          <w:rFonts w:ascii="Times New Roman" w:eastAsia="Times New Roman" w:hAnsi="Times New Roman" w:cs="Times New Roman"/>
          <w:sz w:val="28"/>
          <w:szCs w:val="28"/>
        </w:rPr>
        <w:footnoteReference w:id="7"/>
      </w:r>
    </w:p>
    <w:p w:rsidR="0030378C" w:rsidRPr="0030378C" w:rsidRDefault="0030378C" w:rsidP="0030378C">
      <w:pPr>
        <w:spacing w:after="0" w:line="240" w:lineRule="auto"/>
        <w:ind w:firstLine="709"/>
        <w:jc w:val="center"/>
        <w:rPr>
          <w:rFonts w:ascii="Times New Roman" w:eastAsia="Times New Roman" w:hAnsi="Times New Roman" w:cs="Times New Roman"/>
          <w:sz w:val="28"/>
          <w:szCs w:val="28"/>
        </w:rPr>
      </w:pPr>
    </w:p>
    <w:p w:rsidR="00E96619"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 xml:space="preserve">Следует отметить, что снижение общего объема доходов (на 199 202,2 млн. рублей), поступивших в федеральный бюджет в 2016 году, по сравнению с 2015 годом произошло за счет снижения неналоговых доходов (на 234 675,5 </w:t>
      </w:r>
      <w:r w:rsidRPr="0030378C">
        <w:rPr>
          <w:rFonts w:ascii="Times New Roman" w:eastAsia="Times New Roman" w:hAnsi="Times New Roman" w:cs="Times New Roman"/>
          <w:sz w:val="28"/>
          <w:szCs w:val="28"/>
        </w:rPr>
        <w:lastRenderedPageBreak/>
        <w:t>млн. рублей). При этом отмечается снижение вывозных таможенных пошлин – на 726 300,5 млн. рублей (на 26,1 %), доходов от управления средствами Резервного Фонда – на 24 082,5 млн. рублей (на 47,7 %), доходов от управления средствами Фонда национального благосостояния – 21 779,7 млн. рублей (на 26,2 %), доходов от перечисления части прибыли Банка России – 36 366,4 млн. рублей (на 26,4 %), прочих доходов от компенсации затрат федерального бюджета – на 223 614,3 млн. рублей (на 88,7 %)</w:t>
      </w:r>
      <w:r w:rsidR="00E96619">
        <w:rPr>
          <w:rFonts w:ascii="Times New Roman" w:eastAsia="Times New Roman" w:hAnsi="Times New Roman" w:cs="Times New Roman"/>
          <w:sz w:val="28"/>
          <w:szCs w:val="28"/>
        </w:rPr>
        <w:t>.</w:t>
      </w: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На рисунке 2.2 приведена динамика различных видов доход федерального бюджета за период с 2012 по 2016 год.</w:t>
      </w:r>
    </w:p>
    <w:p w:rsidR="0030378C" w:rsidRPr="0030378C" w:rsidRDefault="0030378C" w:rsidP="0030378C">
      <w:pPr>
        <w:spacing w:after="0" w:line="240" w:lineRule="auto"/>
        <w:ind w:firstLine="709"/>
        <w:jc w:val="both"/>
        <w:rPr>
          <w:rFonts w:ascii="Times New Roman" w:eastAsia="Times New Roman" w:hAnsi="Times New Roman" w:cs="Times New Roman"/>
          <w:sz w:val="28"/>
          <w:szCs w:val="28"/>
        </w:rPr>
      </w:pPr>
    </w:p>
    <w:p w:rsidR="0030378C" w:rsidRPr="0030378C" w:rsidRDefault="0030378C" w:rsidP="0030378C">
      <w:pPr>
        <w:spacing w:after="0" w:line="360" w:lineRule="auto"/>
        <w:ind w:firstLine="709"/>
        <w:jc w:val="center"/>
        <w:rPr>
          <w:rFonts w:ascii="Times New Roman" w:eastAsia="Times New Roman" w:hAnsi="Times New Roman" w:cs="Times New Roman"/>
          <w:sz w:val="28"/>
          <w:szCs w:val="28"/>
        </w:rPr>
      </w:pPr>
      <w:r w:rsidRPr="0030378C">
        <w:rPr>
          <w:rFonts w:ascii="Times New Roman" w:eastAsia="Times New Roman" w:hAnsi="Times New Roman" w:cs="Times New Roman"/>
          <w:noProof/>
          <w:sz w:val="28"/>
          <w:szCs w:val="28"/>
          <w:lang w:eastAsia="ru-RU"/>
        </w:rPr>
        <w:drawing>
          <wp:inline distT="0" distB="0" distL="0" distR="0">
            <wp:extent cx="4552950" cy="2638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78C" w:rsidRPr="0030378C" w:rsidRDefault="0030378C" w:rsidP="0030378C">
      <w:pPr>
        <w:spacing w:after="0" w:line="360" w:lineRule="auto"/>
        <w:ind w:firstLine="709"/>
        <w:jc w:val="center"/>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Рисунок 2.2 – Динамика различных видов доходов федерального бюджета РФ, млрд. р.</w:t>
      </w:r>
      <w:r w:rsidR="00000213">
        <w:rPr>
          <w:rFonts w:ascii="Times New Roman" w:eastAsia="Times New Roman" w:hAnsi="Times New Roman" w:cs="Times New Roman"/>
          <w:sz w:val="28"/>
          <w:szCs w:val="28"/>
        </w:rPr>
        <w:t xml:space="preserve"> </w:t>
      </w:r>
    </w:p>
    <w:p w:rsidR="0030378C" w:rsidRPr="0030378C" w:rsidRDefault="0030378C" w:rsidP="0030378C">
      <w:pPr>
        <w:spacing w:after="0" w:line="240" w:lineRule="auto"/>
        <w:ind w:firstLine="709"/>
        <w:jc w:val="both"/>
        <w:rPr>
          <w:rFonts w:ascii="Times New Roman" w:eastAsia="Times New Roman" w:hAnsi="Times New Roman" w:cs="Times New Roman"/>
          <w:sz w:val="28"/>
          <w:szCs w:val="28"/>
        </w:rPr>
      </w:pP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 xml:space="preserve">По налоговым доходам по сравнению с 2015 годом рост составил 143 639,0 млн. рублей (1,7 %) в основном за счет увеличения поступлений налога на добавленную стоимость на товары (работы, услуги), реализуемые на территории Российской Федерации, – на 209 046,9 млн. рублей (на 8,5 %), </w:t>
      </w:r>
      <w:r w:rsidRPr="0030378C">
        <w:rPr>
          <w:rFonts w:ascii="Times New Roman" w:eastAsia="Times New Roman" w:hAnsi="Times New Roman" w:cs="Times New Roman"/>
          <w:sz w:val="28"/>
          <w:szCs w:val="28"/>
        </w:rPr>
        <w:lastRenderedPageBreak/>
        <w:t xml:space="preserve">акцизов по подакцизным товарам (продукции), производимым на территории Российской Федерации, – на 104 266,9 млн. рублей (на 19,8 %), а также налога на добавленную стоимость на товары, ввозимые на территорию Российской Федерации, – на 128 346,1 млн. рублей (на 7,2 %) при снижении налогов, сборов и регулярных платежей за пользование природными ресурсами – на 298 193,2 млн. рублей (на 9,4 %), в основном за счет уменьшения поступлений НДПИ в виде углеводородного сырья – на 300 436,2 млн. рублей (на 9,6 %) </w:t>
      </w: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 xml:space="preserve">Для оценки расходов федерального бюджета РФ систематизированы данные за последние 5 лет (2012-2016 гг.), полученные на сайте Счетной палаты РФ. </w:t>
      </w: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 xml:space="preserve">Федеральным законом № 359–ФЗ утвержден общий объем расходов федерального бюджета в 2016 году в сумме 16 098,7 млрд рублей. В ходе исполнения федерального бюджета в 2016 году изменение бюджетных ассигнований осуществлялось путем внесения изменений в Федеральный закон № 359–ФЗ и сводную бюджетную роспись федерального бюджета. </w:t>
      </w: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Динамика расходов федерального бюджета за последние 5</w:t>
      </w:r>
      <w:r w:rsidR="00E96619">
        <w:rPr>
          <w:rFonts w:ascii="Times New Roman" w:eastAsia="Times New Roman" w:hAnsi="Times New Roman" w:cs="Times New Roman"/>
          <w:sz w:val="28"/>
          <w:szCs w:val="28"/>
        </w:rPr>
        <w:t xml:space="preserve"> лет п</w:t>
      </w:r>
      <w:r w:rsidR="000B5735">
        <w:rPr>
          <w:rFonts w:ascii="Times New Roman" w:eastAsia="Times New Roman" w:hAnsi="Times New Roman" w:cs="Times New Roman"/>
          <w:sz w:val="28"/>
          <w:szCs w:val="28"/>
        </w:rPr>
        <w:t>редставлена на рисунке 2.3</w:t>
      </w:r>
      <w:r w:rsidRPr="0030378C">
        <w:rPr>
          <w:rFonts w:ascii="Times New Roman" w:eastAsia="Times New Roman" w:hAnsi="Times New Roman" w:cs="Times New Roman"/>
          <w:sz w:val="28"/>
          <w:szCs w:val="28"/>
        </w:rPr>
        <w:t>.</w:t>
      </w:r>
    </w:p>
    <w:p w:rsidR="0030378C" w:rsidRPr="0030378C" w:rsidRDefault="0030378C" w:rsidP="0030378C">
      <w:pPr>
        <w:spacing w:after="0" w:line="240" w:lineRule="auto"/>
        <w:ind w:firstLine="709"/>
        <w:jc w:val="both"/>
        <w:rPr>
          <w:rFonts w:ascii="Times New Roman" w:eastAsia="Times New Roman" w:hAnsi="Times New Roman" w:cs="Times New Roman"/>
          <w:sz w:val="28"/>
          <w:szCs w:val="28"/>
        </w:rPr>
      </w:pPr>
    </w:p>
    <w:p w:rsidR="0030378C" w:rsidRPr="0030378C" w:rsidRDefault="0030378C" w:rsidP="0030378C">
      <w:pPr>
        <w:spacing w:after="0" w:line="240" w:lineRule="auto"/>
        <w:ind w:firstLine="709"/>
        <w:jc w:val="center"/>
        <w:rPr>
          <w:rFonts w:ascii="Times New Roman" w:eastAsia="Times New Roman" w:hAnsi="Times New Roman" w:cs="Times New Roman"/>
          <w:sz w:val="28"/>
          <w:szCs w:val="28"/>
        </w:rPr>
      </w:pPr>
      <w:r w:rsidRPr="0030378C">
        <w:rPr>
          <w:rFonts w:ascii="Times New Roman" w:eastAsia="Times New Roman" w:hAnsi="Times New Roman" w:cs="Times New Roman"/>
          <w:noProof/>
          <w:sz w:val="28"/>
          <w:szCs w:val="28"/>
          <w:lang w:eastAsia="ru-RU"/>
        </w:rPr>
        <w:lastRenderedPageBreak/>
        <w:drawing>
          <wp:inline distT="0" distB="0" distL="0" distR="0">
            <wp:extent cx="4962525" cy="28289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p>
    <w:p w:rsidR="0030378C" w:rsidRPr="0030378C" w:rsidRDefault="0030378C" w:rsidP="0030378C">
      <w:pPr>
        <w:spacing w:after="0" w:line="360" w:lineRule="auto"/>
        <w:ind w:firstLine="709"/>
        <w:jc w:val="center"/>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Рисунок 2.</w:t>
      </w:r>
      <w:r w:rsidR="000B5735">
        <w:rPr>
          <w:rFonts w:ascii="Times New Roman" w:eastAsia="Times New Roman" w:hAnsi="Times New Roman" w:cs="Times New Roman"/>
          <w:sz w:val="28"/>
          <w:szCs w:val="28"/>
        </w:rPr>
        <w:t>3</w:t>
      </w:r>
      <w:r w:rsidRPr="0030378C">
        <w:rPr>
          <w:rFonts w:ascii="Times New Roman" w:eastAsia="Times New Roman" w:hAnsi="Times New Roman" w:cs="Times New Roman"/>
          <w:sz w:val="28"/>
          <w:szCs w:val="28"/>
        </w:rPr>
        <w:t xml:space="preserve"> – Динамика расходов федерального бюджета РФ за 2012–2016 гг., млрд. р.</w:t>
      </w:r>
      <w:r w:rsidR="00B057AE">
        <w:rPr>
          <w:rStyle w:val="ae"/>
          <w:rFonts w:ascii="Times New Roman" w:eastAsia="Times New Roman" w:hAnsi="Times New Roman" w:cs="Times New Roman"/>
          <w:sz w:val="28"/>
          <w:szCs w:val="28"/>
        </w:rPr>
        <w:footnoteReference w:id="8"/>
      </w:r>
    </w:p>
    <w:p w:rsidR="0030378C" w:rsidRPr="0030378C" w:rsidRDefault="0030378C" w:rsidP="0030378C">
      <w:pPr>
        <w:spacing w:after="0" w:line="240" w:lineRule="auto"/>
        <w:ind w:firstLine="709"/>
        <w:jc w:val="both"/>
        <w:rPr>
          <w:rFonts w:ascii="Times New Roman" w:eastAsia="Times New Roman" w:hAnsi="Times New Roman" w:cs="Times New Roman"/>
          <w:sz w:val="28"/>
          <w:szCs w:val="28"/>
        </w:rPr>
      </w:pP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 xml:space="preserve">Динамика основных показателей федерального бюджета характеризуется постепенным снижением числа доходов и ростом объема расходов. Рассматриваемый период 2012-2016 гг. планировался и исполнялся с дефицитом, что говорит о проблеме сбалансированности федерального бюджета. </w:t>
      </w:r>
    </w:p>
    <w:p w:rsidR="0030378C" w:rsidRPr="0030378C" w:rsidRDefault="0030378C" w:rsidP="0030378C">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По сравнению с отчетом об исполнении федерального бюджета за 2015 год расходы федерального бюджета за 2016 год увеличились на 796 194,2 млн. рублей, или на 5,1 %, а их удельный вес составил 19,1 % ВВП и по сравнению с 2015 годом увеличился на 0,3 процентного пункта.</w:t>
      </w:r>
    </w:p>
    <w:p w:rsidR="0030378C" w:rsidRDefault="0030378C" w:rsidP="0030378C">
      <w:pPr>
        <w:pStyle w:val="a3"/>
        <w:ind w:left="0" w:firstLine="709"/>
        <w:jc w:val="both"/>
        <w:rPr>
          <w:rFonts w:ascii="Times New Roman" w:hAnsi="Times New Roman" w:cs="Times New Roman"/>
          <w:b/>
          <w:sz w:val="28"/>
        </w:rPr>
      </w:pPr>
    </w:p>
    <w:p w:rsidR="0030378C" w:rsidRPr="0030378C" w:rsidRDefault="0030378C" w:rsidP="0030378C">
      <w:pPr>
        <w:pStyle w:val="a3"/>
        <w:ind w:left="0" w:firstLine="709"/>
        <w:jc w:val="both"/>
        <w:rPr>
          <w:rFonts w:ascii="Times New Roman" w:hAnsi="Times New Roman" w:cs="Times New Roman"/>
          <w:b/>
          <w:sz w:val="28"/>
        </w:rPr>
      </w:pPr>
    </w:p>
    <w:p w:rsidR="0030378C" w:rsidRDefault="0030378C" w:rsidP="0030378C">
      <w:pPr>
        <w:pStyle w:val="a3"/>
        <w:ind w:left="0" w:firstLine="709"/>
        <w:jc w:val="both"/>
        <w:rPr>
          <w:rFonts w:ascii="Times New Roman" w:hAnsi="Times New Roman" w:cs="Times New Roman"/>
          <w:b/>
          <w:sz w:val="28"/>
        </w:rPr>
      </w:pPr>
      <w:r w:rsidRPr="0030378C">
        <w:rPr>
          <w:rFonts w:ascii="Times New Roman" w:hAnsi="Times New Roman" w:cs="Times New Roman"/>
          <w:b/>
          <w:sz w:val="28"/>
        </w:rPr>
        <w:lastRenderedPageBreak/>
        <w:t>2.2.</w:t>
      </w:r>
      <w:r w:rsidRPr="0030378C">
        <w:rPr>
          <w:rFonts w:ascii="Times New Roman" w:hAnsi="Times New Roman" w:cs="Times New Roman"/>
          <w:b/>
          <w:sz w:val="28"/>
        </w:rPr>
        <w:tab/>
        <w:t>Оценка структуры доходной части федерального бюджета РФ</w:t>
      </w:r>
    </w:p>
    <w:p w:rsidR="0030378C" w:rsidRDefault="0030378C" w:rsidP="000B5735">
      <w:pPr>
        <w:pStyle w:val="a3"/>
        <w:spacing w:line="240" w:lineRule="auto"/>
        <w:ind w:left="0" w:firstLine="709"/>
        <w:jc w:val="both"/>
        <w:rPr>
          <w:rFonts w:ascii="Times New Roman" w:hAnsi="Times New Roman" w:cs="Times New Roman"/>
          <w:b/>
          <w:sz w:val="28"/>
        </w:rPr>
      </w:pPr>
    </w:p>
    <w:p w:rsidR="000B5735" w:rsidRPr="0030378C" w:rsidRDefault="000B5735" w:rsidP="000B5735">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Ниже на рисунке 2.</w:t>
      </w:r>
      <w:r>
        <w:rPr>
          <w:rFonts w:ascii="Times New Roman" w:eastAsia="Times New Roman" w:hAnsi="Times New Roman" w:cs="Times New Roman"/>
          <w:sz w:val="28"/>
          <w:szCs w:val="28"/>
        </w:rPr>
        <w:t>4</w:t>
      </w:r>
      <w:r w:rsidRPr="0030378C">
        <w:rPr>
          <w:rFonts w:ascii="Times New Roman" w:eastAsia="Times New Roman" w:hAnsi="Times New Roman" w:cs="Times New Roman"/>
          <w:sz w:val="28"/>
          <w:szCs w:val="28"/>
        </w:rPr>
        <w:t xml:space="preserve"> приведено соотношение доходов федерального бюджета в разрезе налоговых и неналоговых доходов, безвозмездных поступлений соответствующих лет.</w:t>
      </w:r>
    </w:p>
    <w:p w:rsidR="000B5735" w:rsidRPr="0030378C" w:rsidRDefault="000B5735" w:rsidP="000B5735">
      <w:pPr>
        <w:spacing w:after="0" w:line="240" w:lineRule="auto"/>
        <w:ind w:firstLine="709"/>
        <w:jc w:val="both"/>
        <w:rPr>
          <w:rFonts w:ascii="Times New Roman" w:eastAsia="Times New Roman" w:hAnsi="Times New Roman" w:cs="Times New Roman"/>
          <w:sz w:val="28"/>
          <w:szCs w:val="28"/>
        </w:rPr>
      </w:pPr>
    </w:p>
    <w:p w:rsidR="000B5735" w:rsidRPr="0030378C" w:rsidRDefault="000B5735" w:rsidP="000B5735">
      <w:pPr>
        <w:spacing w:after="0" w:line="360" w:lineRule="auto"/>
        <w:ind w:firstLine="709"/>
        <w:jc w:val="center"/>
        <w:rPr>
          <w:rFonts w:ascii="Times New Roman" w:eastAsia="Times New Roman" w:hAnsi="Times New Roman" w:cs="Times New Roman"/>
          <w:sz w:val="28"/>
          <w:szCs w:val="28"/>
        </w:rPr>
      </w:pPr>
      <w:r w:rsidRPr="0030378C">
        <w:rPr>
          <w:rFonts w:ascii="Times New Roman" w:eastAsia="Times New Roman" w:hAnsi="Times New Roman" w:cs="Times New Roman"/>
          <w:noProof/>
          <w:sz w:val="28"/>
          <w:szCs w:val="28"/>
          <w:lang w:eastAsia="ru-RU"/>
        </w:rPr>
        <w:drawing>
          <wp:inline distT="0" distB="0" distL="0" distR="0">
            <wp:extent cx="5181600" cy="26003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735" w:rsidRPr="0030378C" w:rsidRDefault="000B5735" w:rsidP="000B5735">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2.4</w:t>
      </w:r>
      <w:r w:rsidRPr="0030378C">
        <w:rPr>
          <w:rFonts w:ascii="Times New Roman" w:eastAsia="Times New Roman" w:hAnsi="Times New Roman" w:cs="Times New Roman"/>
          <w:sz w:val="28"/>
          <w:szCs w:val="28"/>
        </w:rPr>
        <w:t xml:space="preserve"> – Соотношение доходов федерального бюджета РФ в структуре за 2012 – 2016 гг., %</w:t>
      </w:r>
      <w:r w:rsidR="00000213">
        <w:rPr>
          <w:rFonts w:ascii="Times New Roman" w:eastAsia="Times New Roman" w:hAnsi="Times New Roman" w:cs="Times New Roman"/>
          <w:sz w:val="28"/>
          <w:szCs w:val="28"/>
        </w:rPr>
        <w:t xml:space="preserve"> </w:t>
      </w:r>
    </w:p>
    <w:p w:rsidR="000B5735" w:rsidRPr="0030378C" w:rsidRDefault="000B5735" w:rsidP="000B5735">
      <w:pPr>
        <w:spacing w:after="0" w:line="240" w:lineRule="auto"/>
        <w:ind w:firstLine="709"/>
        <w:jc w:val="both"/>
        <w:rPr>
          <w:rFonts w:ascii="Times New Roman" w:eastAsia="Times New Roman" w:hAnsi="Times New Roman" w:cs="Times New Roman"/>
          <w:b/>
          <w:sz w:val="28"/>
          <w:szCs w:val="28"/>
        </w:rPr>
      </w:pPr>
    </w:p>
    <w:p w:rsidR="000B5735" w:rsidRDefault="000B5735" w:rsidP="000B5735">
      <w:pPr>
        <w:spacing w:after="0" w:line="360" w:lineRule="auto"/>
        <w:ind w:firstLine="709"/>
        <w:jc w:val="both"/>
        <w:rPr>
          <w:rFonts w:ascii="Times New Roman" w:eastAsia="Times New Roman" w:hAnsi="Times New Roman" w:cs="Times New Roman"/>
          <w:sz w:val="28"/>
          <w:szCs w:val="28"/>
        </w:rPr>
      </w:pPr>
      <w:r w:rsidRPr="0030378C">
        <w:rPr>
          <w:rFonts w:ascii="Times New Roman" w:eastAsia="Times New Roman" w:hAnsi="Times New Roman" w:cs="Times New Roman"/>
          <w:sz w:val="28"/>
          <w:szCs w:val="28"/>
        </w:rPr>
        <w:t>К</w:t>
      </w:r>
      <w:r>
        <w:rPr>
          <w:rFonts w:ascii="Times New Roman" w:eastAsia="Times New Roman" w:hAnsi="Times New Roman" w:cs="Times New Roman"/>
          <w:sz w:val="28"/>
          <w:szCs w:val="28"/>
        </w:rPr>
        <w:t>ак показывают данные рисунка 2.4</w:t>
      </w:r>
      <w:r w:rsidRPr="0030378C">
        <w:rPr>
          <w:rFonts w:ascii="Times New Roman" w:eastAsia="Times New Roman" w:hAnsi="Times New Roman" w:cs="Times New Roman"/>
          <w:sz w:val="28"/>
          <w:szCs w:val="28"/>
        </w:rPr>
        <w:t xml:space="preserve">., наибольший удельный вес в структуре  доходов федерального бюджета занимают налоговые доходы: на протяжении пяти лет анализируемого периода данный вид доходов составляет более 50% доходов федерального бюджета. </w:t>
      </w:r>
    </w:p>
    <w:p w:rsidR="00AE63BA" w:rsidRDefault="00AE63BA" w:rsidP="00AE63BA">
      <w:pPr>
        <w:spacing w:after="0" w:line="360" w:lineRule="auto"/>
        <w:ind w:firstLine="709"/>
        <w:jc w:val="both"/>
        <w:rPr>
          <w:rFonts w:ascii="Times New Roman" w:hAnsi="Times New Roman" w:cs="Times New Roman"/>
          <w:sz w:val="28"/>
          <w:szCs w:val="28"/>
        </w:rPr>
      </w:pPr>
    </w:p>
    <w:p w:rsidR="00AE63BA" w:rsidRPr="00C91351" w:rsidRDefault="00AE63BA" w:rsidP="00AE63BA">
      <w:pPr>
        <w:spacing w:after="0" w:line="360" w:lineRule="auto"/>
        <w:ind w:firstLine="709"/>
        <w:jc w:val="both"/>
        <w:rPr>
          <w:rFonts w:ascii="Times New Roman" w:hAnsi="Times New Roman" w:cs="Times New Roman"/>
          <w:sz w:val="28"/>
          <w:szCs w:val="28"/>
        </w:rPr>
      </w:pPr>
      <w:r w:rsidRPr="009E0CCF">
        <w:rPr>
          <w:rFonts w:ascii="Times New Roman" w:hAnsi="Times New Roman" w:cs="Times New Roman"/>
          <w:spacing w:val="20"/>
          <w:sz w:val="28"/>
          <w:szCs w:val="28"/>
        </w:rPr>
        <w:lastRenderedPageBreak/>
        <w:t>Таблица</w:t>
      </w:r>
      <w:r>
        <w:rPr>
          <w:rFonts w:ascii="Times New Roman" w:hAnsi="Times New Roman" w:cs="Times New Roman"/>
          <w:sz w:val="28"/>
          <w:szCs w:val="28"/>
        </w:rPr>
        <w:t xml:space="preserve"> 2.1. – Динамика и структура доходов федерального бюджета РФ</w:t>
      </w:r>
      <w:r w:rsidR="00B057AE">
        <w:rPr>
          <w:rStyle w:val="ae"/>
          <w:rFonts w:ascii="Times New Roman" w:hAnsi="Times New Roman" w:cs="Times New Roman"/>
          <w:sz w:val="28"/>
          <w:szCs w:val="28"/>
        </w:rPr>
        <w:footnoteReference w:id="9"/>
      </w:r>
    </w:p>
    <w:tbl>
      <w:tblPr>
        <w:tblW w:w="8982" w:type="dxa"/>
        <w:tblInd w:w="534" w:type="dxa"/>
        <w:tblLook w:val="04A0"/>
      </w:tblPr>
      <w:tblGrid>
        <w:gridCol w:w="1842"/>
        <w:gridCol w:w="1020"/>
        <w:gridCol w:w="1020"/>
        <w:gridCol w:w="1020"/>
        <w:gridCol w:w="1020"/>
        <w:gridCol w:w="1020"/>
        <w:gridCol w:w="1020"/>
        <w:gridCol w:w="1020"/>
      </w:tblGrid>
      <w:tr w:rsidR="00AE63BA" w:rsidRPr="0070366A" w:rsidTr="009E0CCF">
        <w:trPr>
          <w:trHeight w:val="300"/>
        </w:trPr>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Pr>
                <w:rFonts w:ascii="Times New Roman" w:eastAsia="Times New Roman" w:hAnsi="Times New Roman" w:cs="Times New Roman"/>
                <w:bCs/>
                <w:color w:val="0D0D0D" w:themeColor="text1" w:themeTint="F2"/>
                <w:lang w:eastAsia="ru-RU"/>
              </w:rPr>
              <w:t>Вид доходов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2010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2011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2012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2013</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2014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2015</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BA" w:rsidRPr="0070366A" w:rsidRDefault="00AE63BA" w:rsidP="005A1EA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2016</w:t>
            </w:r>
          </w:p>
        </w:tc>
      </w:tr>
      <w:tr w:rsidR="00AE63BA" w:rsidRPr="0070366A" w:rsidTr="009E0CCF">
        <w:trPr>
          <w:trHeight w:val="300"/>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E63BA" w:rsidRPr="0070366A" w:rsidRDefault="00AE63BA" w:rsidP="005A1EAA">
            <w:pPr>
              <w:spacing w:after="0" w:line="240" w:lineRule="auto"/>
              <w:rPr>
                <w:rFonts w:ascii="Times New Roman" w:eastAsia="Times New Roman" w:hAnsi="Times New Roman" w:cs="Times New Roman"/>
                <w:bCs/>
                <w:color w:val="0D0D0D" w:themeColor="text1" w:themeTint="F2"/>
                <w:lang w:eastAsia="ru-RU"/>
              </w:rPr>
            </w:pP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ind w:right="-108"/>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Доходы, всего</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8 305,4</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11 367,7</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12 855,5</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13 019,9</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14 496,9</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13 659,2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color w:val="0D0D0D" w:themeColor="text1" w:themeTint="F2"/>
                <w:lang w:eastAsia="ru-RU"/>
              </w:rPr>
              <w:t>13 459,5</w:t>
            </w:r>
          </w:p>
        </w:tc>
      </w:tr>
      <w:tr w:rsidR="00AE63BA" w:rsidRPr="0070366A" w:rsidTr="009E0CCF">
        <w:trPr>
          <w:trHeight w:val="845"/>
        </w:trPr>
        <w:tc>
          <w:tcPr>
            <w:tcW w:w="1842" w:type="dxa"/>
            <w:tcBorders>
              <w:top w:val="nil"/>
              <w:left w:val="single" w:sz="4" w:space="0" w:color="auto"/>
              <w:bottom w:val="single" w:sz="4" w:space="0" w:color="auto"/>
              <w:right w:val="single" w:sz="4" w:space="0" w:color="auto"/>
            </w:tcBorders>
            <w:shd w:val="clear" w:color="auto" w:fill="auto"/>
            <w:vAlign w:val="bottom"/>
          </w:tcPr>
          <w:p w:rsidR="00AE63BA" w:rsidRPr="0070366A" w:rsidRDefault="00AE63BA" w:rsidP="009E0CCF">
            <w:pPr>
              <w:spacing w:after="0" w:line="240" w:lineRule="auto"/>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
                <w:iCs/>
                <w:color w:val="0D0D0D" w:themeColor="text1" w:themeTint="F2"/>
                <w:lang w:eastAsia="ru-RU"/>
              </w:rPr>
              <w:t>Связанные с внутренним производством</w:t>
            </w:r>
          </w:p>
        </w:tc>
        <w:tc>
          <w:tcPr>
            <w:tcW w:w="1020" w:type="dxa"/>
            <w:tcBorders>
              <w:top w:val="nil"/>
              <w:left w:val="nil"/>
              <w:bottom w:val="single" w:sz="4" w:space="0" w:color="auto"/>
              <w:right w:val="single" w:sz="4" w:space="0" w:color="auto"/>
            </w:tcBorders>
            <w:shd w:val="clear" w:color="auto" w:fill="auto"/>
            <w:noWrap/>
            <w:vAlign w:val="bottom"/>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1 697,7</w:t>
            </w:r>
          </w:p>
        </w:tc>
        <w:tc>
          <w:tcPr>
            <w:tcW w:w="1020" w:type="dxa"/>
            <w:tcBorders>
              <w:top w:val="nil"/>
              <w:left w:val="nil"/>
              <w:bottom w:val="single" w:sz="4" w:space="0" w:color="auto"/>
              <w:right w:val="single" w:sz="4" w:space="0" w:color="auto"/>
            </w:tcBorders>
            <w:shd w:val="clear" w:color="auto" w:fill="auto"/>
            <w:noWrap/>
            <w:vAlign w:val="bottom"/>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2 327,6</w:t>
            </w:r>
          </w:p>
        </w:tc>
        <w:tc>
          <w:tcPr>
            <w:tcW w:w="1020" w:type="dxa"/>
            <w:tcBorders>
              <w:top w:val="nil"/>
              <w:left w:val="nil"/>
              <w:bottom w:val="single" w:sz="4" w:space="0" w:color="auto"/>
              <w:right w:val="single" w:sz="4" w:space="0" w:color="auto"/>
            </w:tcBorders>
            <w:shd w:val="clear" w:color="auto" w:fill="auto"/>
            <w:noWrap/>
            <w:vAlign w:val="bottom"/>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2 603,8</w:t>
            </w:r>
          </w:p>
        </w:tc>
        <w:tc>
          <w:tcPr>
            <w:tcW w:w="1020" w:type="dxa"/>
            <w:tcBorders>
              <w:top w:val="nil"/>
              <w:left w:val="nil"/>
              <w:bottom w:val="single" w:sz="4" w:space="0" w:color="auto"/>
              <w:right w:val="single" w:sz="4" w:space="0" w:color="auto"/>
            </w:tcBorders>
            <w:shd w:val="clear" w:color="auto" w:fill="auto"/>
            <w:noWrap/>
            <w:vAlign w:val="bottom"/>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2 681,5</w:t>
            </w:r>
          </w:p>
        </w:tc>
        <w:tc>
          <w:tcPr>
            <w:tcW w:w="1020" w:type="dxa"/>
            <w:tcBorders>
              <w:top w:val="nil"/>
              <w:left w:val="nil"/>
              <w:bottom w:val="single" w:sz="4" w:space="0" w:color="auto"/>
              <w:right w:val="single" w:sz="4" w:space="0" w:color="auto"/>
            </w:tcBorders>
            <w:shd w:val="clear" w:color="auto" w:fill="auto"/>
            <w:noWrap/>
            <w:vAlign w:val="bottom"/>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3 113,6</w:t>
            </w:r>
          </w:p>
        </w:tc>
        <w:tc>
          <w:tcPr>
            <w:tcW w:w="1020" w:type="dxa"/>
            <w:tcBorders>
              <w:top w:val="nil"/>
              <w:left w:val="nil"/>
              <w:bottom w:val="single" w:sz="4" w:space="0" w:color="auto"/>
              <w:right w:val="single" w:sz="4" w:space="0" w:color="auto"/>
            </w:tcBorders>
            <w:shd w:val="clear" w:color="auto" w:fill="auto"/>
            <w:noWrap/>
            <w:vAlign w:val="bottom"/>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3 467,6</w:t>
            </w:r>
          </w:p>
        </w:tc>
        <w:tc>
          <w:tcPr>
            <w:tcW w:w="1020" w:type="dxa"/>
            <w:tcBorders>
              <w:top w:val="nil"/>
              <w:left w:val="nil"/>
              <w:bottom w:val="single" w:sz="4" w:space="0" w:color="auto"/>
              <w:right w:val="single" w:sz="4" w:space="0" w:color="auto"/>
            </w:tcBorders>
            <w:shd w:val="clear" w:color="auto" w:fill="auto"/>
            <w:noWrap/>
            <w:vAlign w:val="bottom"/>
          </w:tcPr>
          <w:p w:rsidR="00AE63BA" w:rsidRPr="0070366A" w:rsidRDefault="00AE63BA" w:rsidP="00AE63BA">
            <w:pPr>
              <w:spacing w:after="0" w:line="240" w:lineRule="auto"/>
              <w:jc w:val="center"/>
              <w:rPr>
                <w:rFonts w:ascii="Times New Roman" w:eastAsia="Times New Roman" w:hAnsi="Times New Roman" w:cs="Times New Roman"/>
                <w:b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3 772,3</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ind w:firstLineChars="100" w:firstLine="220"/>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НДС (внутрений)</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1 328,7</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1 753,2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1 886,1</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1 868,2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2 181,4</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2 448,3</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2 649,9</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ind w:firstLineChars="100" w:firstLine="220"/>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Акцизы</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113,9</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231,8</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341,9</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461,0</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520,8</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527,9</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631,8</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ind w:firstLineChars="100" w:firstLine="220"/>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Налог на прибыль</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255,0</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342,6</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375,8</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352,2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411,3</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491,4</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490,6</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Связанные с импортом</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1 787,1</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2 236,7</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2 445,8</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2 418,0</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2 474,3</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2 404,4</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2 534,6</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ind w:firstLineChars="100" w:firstLine="220"/>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НДС на ввозимые товары</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1 169,5</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1 497,2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1 659,7</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1 670,8</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1 750,2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1 785,2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1 909,6</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ind w:firstLineChars="100" w:firstLine="220"/>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Акцизы на ввозимые товары</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30,1</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46,6</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53,4</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63,4</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71,6</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54,0</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62,0</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ind w:firstLineChars="100" w:firstLine="220"/>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Ввозные пошлины</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587,5</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692,9</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732,8</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683,8</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652,5</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565,2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color w:val="0D0D0D" w:themeColor="text1" w:themeTint="F2"/>
                <w:lang w:eastAsia="ru-RU"/>
              </w:rPr>
            </w:pPr>
            <w:r w:rsidRPr="0070366A">
              <w:rPr>
                <w:rFonts w:ascii="Times New Roman" w:eastAsia="Times New Roman" w:hAnsi="Times New Roman" w:cs="Times New Roman"/>
                <w:color w:val="0D0D0D" w:themeColor="text1" w:themeTint="F2"/>
                <w:lang w:eastAsia="ru-RU"/>
              </w:rPr>
              <w:t>563,0</w:t>
            </w:r>
          </w:p>
        </w:tc>
      </w:tr>
      <w:tr w:rsidR="00AE63BA" w:rsidRPr="0070366A" w:rsidTr="009E0CCF">
        <w:trPr>
          <w:trHeight w:val="300"/>
        </w:trPr>
        <w:tc>
          <w:tcPr>
            <w:tcW w:w="1842" w:type="dxa"/>
            <w:tcBorders>
              <w:top w:val="nil"/>
              <w:left w:val="single" w:sz="4" w:space="0" w:color="auto"/>
              <w:bottom w:val="single" w:sz="4" w:space="0" w:color="auto"/>
              <w:right w:val="single" w:sz="4" w:space="0" w:color="auto"/>
            </w:tcBorders>
            <w:shd w:val="clear" w:color="auto" w:fill="auto"/>
            <w:vAlign w:val="bottom"/>
            <w:hideMark/>
          </w:tcPr>
          <w:p w:rsidR="00AE63BA" w:rsidRPr="0070366A" w:rsidRDefault="00AE63BA" w:rsidP="009E0CCF">
            <w:pPr>
              <w:spacing w:after="0" w:line="240" w:lineRule="auto"/>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Прочие</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990,0</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1 161,6</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1 352,7</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1 386,4</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1 475,2</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1 924,6</w:t>
            </w:r>
          </w:p>
        </w:tc>
        <w:tc>
          <w:tcPr>
            <w:tcW w:w="1020" w:type="dxa"/>
            <w:tcBorders>
              <w:top w:val="nil"/>
              <w:left w:val="nil"/>
              <w:bottom w:val="single" w:sz="4" w:space="0" w:color="auto"/>
              <w:right w:val="single" w:sz="4" w:space="0" w:color="auto"/>
            </w:tcBorders>
            <w:shd w:val="clear" w:color="auto" w:fill="auto"/>
            <w:noWrap/>
            <w:vAlign w:val="bottom"/>
            <w:hideMark/>
          </w:tcPr>
          <w:p w:rsidR="00AE63BA" w:rsidRPr="0070366A" w:rsidRDefault="00AE63BA" w:rsidP="00AE63BA">
            <w:pPr>
              <w:spacing w:after="0" w:line="240" w:lineRule="auto"/>
              <w:jc w:val="center"/>
              <w:rPr>
                <w:rFonts w:ascii="Times New Roman" w:eastAsia="Times New Roman" w:hAnsi="Times New Roman" w:cs="Times New Roman"/>
                <w:bCs/>
                <w:iCs/>
                <w:color w:val="0D0D0D" w:themeColor="text1" w:themeTint="F2"/>
                <w:lang w:eastAsia="ru-RU"/>
              </w:rPr>
            </w:pPr>
            <w:r w:rsidRPr="0070366A">
              <w:rPr>
                <w:rFonts w:ascii="Times New Roman" w:eastAsia="Times New Roman" w:hAnsi="Times New Roman" w:cs="Times New Roman"/>
                <w:bCs/>
                <w:iCs/>
                <w:color w:val="0D0D0D" w:themeColor="text1" w:themeTint="F2"/>
                <w:lang w:eastAsia="ru-RU"/>
              </w:rPr>
              <w:t>2 321,0</w:t>
            </w:r>
          </w:p>
        </w:tc>
      </w:tr>
    </w:tbl>
    <w:p w:rsidR="00AE63BA" w:rsidRDefault="00AE63BA" w:rsidP="00AE63BA">
      <w:pPr>
        <w:spacing w:line="360" w:lineRule="auto"/>
        <w:ind w:firstLine="709"/>
        <w:jc w:val="both"/>
        <w:rPr>
          <w:rFonts w:ascii="Times New Roman" w:eastAsia="Times New Roman" w:hAnsi="Times New Roman" w:cs="Times New Roman"/>
          <w:sz w:val="28"/>
          <w:szCs w:val="20"/>
          <w:lang w:eastAsia="ru-RU"/>
        </w:rPr>
      </w:pPr>
    </w:p>
    <w:p w:rsidR="00AE63BA" w:rsidRPr="0070366A" w:rsidRDefault="00AE63BA" w:rsidP="00AE63BA">
      <w:pPr>
        <w:spacing w:after="0" w:line="360" w:lineRule="auto"/>
        <w:ind w:firstLine="709"/>
        <w:jc w:val="both"/>
        <w:rPr>
          <w:rFonts w:ascii="Times New Roman" w:eastAsia="Times New Roman" w:hAnsi="Times New Roman" w:cs="Times New Roman"/>
          <w:sz w:val="28"/>
          <w:szCs w:val="20"/>
          <w:lang w:eastAsia="ru-RU"/>
        </w:rPr>
      </w:pPr>
      <w:r w:rsidRPr="0070366A">
        <w:rPr>
          <w:rFonts w:ascii="Times New Roman" w:eastAsia="Times New Roman" w:hAnsi="Times New Roman" w:cs="Times New Roman"/>
          <w:sz w:val="28"/>
          <w:szCs w:val="20"/>
          <w:lang w:eastAsia="ru-RU"/>
        </w:rPr>
        <w:t>В анализируемом периоде доходы федерального бюджета возросли в 2014 году по сравнению с 2013 годом и уменьшились в 2015 по сравнению с 2014, что говорит о нестабильной экономической ситуации в стране.</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 xml:space="preserve">Основная часть поступлений доходов федерального бюджета в 2012–2016 годах обеспечена поступлениями налога на добавленную стоимость, налога на добычу полезных ископаемых и вывозной таможенной пошлины. На долю указанных доходов в 2016 году приходится 70,6% всех доходов </w:t>
      </w:r>
      <w:r w:rsidRPr="00AE63BA">
        <w:rPr>
          <w:rFonts w:ascii="Times New Roman" w:eastAsia="Times New Roman" w:hAnsi="Times New Roman" w:cs="Times New Roman"/>
          <w:sz w:val="28"/>
          <w:szCs w:val="28"/>
        </w:rPr>
        <w:lastRenderedPageBreak/>
        <w:t>федерального бюджета, при этом по сравнению с 2012 годом их доля в общем объеме доходов снизилась на 7,7 процентного пункта.</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Наибольшее увеличение поступлений отдельных видов налоговых доходов по сравнению с уточненным прогнозом к Федеральному закону № 359–ФЗ (с изменениями) составило:</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 по налогу на прибыль организаций – 26 225,3 млн. рублей, в основном в связи с ростом объема прибыли прибыльных организаций, ростом поступлений по крупнейшим налогоплательщикам финансового сектора экономики в результате роста операционного дохода, а также с увеличением поступлений налога на прибыль  организаций по доходам, полученным в виде дивидендов;</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 по налогу на добавленную стоимость на товары (работы, услуги), реализуемые на территории Российской Федерации, – 20 663,6 млн. рублей, в основном за счет изменения структуры налоговой базы и увеличения номинального объема ВВП при росте  сумм налоговых вычетов по товарам, реализуемым по ставке 0 процентов, в результате увеличения объемов экспорта и росте сумм налоговых вычетов по ввозимым товарам в результате роста импорта;</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 по акцизам на подакцизные товары (продукции), производимые на территории Российской Федерации, – 8 926,6 млн. рублей, в том числе по акцизам на табачную продукцию – на сумму 6 137,1 млн. рублей, в связи с ростом облагаемых объемов реализации подакцизных товаров, продукции (табачной продукции, дизельного топлива) относительно объемов, учтенных при формировании уточненного прогноза доходов на 2016 год;</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lastRenderedPageBreak/>
        <w:t>– по налогу на добычу полезных ископаемых на газовый конденсат из всех видов месторождений углеводородного сырья – на 9 761,2 млн. рублей, в основном в связи с увеличением объемов добычи газового конденсата;</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 по налогу на добычу полезных ископаемых на добычу нефти – на 6 241,9 млн. рублей, в основном в связи с увеличением объемов добычи и ростом мировой цены на нефть марки «Юралс»;</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 по налогу на добавленную стоимость на товары, ввозимые на территорию Российской Федерации, – на 3 338,8 млн. рублей в основном в связи с ростом объемов налогооблагаемого импорта при снижении курса доллара США по отношению к рублю;</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 по акцизам по подакцизным товарам (продукции), ввозимым на территорию Российской Федерации, – на 5 331,9 млн. рублей, в основном в связи с ростом объемов ввозимых подакцизных товаров (табачной, алкогольной продукции, легковых автомобилей).</w:t>
      </w:r>
    </w:p>
    <w:p w:rsidR="00AE63BA" w:rsidRPr="00AE63BA" w:rsidRDefault="00AE63BA" w:rsidP="00AE63BA">
      <w:pPr>
        <w:spacing w:after="0" w:line="360" w:lineRule="auto"/>
        <w:ind w:firstLine="709"/>
        <w:jc w:val="both"/>
        <w:rPr>
          <w:rFonts w:ascii="Times New Roman" w:eastAsia="Times New Roman" w:hAnsi="Times New Roman" w:cs="Times New Roman"/>
          <w:sz w:val="28"/>
          <w:szCs w:val="28"/>
        </w:rPr>
      </w:pPr>
      <w:r w:rsidRPr="00AE63BA">
        <w:rPr>
          <w:rFonts w:ascii="Times New Roman" w:eastAsia="Times New Roman" w:hAnsi="Times New Roman" w:cs="Times New Roman"/>
          <w:sz w:val="28"/>
          <w:szCs w:val="28"/>
        </w:rPr>
        <w:t>По сравнению с 2015 годом в общей сумме налоговых доходов доля НДС на товары (работы, услуги), реализуемые на территории Российской Федерации, увеличилась на 1,9 процентного пункта и составила 30,4 %, доля НДС на товары, ввозимые на территорию Российской Федерации, и акцизов по подакцизным товарам (продукции), производимым на территории Российской Федерации, – на 1,1 процентного пункта (21,9 % и 7,2 % соответственно), доля акцизов по подакцизным товарам (продукции), ввозимым на территорию Российской Федерации, – на 0,1 процентного пункта (0,7 %), при этом доля налога на прибыль организаций и государственной пошлины снизилась на 0,1 процентного пункта и составила 5,6 % и 1,1 % соответственно, доля НДПИ снизилась на 4,0 процентного пункта (32,8 %).</w:t>
      </w:r>
    </w:p>
    <w:p w:rsidR="000B5735" w:rsidRPr="0030378C" w:rsidRDefault="000B5735" w:rsidP="000B5735">
      <w:pPr>
        <w:spacing w:after="0" w:line="360" w:lineRule="auto"/>
        <w:ind w:firstLine="709"/>
        <w:jc w:val="both"/>
        <w:rPr>
          <w:rFonts w:ascii="Times New Roman" w:eastAsia="Times New Roman" w:hAnsi="Times New Roman" w:cs="Times New Roman"/>
          <w:sz w:val="28"/>
          <w:szCs w:val="28"/>
        </w:rPr>
      </w:pPr>
    </w:p>
    <w:p w:rsidR="0030378C" w:rsidRPr="0030378C" w:rsidRDefault="0030378C" w:rsidP="0030378C">
      <w:pPr>
        <w:pStyle w:val="a3"/>
        <w:ind w:left="0" w:firstLine="709"/>
        <w:jc w:val="both"/>
        <w:rPr>
          <w:rFonts w:ascii="Times New Roman" w:hAnsi="Times New Roman" w:cs="Times New Roman"/>
          <w:b/>
          <w:sz w:val="28"/>
        </w:rPr>
      </w:pPr>
    </w:p>
    <w:p w:rsidR="005C369A" w:rsidRDefault="0030378C" w:rsidP="0030378C">
      <w:pPr>
        <w:pStyle w:val="a3"/>
        <w:ind w:left="0" w:firstLine="709"/>
        <w:jc w:val="both"/>
        <w:rPr>
          <w:rFonts w:ascii="Times New Roman" w:hAnsi="Times New Roman" w:cs="Times New Roman"/>
          <w:b/>
          <w:sz w:val="28"/>
        </w:rPr>
      </w:pPr>
      <w:r w:rsidRPr="0030378C">
        <w:rPr>
          <w:rFonts w:ascii="Times New Roman" w:hAnsi="Times New Roman" w:cs="Times New Roman"/>
          <w:b/>
          <w:sz w:val="28"/>
        </w:rPr>
        <w:t>2.3.</w:t>
      </w:r>
      <w:r w:rsidRPr="0030378C">
        <w:rPr>
          <w:rFonts w:ascii="Times New Roman" w:hAnsi="Times New Roman" w:cs="Times New Roman"/>
          <w:b/>
          <w:sz w:val="28"/>
        </w:rPr>
        <w:tab/>
        <w:t>Особенности налоговой политики РФ</w:t>
      </w:r>
    </w:p>
    <w:p w:rsidR="007716A7" w:rsidRDefault="007716A7" w:rsidP="0030378C">
      <w:pPr>
        <w:pStyle w:val="a3"/>
        <w:ind w:left="0" w:firstLine="709"/>
        <w:jc w:val="both"/>
        <w:rPr>
          <w:rFonts w:ascii="Times New Roman" w:hAnsi="Times New Roman" w:cs="Times New Roman"/>
          <w:b/>
          <w:sz w:val="28"/>
        </w:rPr>
      </w:pP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 xml:space="preserve">Концепция планирования развития государства включает налоговую политику. Рассмотрим основные направления налоговой политики Российской Федерации на период 2016-2018 гг. </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Налоговая политика Российской Федерации состоит из следующих разделов:</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определение, анализ налоговой нагрузки и ее влияния на уровень деловой активности в России и зарубежных странах;</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оценка результатов проведенных за последние несколько лет на территории РФ мероприятий в области налоговой политики;</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определение перспектив развития и перечня мер налоговой политики, которые планируется реализовать в среднесрочной перспективе.</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Государство непрерывно совершенствует уже имеющиеся фискальные институты и осуществляет планомерную модернизацию всей системы сбора налогов с целью повышения ее эффективности и оптимизации налоговой нагрузки на предприятия.</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В течение длительного периода времени налоговая система в Российской Федерации была основана на законах, разработанных отдельно для каждого вида налога. Прекращение подобной практики произошло только в 1998 г., что стало первым этапом в реформировании современной налоговой политики. Рассмотрим ее общие положения: классификацию налогов, определение их плательщиков, порядок налогового администрирования, виды налоговых преступлений.</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lastRenderedPageBreak/>
        <w:t xml:space="preserve">Началом нового этапа развития налоговой политики следует считать введение гл. 25 Налогового Кодекса, направленной на регулирование вопросов взимания налога на прибыль, которая вступила в силу в январе 2002 г. Это мероприятие можно считать началом выделения обособленного вида хозяйственного учета, то есть налогового. С этого момента в нем появились первые отклонения от бухгалтерского учета в порядке принятия активов, включения в себестоимость затрат, в </w:t>
      </w:r>
      <w:r>
        <w:rPr>
          <w:rFonts w:ascii="Times New Roman" w:hAnsi="Times New Roman" w:cs="Times New Roman"/>
          <w:sz w:val="28"/>
        </w:rPr>
        <w:t>вариантах расчета обязательств</w:t>
      </w:r>
      <w:r w:rsidRPr="00AA644D">
        <w:rPr>
          <w:rFonts w:ascii="Times New Roman" w:hAnsi="Times New Roman" w:cs="Times New Roman"/>
          <w:sz w:val="28"/>
        </w:rPr>
        <w:t>.</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В настоящее время Налоговый кодекс - это базовый нормативный акт, на основе которого формируется система налоговых отношений в Российской Федерации. Выполнив анализ современной нормативной базы, системы администрирующих и надзорных институтов, можно сделать вывод, что налоговая политика эволюционирует, и выделить существенные</w:t>
      </w:r>
      <w:r>
        <w:rPr>
          <w:rFonts w:ascii="Times New Roman" w:hAnsi="Times New Roman" w:cs="Times New Roman"/>
          <w:sz w:val="28"/>
        </w:rPr>
        <w:t xml:space="preserve"> изменения, к которым относятся</w:t>
      </w:r>
      <w:r w:rsidRPr="00AA644D">
        <w:rPr>
          <w:rFonts w:ascii="Times New Roman" w:hAnsi="Times New Roman" w:cs="Times New Roman"/>
          <w:sz w:val="28"/>
        </w:rPr>
        <w:t>:</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утверждение достаточно статичного, не изменяющегося перечня налоговых платежей со строго ограниченным числом их видов;</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ликвидация перекосов и неясностей в области расчета налогов, внесение изменений только в строгой увязке с иными актами законодательства, введение более корректных определений, которые не имеют двоякого толкования;</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-уменьшение размеров ставок налогов, например, налог на прибыль был уменьшен до 20 %, максимальный размер НДС не превышает 18 %. Хотя в этой связи несколько неоднозначно выглядит введение гл. 34 Налогового Кодекса Российской Федерации, в которой планируется с 2019 г. увеличить взносы в Пенсионный фонд до 26 %;</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оптимизация, упрощение, сокращение сроков налогового контроля;</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lastRenderedPageBreak/>
        <w:t>-</w:t>
      </w:r>
      <w:r w:rsidRPr="00AA644D">
        <w:rPr>
          <w:rFonts w:ascii="Times New Roman" w:hAnsi="Times New Roman" w:cs="Times New Roman"/>
          <w:sz w:val="28"/>
        </w:rPr>
        <w:tab/>
        <w:t>публикация в печати правил осуществления налоговых проверок;</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появление возможности введения режима налоговых каникул.</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Основные положения налоговой политики, а также перспективы ее совершенствования в ближайшие 2-3 года содержатся в документе «Основные направления налоговой политики Российской Федерации на 2016 год и на плановый период 2016 и 2018 годов». Следует отметить, что важным нововведением стала возможность введения пятилетни</w:t>
      </w:r>
      <w:r>
        <w:rPr>
          <w:rFonts w:ascii="Times New Roman" w:hAnsi="Times New Roman" w:cs="Times New Roman"/>
          <w:sz w:val="28"/>
        </w:rPr>
        <w:t xml:space="preserve">х налоговых каникул </w:t>
      </w:r>
      <w:r w:rsidRPr="00AA644D">
        <w:rPr>
          <w:rFonts w:ascii="Times New Roman" w:hAnsi="Times New Roman" w:cs="Times New Roman"/>
          <w:sz w:val="28"/>
        </w:rPr>
        <w:t>для частных предпринимателей на территориях опережающего развития по некоторым видам фискальных платежей. Еще одной мерой налоговой политики, призванной создать благоприятный климат для развития деловой инициативы в стране, стала возможность введения местными властями для индивидуальных предпринимателей нулевой ставки налогообложения, при выполнении определенных требований</w:t>
      </w:r>
      <w:r w:rsidR="00B057AE">
        <w:rPr>
          <w:rStyle w:val="ae"/>
          <w:rFonts w:ascii="Times New Roman" w:hAnsi="Times New Roman" w:cs="Times New Roman"/>
          <w:sz w:val="28"/>
        </w:rPr>
        <w:footnoteReference w:id="10"/>
      </w:r>
      <w:r w:rsidRPr="00AA644D">
        <w:rPr>
          <w:rFonts w:ascii="Times New Roman" w:hAnsi="Times New Roman" w:cs="Times New Roman"/>
          <w:sz w:val="28"/>
        </w:rPr>
        <w:t>.</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Основной причиной для своевременного наполнения доходной части бюджета всегда были схемы ухода от уплаты налогов,</w:t>
      </w:r>
      <w:r>
        <w:rPr>
          <w:rFonts w:ascii="Times New Roman" w:hAnsi="Times New Roman" w:cs="Times New Roman"/>
          <w:sz w:val="28"/>
        </w:rPr>
        <w:t xml:space="preserve"> которые реали</w:t>
      </w:r>
      <w:r w:rsidRPr="00AA644D">
        <w:rPr>
          <w:rFonts w:ascii="Times New Roman" w:hAnsi="Times New Roman" w:cs="Times New Roman"/>
          <w:sz w:val="28"/>
        </w:rPr>
        <w:t>зовывались разными способами, как формально законными, основанными на поиске лазеек и прорех в законодательстве, так и откровенно преступными, которые основывались на подлоге и умышленном зани</w:t>
      </w:r>
      <w:r>
        <w:rPr>
          <w:rFonts w:ascii="Times New Roman" w:hAnsi="Times New Roman" w:cs="Times New Roman"/>
          <w:sz w:val="28"/>
        </w:rPr>
        <w:t>жении базы для взимания налогов</w:t>
      </w:r>
      <w:r w:rsidRPr="00AA644D">
        <w:rPr>
          <w:rFonts w:ascii="Times New Roman" w:hAnsi="Times New Roman" w:cs="Times New Roman"/>
          <w:sz w:val="28"/>
        </w:rPr>
        <w:t xml:space="preserve">. В указанном документе показаны уже реализованные и планируемые мероприятия в области налоговой политики по прекращению подобной деятельности и ликвидации </w:t>
      </w:r>
      <w:r>
        <w:rPr>
          <w:rFonts w:ascii="Times New Roman" w:hAnsi="Times New Roman" w:cs="Times New Roman"/>
          <w:sz w:val="28"/>
        </w:rPr>
        <w:t>вариантов для ее осуществления</w:t>
      </w:r>
      <w:r w:rsidRPr="00AA644D">
        <w:rPr>
          <w:rFonts w:ascii="Times New Roman" w:hAnsi="Times New Roman" w:cs="Times New Roman"/>
          <w:sz w:val="28"/>
        </w:rPr>
        <w:t>.</w:t>
      </w:r>
    </w:p>
    <w:p w:rsidR="00AA644D" w:rsidRPr="00AA644D" w:rsidRDefault="00AA644D" w:rsidP="00AA644D">
      <w:pPr>
        <w:pStyle w:val="a3"/>
        <w:ind w:left="0" w:firstLine="709"/>
        <w:jc w:val="both"/>
        <w:rPr>
          <w:rFonts w:ascii="Times New Roman" w:hAnsi="Times New Roman" w:cs="Times New Roman"/>
          <w:b/>
          <w:sz w:val="28"/>
        </w:rPr>
      </w:pPr>
      <w:r w:rsidRPr="00AA644D">
        <w:rPr>
          <w:rFonts w:ascii="Times New Roman" w:hAnsi="Times New Roman" w:cs="Times New Roman"/>
          <w:b/>
          <w:sz w:val="28"/>
        </w:rPr>
        <w:t>3.</w:t>
      </w:r>
      <w:r w:rsidRPr="00AA644D">
        <w:rPr>
          <w:rFonts w:ascii="Times New Roman" w:hAnsi="Times New Roman" w:cs="Times New Roman"/>
          <w:b/>
          <w:sz w:val="28"/>
        </w:rPr>
        <w:tab/>
        <w:t xml:space="preserve">Пути достижения сбалансированности бюджета </w:t>
      </w:r>
    </w:p>
    <w:p w:rsidR="00AA644D" w:rsidRDefault="00AA644D" w:rsidP="00AA644D">
      <w:pPr>
        <w:pStyle w:val="a3"/>
        <w:ind w:left="0" w:firstLine="709"/>
        <w:jc w:val="both"/>
        <w:rPr>
          <w:rFonts w:ascii="Times New Roman" w:hAnsi="Times New Roman" w:cs="Times New Roman"/>
          <w:b/>
          <w:sz w:val="28"/>
        </w:rPr>
      </w:pPr>
      <w:r w:rsidRPr="00AA644D">
        <w:rPr>
          <w:rFonts w:ascii="Times New Roman" w:hAnsi="Times New Roman" w:cs="Times New Roman"/>
          <w:b/>
          <w:sz w:val="28"/>
        </w:rPr>
        <w:t>3.1.</w:t>
      </w:r>
      <w:r w:rsidRPr="00AA644D">
        <w:rPr>
          <w:rFonts w:ascii="Times New Roman" w:hAnsi="Times New Roman" w:cs="Times New Roman"/>
          <w:b/>
          <w:sz w:val="28"/>
        </w:rPr>
        <w:tab/>
        <w:t>Устранение дефицита федерального бюджета РФ</w:t>
      </w:r>
    </w:p>
    <w:p w:rsidR="00AA644D" w:rsidRDefault="00AA644D" w:rsidP="00AA644D">
      <w:pPr>
        <w:pStyle w:val="a3"/>
        <w:ind w:left="0" w:firstLine="709"/>
        <w:jc w:val="both"/>
        <w:rPr>
          <w:rFonts w:ascii="Times New Roman" w:hAnsi="Times New Roman" w:cs="Times New Roman"/>
          <w:b/>
          <w:sz w:val="28"/>
        </w:rPr>
      </w:pPr>
    </w:p>
    <w:p w:rsidR="00AA644D"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Бюджетный дефицит – состояние государственного бюджета, которое характеризуется</w:t>
      </w:r>
      <w:r w:rsidR="005E70C2">
        <w:rPr>
          <w:rFonts w:ascii="Times New Roman" w:hAnsi="Times New Roman" w:cs="Times New Roman"/>
          <w:sz w:val="28"/>
        </w:rPr>
        <w:t xml:space="preserve"> </w:t>
      </w:r>
      <w:r w:rsidRPr="00BA23FF">
        <w:rPr>
          <w:rFonts w:ascii="Times New Roman" w:hAnsi="Times New Roman" w:cs="Times New Roman"/>
          <w:sz w:val="28"/>
        </w:rPr>
        <w:t>превышением объема предусмотренных бюджетных р</w:t>
      </w:r>
      <w:r w:rsidR="005E70C2">
        <w:rPr>
          <w:rFonts w:ascii="Times New Roman" w:hAnsi="Times New Roman" w:cs="Times New Roman"/>
          <w:sz w:val="28"/>
        </w:rPr>
        <w:t xml:space="preserve">асходов над объемом планируемых </w:t>
      </w:r>
      <w:r w:rsidRPr="00BA23FF">
        <w:rPr>
          <w:rFonts w:ascii="Times New Roman" w:hAnsi="Times New Roman" w:cs="Times New Roman"/>
          <w:sz w:val="28"/>
        </w:rPr>
        <w:t>доходов, ведущее к образованию отрицательного сальдо</w:t>
      </w:r>
      <w:r w:rsidR="005E70C2">
        <w:rPr>
          <w:rFonts w:ascii="Times New Roman" w:hAnsi="Times New Roman" w:cs="Times New Roman"/>
          <w:sz w:val="28"/>
        </w:rPr>
        <w:t xml:space="preserve"> бюджета государства. По данным </w:t>
      </w:r>
      <w:r w:rsidRPr="00BA23FF">
        <w:rPr>
          <w:rFonts w:ascii="Times New Roman" w:hAnsi="Times New Roman" w:cs="Times New Roman"/>
          <w:sz w:val="28"/>
        </w:rPr>
        <w:t>статистики Минфина РФ в 2016 году дефицит бюдж</w:t>
      </w:r>
      <w:r w:rsidR="005E70C2">
        <w:rPr>
          <w:rFonts w:ascii="Times New Roman" w:hAnsi="Times New Roman" w:cs="Times New Roman"/>
          <w:sz w:val="28"/>
        </w:rPr>
        <w:t xml:space="preserve">ета России увеличился на 1 % по </w:t>
      </w:r>
      <w:r w:rsidRPr="005E70C2">
        <w:rPr>
          <w:rFonts w:ascii="Times New Roman" w:hAnsi="Times New Roman" w:cs="Times New Roman"/>
          <w:sz w:val="28"/>
        </w:rPr>
        <w:t>сравнению с показателем за 2015 год и составил 3,5 % ВВП.</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Регулирование дефицита государственного</w:t>
      </w:r>
      <w:r w:rsidR="005E70C2">
        <w:rPr>
          <w:rFonts w:ascii="Times New Roman" w:hAnsi="Times New Roman" w:cs="Times New Roman"/>
          <w:sz w:val="28"/>
        </w:rPr>
        <w:t xml:space="preserve"> бюджета в современном обществе </w:t>
      </w:r>
      <w:r w:rsidRPr="00BA23FF">
        <w:rPr>
          <w:rFonts w:ascii="Times New Roman" w:hAnsi="Times New Roman" w:cs="Times New Roman"/>
          <w:sz w:val="28"/>
        </w:rPr>
        <w:t>превратилось в одну из главных проблем в сфере эко</w:t>
      </w:r>
      <w:r w:rsidR="005E70C2">
        <w:rPr>
          <w:rFonts w:ascii="Times New Roman" w:hAnsi="Times New Roman" w:cs="Times New Roman"/>
          <w:sz w:val="28"/>
        </w:rPr>
        <w:t xml:space="preserve">номики, на решение которой </w:t>
      </w:r>
      <w:r w:rsidRPr="00BA23FF">
        <w:rPr>
          <w:rFonts w:ascii="Times New Roman" w:hAnsi="Times New Roman" w:cs="Times New Roman"/>
          <w:sz w:val="28"/>
        </w:rPr>
        <w:t xml:space="preserve">направлены немалые усилия правительств всех </w:t>
      </w:r>
      <w:r w:rsidR="005E70C2">
        <w:rPr>
          <w:rFonts w:ascii="Times New Roman" w:hAnsi="Times New Roman" w:cs="Times New Roman"/>
          <w:sz w:val="28"/>
        </w:rPr>
        <w:t xml:space="preserve">стран. Правительство Российской </w:t>
      </w:r>
      <w:r w:rsidRPr="00BA23FF">
        <w:rPr>
          <w:rFonts w:ascii="Times New Roman" w:hAnsi="Times New Roman" w:cs="Times New Roman"/>
          <w:sz w:val="28"/>
        </w:rPr>
        <w:t>Федерации также предпринимает усилия по сокр</w:t>
      </w:r>
      <w:r w:rsidR="005E70C2">
        <w:rPr>
          <w:rFonts w:ascii="Times New Roman" w:hAnsi="Times New Roman" w:cs="Times New Roman"/>
          <w:sz w:val="28"/>
        </w:rPr>
        <w:t xml:space="preserve">ащению и упразднению бюджетного </w:t>
      </w:r>
      <w:r w:rsidRPr="005E70C2">
        <w:rPr>
          <w:rFonts w:ascii="Times New Roman" w:hAnsi="Times New Roman" w:cs="Times New Roman"/>
          <w:sz w:val="28"/>
        </w:rPr>
        <w:t>дефицита.</w:t>
      </w:r>
    </w:p>
    <w:p w:rsidR="00BA23FF" w:rsidRPr="00BA23FF"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Дефицит государственного бюджета м</w:t>
      </w:r>
      <w:r w:rsidR="005E70C2">
        <w:rPr>
          <w:rFonts w:ascii="Times New Roman" w:hAnsi="Times New Roman" w:cs="Times New Roman"/>
          <w:sz w:val="28"/>
        </w:rPr>
        <w:t xml:space="preserve">ожет быть профинансирован тремя </w:t>
      </w:r>
      <w:r w:rsidRPr="00BA23FF">
        <w:rPr>
          <w:rFonts w:ascii="Times New Roman" w:hAnsi="Times New Roman" w:cs="Times New Roman"/>
          <w:sz w:val="28"/>
        </w:rPr>
        <w:t>специальными финансовыми методами: за счет эмиссии д</w:t>
      </w:r>
      <w:r w:rsidR="005E70C2">
        <w:rPr>
          <w:rFonts w:ascii="Times New Roman" w:hAnsi="Times New Roman" w:cs="Times New Roman"/>
          <w:sz w:val="28"/>
        </w:rPr>
        <w:t xml:space="preserve">енег; за счет займа у населения </w:t>
      </w:r>
      <w:r w:rsidRPr="00BA23FF">
        <w:rPr>
          <w:rFonts w:ascii="Times New Roman" w:hAnsi="Times New Roman" w:cs="Times New Roman"/>
          <w:sz w:val="28"/>
        </w:rPr>
        <w:t>страны (внутреннего долга); за счет займа у других стр</w:t>
      </w:r>
      <w:r w:rsidR="005E70C2">
        <w:rPr>
          <w:rFonts w:ascii="Times New Roman" w:hAnsi="Times New Roman" w:cs="Times New Roman"/>
          <w:sz w:val="28"/>
        </w:rPr>
        <w:t xml:space="preserve">ан или международных финансовых </w:t>
      </w:r>
      <w:r w:rsidRPr="00BA23FF">
        <w:rPr>
          <w:rFonts w:ascii="Times New Roman" w:hAnsi="Times New Roman" w:cs="Times New Roman"/>
          <w:sz w:val="28"/>
        </w:rPr>
        <w:t>организаций (внешнего долга). Первый метод называют</w:t>
      </w:r>
      <w:r w:rsidR="005E70C2">
        <w:rPr>
          <w:rFonts w:ascii="Times New Roman" w:hAnsi="Times New Roman" w:cs="Times New Roman"/>
          <w:sz w:val="28"/>
        </w:rPr>
        <w:t xml:space="preserve"> эмиссионным, а два последних – </w:t>
      </w:r>
      <w:r w:rsidRPr="00BA23FF">
        <w:rPr>
          <w:rFonts w:ascii="Times New Roman" w:hAnsi="Times New Roman" w:cs="Times New Roman"/>
          <w:sz w:val="28"/>
        </w:rPr>
        <w:t>долговыми методами финансирования государственного бюджетного дефицита</w:t>
      </w:r>
      <w:r w:rsidR="00B057AE">
        <w:rPr>
          <w:rStyle w:val="ae"/>
          <w:rFonts w:ascii="Times New Roman" w:hAnsi="Times New Roman" w:cs="Times New Roman"/>
          <w:sz w:val="28"/>
        </w:rPr>
        <w:footnoteReference w:id="11"/>
      </w:r>
      <w:r w:rsidRPr="00BA23FF">
        <w:rPr>
          <w:rFonts w:ascii="Times New Roman" w:hAnsi="Times New Roman" w:cs="Times New Roman"/>
          <w:sz w:val="28"/>
        </w:rPr>
        <w:t>.</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Эмиссионный метод финансирования дефицита госуд</w:t>
      </w:r>
      <w:r w:rsidR="005E70C2">
        <w:rPr>
          <w:rFonts w:ascii="Times New Roman" w:hAnsi="Times New Roman" w:cs="Times New Roman"/>
          <w:sz w:val="28"/>
        </w:rPr>
        <w:t xml:space="preserve">арственного бюджета заключается </w:t>
      </w:r>
      <w:r w:rsidRPr="00BA23FF">
        <w:rPr>
          <w:rFonts w:ascii="Times New Roman" w:hAnsi="Times New Roman" w:cs="Times New Roman"/>
          <w:sz w:val="28"/>
        </w:rPr>
        <w:t>в том, что государство в лице Центрального банка у</w:t>
      </w:r>
      <w:r w:rsidR="005E70C2">
        <w:rPr>
          <w:rFonts w:ascii="Times New Roman" w:hAnsi="Times New Roman" w:cs="Times New Roman"/>
          <w:sz w:val="28"/>
        </w:rPr>
        <w:t xml:space="preserve">величивает денежную массу путем </w:t>
      </w:r>
      <w:r w:rsidRPr="00BA23FF">
        <w:rPr>
          <w:rFonts w:ascii="Times New Roman" w:hAnsi="Times New Roman" w:cs="Times New Roman"/>
          <w:sz w:val="28"/>
        </w:rPr>
        <w:t>выпуска в обращение дополнительных денежных средс</w:t>
      </w:r>
      <w:r w:rsidR="005E70C2">
        <w:rPr>
          <w:rFonts w:ascii="Times New Roman" w:hAnsi="Times New Roman" w:cs="Times New Roman"/>
          <w:sz w:val="28"/>
        </w:rPr>
        <w:t xml:space="preserve">тв, с помощью которых покрывает </w:t>
      </w:r>
      <w:r w:rsidRPr="005E70C2">
        <w:rPr>
          <w:rFonts w:ascii="Times New Roman" w:hAnsi="Times New Roman" w:cs="Times New Roman"/>
          <w:sz w:val="28"/>
        </w:rPr>
        <w:t>превышение своих расходов над доходами.</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lastRenderedPageBreak/>
        <w:t>К достоинствам эмиссионного метода финансиро</w:t>
      </w:r>
      <w:r w:rsidR="005E70C2">
        <w:rPr>
          <w:rFonts w:ascii="Times New Roman" w:hAnsi="Times New Roman" w:cs="Times New Roman"/>
          <w:sz w:val="28"/>
        </w:rPr>
        <w:t xml:space="preserve">вания бюджетного дефицита можно </w:t>
      </w:r>
      <w:r w:rsidRPr="005E70C2">
        <w:rPr>
          <w:rFonts w:ascii="Times New Roman" w:hAnsi="Times New Roman" w:cs="Times New Roman"/>
          <w:sz w:val="28"/>
        </w:rPr>
        <w:t>отнести:</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рост денежной массы в обращении выступает </w:t>
      </w:r>
      <w:r w:rsidR="005E70C2">
        <w:rPr>
          <w:rFonts w:ascii="Times New Roman" w:hAnsi="Times New Roman" w:cs="Times New Roman"/>
          <w:sz w:val="28"/>
        </w:rPr>
        <w:t xml:space="preserve">фактором увеличения совокупного </w:t>
      </w:r>
      <w:r w:rsidRPr="00BA23FF">
        <w:rPr>
          <w:rFonts w:ascii="Times New Roman" w:hAnsi="Times New Roman" w:cs="Times New Roman"/>
          <w:sz w:val="28"/>
        </w:rPr>
        <w:t>спроса и, следовательно, объема производства. Таким образом, данный метод оказывает</w:t>
      </w:r>
      <w:r w:rsidR="005E70C2">
        <w:rPr>
          <w:rFonts w:ascii="Times New Roman" w:hAnsi="Times New Roman" w:cs="Times New Roman"/>
          <w:sz w:val="28"/>
        </w:rPr>
        <w:t xml:space="preserve"> </w:t>
      </w:r>
      <w:r w:rsidRPr="005E70C2">
        <w:rPr>
          <w:rFonts w:ascii="Times New Roman" w:hAnsi="Times New Roman" w:cs="Times New Roman"/>
          <w:sz w:val="28"/>
        </w:rPr>
        <w:t>стимулирующее воздействие на экономику.</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меры, предусмотренные эмиссионным методом, быстро осуществляемы.</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Недостатками эмиссионного метода являются:</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в долгосрочном периоде увеличение денежной масс</w:t>
      </w:r>
      <w:r w:rsidR="005E70C2">
        <w:rPr>
          <w:rFonts w:ascii="Times New Roman" w:hAnsi="Times New Roman" w:cs="Times New Roman"/>
          <w:sz w:val="28"/>
        </w:rPr>
        <w:t xml:space="preserve">ы в обращении ведет к инфляции, </w:t>
      </w:r>
      <w:r w:rsidRPr="005E70C2">
        <w:rPr>
          <w:rFonts w:ascii="Times New Roman" w:hAnsi="Times New Roman" w:cs="Times New Roman"/>
          <w:sz w:val="28"/>
        </w:rPr>
        <w:t>иными словами это инфляционный метод финансирования.</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оказание дестабилизирующего воздействия на экономику в период перегрева.</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падение курса национальной валюты.</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Поскольку эмиссионный метод финансирования</w:t>
      </w:r>
      <w:r w:rsidR="005E70C2">
        <w:rPr>
          <w:rFonts w:ascii="Times New Roman" w:hAnsi="Times New Roman" w:cs="Times New Roman"/>
          <w:sz w:val="28"/>
        </w:rPr>
        <w:t xml:space="preserve"> бюджетного дефицита достаточно </w:t>
      </w:r>
      <w:r w:rsidRPr="00BA23FF">
        <w:rPr>
          <w:rFonts w:ascii="Times New Roman" w:hAnsi="Times New Roman" w:cs="Times New Roman"/>
          <w:sz w:val="28"/>
        </w:rPr>
        <w:t>небезопасный для экономики, многие страны наклады</w:t>
      </w:r>
      <w:r w:rsidR="005E70C2">
        <w:rPr>
          <w:rFonts w:ascii="Times New Roman" w:hAnsi="Times New Roman" w:cs="Times New Roman"/>
          <w:sz w:val="28"/>
        </w:rPr>
        <w:t xml:space="preserve">вают жесткие ограничения на его </w:t>
      </w:r>
      <w:r w:rsidRPr="00BA23FF">
        <w:rPr>
          <w:rFonts w:ascii="Times New Roman" w:hAnsi="Times New Roman" w:cs="Times New Roman"/>
          <w:sz w:val="28"/>
        </w:rPr>
        <w:t>использование, а в ряде стран данный метод вовсе запреще</w:t>
      </w:r>
      <w:r w:rsidR="005E70C2">
        <w:rPr>
          <w:rFonts w:ascii="Times New Roman" w:hAnsi="Times New Roman" w:cs="Times New Roman"/>
          <w:sz w:val="28"/>
        </w:rPr>
        <w:t xml:space="preserve">н. В 90 - х годах правительство </w:t>
      </w:r>
      <w:r w:rsidRPr="00BA23FF">
        <w:rPr>
          <w:rFonts w:ascii="Times New Roman" w:hAnsi="Times New Roman" w:cs="Times New Roman"/>
          <w:sz w:val="28"/>
        </w:rPr>
        <w:t>Росси</w:t>
      </w:r>
      <w:r w:rsidR="005E70C2">
        <w:rPr>
          <w:rFonts w:ascii="Times New Roman" w:hAnsi="Times New Roman" w:cs="Times New Roman"/>
          <w:sz w:val="28"/>
        </w:rPr>
        <w:t>и</w:t>
      </w:r>
      <w:r w:rsidRPr="00BA23FF">
        <w:rPr>
          <w:rFonts w:ascii="Times New Roman" w:hAnsi="Times New Roman" w:cs="Times New Roman"/>
          <w:sz w:val="28"/>
        </w:rPr>
        <w:t xml:space="preserve"> активно использовало эмиссионный метод, о</w:t>
      </w:r>
      <w:r w:rsidR="005E70C2">
        <w:rPr>
          <w:rFonts w:ascii="Times New Roman" w:hAnsi="Times New Roman" w:cs="Times New Roman"/>
          <w:sz w:val="28"/>
        </w:rPr>
        <w:t xml:space="preserve">днако в настоящее время эмиссия </w:t>
      </w:r>
      <w:r w:rsidRPr="00BA23FF">
        <w:rPr>
          <w:rFonts w:ascii="Times New Roman" w:hAnsi="Times New Roman" w:cs="Times New Roman"/>
          <w:sz w:val="28"/>
        </w:rPr>
        <w:t>денег, как метод финансирования бюджетного дефи</w:t>
      </w:r>
      <w:r w:rsidR="005E70C2">
        <w:rPr>
          <w:rFonts w:ascii="Times New Roman" w:hAnsi="Times New Roman" w:cs="Times New Roman"/>
          <w:sz w:val="28"/>
        </w:rPr>
        <w:t xml:space="preserve">цита, В Российской Федерации не </w:t>
      </w:r>
      <w:r w:rsidRPr="005E70C2">
        <w:rPr>
          <w:rFonts w:ascii="Times New Roman" w:hAnsi="Times New Roman" w:cs="Times New Roman"/>
          <w:sz w:val="28"/>
        </w:rPr>
        <w:t>используется, согласно действующему «Бюджетному кодексу РФ».</w:t>
      </w:r>
    </w:p>
    <w:p w:rsidR="00BA23FF" w:rsidRPr="00BA23FF"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Одним из видов долгового финансирования дефицита государ</w:t>
      </w:r>
      <w:r w:rsidR="005E70C2">
        <w:rPr>
          <w:rFonts w:ascii="Times New Roman" w:hAnsi="Times New Roman" w:cs="Times New Roman"/>
          <w:sz w:val="28"/>
        </w:rPr>
        <w:t xml:space="preserve">ственного бюджета </w:t>
      </w:r>
      <w:r w:rsidRPr="00BA23FF">
        <w:rPr>
          <w:rFonts w:ascii="Times New Roman" w:hAnsi="Times New Roman" w:cs="Times New Roman"/>
          <w:sz w:val="28"/>
        </w:rPr>
        <w:t>выступает финансирование за счет внутреннего долг</w:t>
      </w:r>
      <w:r w:rsidR="005E70C2">
        <w:rPr>
          <w:rFonts w:ascii="Times New Roman" w:hAnsi="Times New Roman" w:cs="Times New Roman"/>
          <w:sz w:val="28"/>
        </w:rPr>
        <w:t xml:space="preserve">а. Метод заключается в том, что </w:t>
      </w:r>
      <w:r w:rsidRPr="00BA23FF">
        <w:rPr>
          <w:rFonts w:ascii="Times New Roman" w:hAnsi="Times New Roman" w:cs="Times New Roman"/>
          <w:sz w:val="28"/>
        </w:rPr>
        <w:t>государство, выпуская ценные бумаги (государст</w:t>
      </w:r>
      <w:r w:rsidR="005E70C2">
        <w:rPr>
          <w:rFonts w:ascii="Times New Roman" w:hAnsi="Times New Roman" w:cs="Times New Roman"/>
          <w:sz w:val="28"/>
        </w:rPr>
        <w:t xml:space="preserve">венные облигации и казначейские </w:t>
      </w:r>
      <w:r w:rsidRPr="00BA23FF">
        <w:rPr>
          <w:rFonts w:ascii="Times New Roman" w:hAnsi="Times New Roman" w:cs="Times New Roman"/>
          <w:sz w:val="28"/>
        </w:rPr>
        <w:t>векселя), продает их хозяйствующим субъектам и населению, а полученные от прода</w:t>
      </w:r>
      <w:r w:rsidR="005E70C2">
        <w:rPr>
          <w:rFonts w:ascii="Times New Roman" w:hAnsi="Times New Roman" w:cs="Times New Roman"/>
          <w:sz w:val="28"/>
        </w:rPr>
        <w:t xml:space="preserve">жи </w:t>
      </w:r>
      <w:r w:rsidRPr="00BA23FF">
        <w:rPr>
          <w:rFonts w:ascii="Times New Roman" w:hAnsi="Times New Roman" w:cs="Times New Roman"/>
          <w:sz w:val="28"/>
        </w:rPr>
        <w:t xml:space="preserve">средства </w:t>
      </w:r>
      <w:r w:rsidRPr="00BA23FF">
        <w:rPr>
          <w:rFonts w:ascii="Times New Roman" w:hAnsi="Times New Roman" w:cs="Times New Roman"/>
          <w:sz w:val="28"/>
        </w:rPr>
        <w:lastRenderedPageBreak/>
        <w:t>использует для покрытия превышения государственных расходов над доходами.</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Данный метод финансирования имеет следующие достоинства:</w:t>
      </w:r>
    </w:p>
    <w:p w:rsidR="00BA23FF" w:rsidRPr="00BA23FF"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представляет собой неинфляционный метод фина</w:t>
      </w:r>
      <w:r w:rsidR="005E70C2">
        <w:rPr>
          <w:rFonts w:ascii="Times New Roman" w:hAnsi="Times New Roman" w:cs="Times New Roman"/>
          <w:sz w:val="28"/>
        </w:rPr>
        <w:t xml:space="preserve">нсирования бюджетного дефицита. </w:t>
      </w:r>
      <w:r w:rsidRPr="00BA23FF">
        <w:rPr>
          <w:rFonts w:ascii="Times New Roman" w:hAnsi="Times New Roman" w:cs="Times New Roman"/>
          <w:sz w:val="28"/>
        </w:rPr>
        <w:t>Он не ведет к инфляции по той причине, что денежная масса не претерпевает изменений.</w:t>
      </w:r>
    </w:p>
    <w:p w:rsidR="00BA23FF" w:rsidRPr="00BA23FF"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метод имеет достаточно оперативный характер, поскольку выпуск и продажу</w:t>
      </w:r>
      <w:r w:rsidR="005E70C2">
        <w:rPr>
          <w:rFonts w:ascii="Times New Roman" w:hAnsi="Times New Roman" w:cs="Times New Roman"/>
          <w:sz w:val="28"/>
        </w:rPr>
        <w:t xml:space="preserve"> </w:t>
      </w:r>
      <w:r w:rsidRPr="00BA23FF">
        <w:rPr>
          <w:rFonts w:ascii="Times New Roman" w:hAnsi="Times New Roman" w:cs="Times New Roman"/>
          <w:sz w:val="28"/>
        </w:rPr>
        <w:t>государственных ценных бумаг можно осуществить в короткий промежуток времени.</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Недостатки метода внутреннего долга состоят в том, что:</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по долгам необходимо платить. Чем больше государ</w:t>
      </w:r>
      <w:r w:rsidR="005E70C2">
        <w:rPr>
          <w:rFonts w:ascii="Times New Roman" w:hAnsi="Times New Roman" w:cs="Times New Roman"/>
          <w:sz w:val="28"/>
        </w:rPr>
        <w:t xml:space="preserve">ством выпускается ценных бумаг, </w:t>
      </w:r>
      <w:r w:rsidRPr="00BA23FF">
        <w:rPr>
          <w:rFonts w:ascii="Times New Roman" w:hAnsi="Times New Roman" w:cs="Times New Roman"/>
          <w:sz w:val="28"/>
        </w:rPr>
        <w:t>тем большую сумму необходимо тратить на их об</w:t>
      </w:r>
      <w:r w:rsidR="005E70C2">
        <w:rPr>
          <w:rFonts w:ascii="Times New Roman" w:hAnsi="Times New Roman" w:cs="Times New Roman"/>
          <w:sz w:val="28"/>
        </w:rPr>
        <w:t xml:space="preserve">служивание. А поскольку выплата </w:t>
      </w:r>
      <w:r w:rsidRPr="00BA23FF">
        <w:rPr>
          <w:rFonts w:ascii="Times New Roman" w:hAnsi="Times New Roman" w:cs="Times New Roman"/>
          <w:sz w:val="28"/>
        </w:rPr>
        <w:t>процентов по государственным облигациям является ст</w:t>
      </w:r>
      <w:r w:rsidR="005E70C2">
        <w:rPr>
          <w:rFonts w:ascii="Times New Roman" w:hAnsi="Times New Roman" w:cs="Times New Roman"/>
          <w:sz w:val="28"/>
        </w:rPr>
        <w:t xml:space="preserve">атьей расходов государственного </w:t>
      </w:r>
      <w:r w:rsidRPr="00BA23FF">
        <w:rPr>
          <w:rFonts w:ascii="Times New Roman" w:hAnsi="Times New Roman" w:cs="Times New Roman"/>
          <w:sz w:val="28"/>
        </w:rPr>
        <w:t>бюджета, получается своеобразный порочный круг: государство выпускает облигации д</w:t>
      </w:r>
      <w:r w:rsidR="005E70C2">
        <w:rPr>
          <w:rFonts w:ascii="Times New Roman" w:hAnsi="Times New Roman" w:cs="Times New Roman"/>
          <w:sz w:val="28"/>
        </w:rPr>
        <w:t xml:space="preserve">ля </w:t>
      </w:r>
      <w:r w:rsidRPr="00BA23FF">
        <w:rPr>
          <w:rFonts w:ascii="Times New Roman" w:hAnsi="Times New Roman" w:cs="Times New Roman"/>
          <w:sz w:val="28"/>
        </w:rPr>
        <w:t>финансирования дефицита бюджета, выплата проце</w:t>
      </w:r>
      <w:r w:rsidR="005E70C2">
        <w:rPr>
          <w:rFonts w:ascii="Times New Roman" w:hAnsi="Times New Roman" w:cs="Times New Roman"/>
          <w:sz w:val="28"/>
        </w:rPr>
        <w:t xml:space="preserve">нтов по которым провоцирует еще </w:t>
      </w:r>
      <w:r w:rsidRPr="005E70C2">
        <w:rPr>
          <w:rFonts w:ascii="Times New Roman" w:hAnsi="Times New Roman" w:cs="Times New Roman"/>
          <w:sz w:val="28"/>
        </w:rPr>
        <w:t xml:space="preserve">больший бюджетный дефицит. </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в долгосрочном периоде данный метод перестает</w:t>
      </w:r>
      <w:r w:rsidR="005E70C2">
        <w:rPr>
          <w:rFonts w:ascii="Times New Roman" w:hAnsi="Times New Roman" w:cs="Times New Roman"/>
          <w:sz w:val="28"/>
        </w:rPr>
        <w:t xml:space="preserve"> быть неинфляционным. Исходя из </w:t>
      </w:r>
      <w:r w:rsidRPr="00BA23FF">
        <w:rPr>
          <w:rFonts w:ascii="Times New Roman" w:hAnsi="Times New Roman" w:cs="Times New Roman"/>
          <w:sz w:val="28"/>
        </w:rPr>
        <w:t>«теоремы Саржента - Уоллеса», долговое финансиро</w:t>
      </w:r>
      <w:r w:rsidR="005E70C2">
        <w:rPr>
          <w:rFonts w:ascii="Times New Roman" w:hAnsi="Times New Roman" w:cs="Times New Roman"/>
          <w:sz w:val="28"/>
        </w:rPr>
        <w:t xml:space="preserve">вание дефицита государственного </w:t>
      </w:r>
      <w:r w:rsidRPr="00BA23FF">
        <w:rPr>
          <w:rFonts w:ascii="Times New Roman" w:hAnsi="Times New Roman" w:cs="Times New Roman"/>
          <w:sz w:val="28"/>
        </w:rPr>
        <w:t xml:space="preserve">бюджета в долгосрочном периоде может привести к </w:t>
      </w:r>
      <w:r w:rsidR="005E70C2">
        <w:rPr>
          <w:rFonts w:ascii="Times New Roman" w:hAnsi="Times New Roman" w:cs="Times New Roman"/>
          <w:sz w:val="28"/>
        </w:rPr>
        <w:t xml:space="preserve">еще более высокой инфляции, чем </w:t>
      </w:r>
      <w:r w:rsidRPr="005E70C2">
        <w:rPr>
          <w:rFonts w:ascii="Times New Roman" w:hAnsi="Times New Roman" w:cs="Times New Roman"/>
          <w:sz w:val="28"/>
        </w:rPr>
        <w:t>эмиссионное.</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«эффект вытеснения» частных инвестиций. Данны</w:t>
      </w:r>
      <w:r w:rsidR="005E70C2">
        <w:rPr>
          <w:rFonts w:ascii="Times New Roman" w:hAnsi="Times New Roman" w:cs="Times New Roman"/>
          <w:sz w:val="28"/>
        </w:rPr>
        <w:t xml:space="preserve">й эффект заключается в том, что </w:t>
      </w:r>
      <w:r w:rsidRPr="00BA23FF">
        <w:rPr>
          <w:rFonts w:ascii="Times New Roman" w:hAnsi="Times New Roman" w:cs="Times New Roman"/>
          <w:sz w:val="28"/>
        </w:rPr>
        <w:t>увеличение количества государственных облигаций привод</w:t>
      </w:r>
      <w:r w:rsidR="005E70C2">
        <w:rPr>
          <w:rFonts w:ascii="Times New Roman" w:hAnsi="Times New Roman" w:cs="Times New Roman"/>
          <w:sz w:val="28"/>
        </w:rPr>
        <w:t xml:space="preserve">ит к тому, что часть сбережений </w:t>
      </w:r>
      <w:r w:rsidRPr="00BA23FF">
        <w:rPr>
          <w:rFonts w:ascii="Times New Roman" w:hAnsi="Times New Roman" w:cs="Times New Roman"/>
          <w:sz w:val="28"/>
        </w:rPr>
        <w:t xml:space="preserve">домохозяйств расходуется на покупку </w:t>
      </w:r>
      <w:r w:rsidRPr="00BA23FF">
        <w:rPr>
          <w:rFonts w:ascii="Times New Roman" w:hAnsi="Times New Roman" w:cs="Times New Roman"/>
          <w:sz w:val="28"/>
        </w:rPr>
        <w:lastRenderedPageBreak/>
        <w:t>государственных ц</w:t>
      </w:r>
      <w:r w:rsidR="005E70C2">
        <w:rPr>
          <w:rFonts w:ascii="Times New Roman" w:hAnsi="Times New Roman" w:cs="Times New Roman"/>
          <w:sz w:val="28"/>
        </w:rPr>
        <w:t xml:space="preserve">енных бумаг. Это в свою очередь </w:t>
      </w:r>
      <w:r w:rsidRPr="00BA23FF">
        <w:rPr>
          <w:rFonts w:ascii="Times New Roman" w:hAnsi="Times New Roman" w:cs="Times New Roman"/>
          <w:sz w:val="28"/>
        </w:rPr>
        <w:t>сокращает финансовые ресурсы частных фирм и, сл</w:t>
      </w:r>
      <w:r w:rsidR="005E70C2">
        <w:rPr>
          <w:rFonts w:ascii="Times New Roman" w:hAnsi="Times New Roman" w:cs="Times New Roman"/>
          <w:sz w:val="28"/>
        </w:rPr>
        <w:t xml:space="preserve">едовательно, ведет к сокращению </w:t>
      </w:r>
      <w:r w:rsidRPr="005E70C2">
        <w:rPr>
          <w:rFonts w:ascii="Times New Roman" w:hAnsi="Times New Roman" w:cs="Times New Roman"/>
          <w:sz w:val="28"/>
        </w:rPr>
        <w:t>инвестиций.</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при использовании этого метода появляется воз</w:t>
      </w:r>
      <w:r w:rsidR="005E70C2">
        <w:rPr>
          <w:rFonts w:ascii="Times New Roman" w:hAnsi="Times New Roman" w:cs="Times New Roman"/>
          <w:sz w:val="28"/>
        </w:rPr>
        <w:t xml:space="preserve">можность возникновения дефицита </w:t>
      </w:r>
      <w:r w:rsidRPr="005E70C2">
        <w:rPr>
          <w:rFonts w:ascii="Times New Roman" w:hAnsi="Times New Roman" w:cs="Times New Roman"/>
          <w:sz w:val="28"/>
        </w:rPr>
        <w:t>платежного баланса.</w:t>
      </w:r>
    </w:p>
    <w:p w:rsidR="00BA23FF" w:rsidRPr="00BA23FF"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Метод внутреннего долга является наиболее распространенным. Население раз</w:t>
      </w:r>
      <w:r w:rsidR="005E70C2">
        <w:rPr>
          <w:rFonts w:ascii="Times New Roman" w:hAnsi="Times New Roman" w:cs="Times New Roman"/>
          <w:sz w:val="28"/>
        </w:rPr>
        <w:t xml:space="preserve">витых </w:t>
      </w:r>
      <w:r w:rsidRPr="00BA23FF">
        <w:rPr>
          <w:rFonts w:ascii="Times New Roman" w:hAnsi="Times New Roman" w:cs="Times New Roman"/>
          <w:sz w:val="28"/>
        </w:rPr>
        <w:t>стран с удовольствием покупает государственные ценны</w:t>
      </w:r>
      <w:r w:rsidR="005E70C2">
        <w:rPr>
          <w:rFonts w:ascii="Times New Roman" w:hAnsi="Times New Roman" w:cs="Times New Roman"/>
          <w:sz w:val="28"/>
        </w:rPr>
        <w:t xml:space="preserve">е бумаги. Этот феномен связан с </w:t>
      </w:r>
      <w:r w:rsidRPr="00BA23FF">
        <w:rPr>
          <w:rFonts w:ascii="Times New Roman" w:hAnsi="Times New Roman" w:cs="Times New Roman"/>
          <w:sz w:val="28"/>
        </w:rPr>
        <w:t>тем, что они являются высоколиквидными, высок</w:t>
      </w:r>
      <w:r w:rsidR="005E70C2">
        <w:rPr>
          <w:rFonts w:ascii="Times New Roman" w:hAnsi="Times New Roman" w:cs="Times New Roman"/>
          <w:sz w:val="28"/>
        </w:rPr>
        <w:t xml:space="preserve">онадежными и доходными, так как </w:t>
      </w:r>
      <w:r w:rsidRPr="00BA23FF">
        <w:rPr>
          <w:rFonts w:ascii="Times New Roman" w:hAnsi="Times New Roman" w:cs="Times New Roman"/>
          <w:sz w:val="28"/>
        </w:rPr>
        <w:t>приносят собственнику доход в виде процентов</w:t>
      </w:r>
      <w:r w:rsidR="005E70C2">
        <w:rPr>
          <w:rFonts w:ascii="Times New Roman" w:hAnsi="Times New Roman" w:cs="Times New Roman"/>
          <w:sz w:val="28"/>
        </w:rPr>
        <w:t xml:space="preserve">. В России данный вид долгового </w:t>
      </w:r>
      <w:r w:rsidRPr="00BA23FF">
        <w:rPr>
          <w:rFonts w:ascii="Times New Roman" w:hAnsi="Times New Roman" w:cs="Times New Roman"/>
          <w:sz w:val="28"/>
        </w:rPr>
        <w:t>финансирования осуществляется путем выпуск</w:t>
      </w:r>
      <w:r w:rsidR="005E70C2">
        <w:rPr>
          <w:rFonts w:ascii="Times New Roman" w:hAnsi="Times New Roman" w:cs="Times New Roman"/>
          <w:sz w:val="28"/>
        </w:rPr>
        <w:t xml:space="preserve">а государственных краткосрочных </w:t>
      </w:r>
      <w:r w:rsidRPr="00BA23FF">
        <w:rPr>
          <w:rFonts w:ascii="Times New Roman" w:hAnsi="Times New Roman" w:cs="Times New Roman"/>
          <w:sz w:val="28"/>
        </w:rPr>
        <w:t>облигаций (ГКО) и облигаций федерального займа (</w:t>
      </w:r>
      <w:r w:rsidR="005E70C2">
        <w:rPr>
          <w:rFonts w:ascii="Times New Roman" w:hAnsi="Times New Roman" w:cs="Times New Roman"/>
          <w:sz w:val="28"/>
        </w:rPr>
        <w:t xml:space="preserve">ОФЗ). В государстве наблюдается </w:t>
      </w:r>
      <w:r w:rsidRPr="00BA23FF">
        <w:rPr>
          <w:rFonts w:ascii="Times New Roman" w:hAnsi="Times New Roman" w:cs="Times New Roman"/>
          <w:sz w:val="28"/>
        </w:rPr>
        <w:t>тенденция к увеличению внутреннего государственного долга. Для сравнения на 1 апреля</w:t>
      </w:r>
      <w:r w:rsidR="005E70C2">
        <w:rPr>
          <w:rFonts w:ascii="Times New Roman" w:hAnsi="Times New Roman" w:cs="Times New Roman"/>
          <w:sz w:val="28"/>
        </w:rPr>
        <w:t xml:space="preserve"> </w:t>
      </w:r>
      <w:r w:rsidRPr="00BA23FF">
        <w:rPr>
          <w:rFonts w:ascii="Times New Roman" w:hAnsi="Times New Roman" w:cs="Times New Roman"/>
          <w:sz w:val="28"/>
        </w:rPr>
        <w:t>2016 года сумма внутреннего долга составляла около 7,3 трлн. рублей, в том числе</w:t>
      </w:r>
      <w:r w:rsidR="005E70C2">
        <w:rPr>
          <w:rFonts w:ascii="Times New Roman" w:hAnsi="Times New Roman" w:cs="Times New Roman"/>
          <w:sz w:val="28"/>
        </w:rPr>
        <w:t xml:space="preserve"> </w:t>
      </w:r>
      <w:r w:rsidRPr="00BA23FF">
        <w:rPr>
          <w:rFonts w:ascii="Times New Roman" w:hAnsi="Times New Roman" w:cs="Times New Roman"/>
          <w:sz w:val="28"/>
        </w:rPr>
        <w:t>государственные гарантии Российской Федерации в валют</w:t>
      </w:r>
      <w:r w:rsidR="005E70C2">
        <w:rPr>
          <w:rFonts w:ascii="Times New Roman" w:hAnsi="Times New Roman" w:cs="Times New Roman"/>
          <w:sz w:val="28"/>
        </w:rPr>
        <w:t xml:space="preserve">е РФ - 1,6 трлн. руб. На данный </w:t>
      </w:r>
      <w:r w:rsidRPr="00BA23FF">
        <w:rPr>
          <w:rFonts w:ascii="Times New Roman" w:hAnsi="Times New Roman" w:cs="Times New Roman"/>
          <w:sz w:val="28"/>
        </w:rPr>
        <w:t>момент сумма внутреннего долга Российской Федерации сос</w:t>
      </w:r>
      <w:r w:rsidR="005E70C2">
        <w:rPr>
          <w:rFonts w:ascii="Times New Roman" w:hAnsi="Times New Roman" w:cs="Times New Roman"/>
          <w:sz w:val="28"/>
        </w:rPr>
        <w:t xml:space="preserve">тавляет около 8,3 трлн. рублей, </w:t>
      </w:r>
      <w:r w:rsidRPr="00BA23FF">
        <w:rPr>
          <w:rFonts w:ascii="Times New Roman" w:hAnsi="Times New Roman" w:cs="Times New Roman"/>
          <w:sz w:val="28"/>
        </w:rPr>
        <w:t>в том числе государственные гарантии Российской Федерации в валюте РФ – 1,8 трлн. руб.</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В состав государственного внутреннего долга входят </w:t>
      </w:r>
      <w:r w:rsidR="005E70C2">
        <w:rPr>
          <w:rFonts w:ascii="Times New Roman" w:hAnsi="Times New Roman" w:cs="Times New Roman"/>
          <w:sz w:val="28"/>
        </w:rPr>
        <w:t xml:space="preserve">такие ценные бумаги, как: ОФЗ - </w:t>
      </w:r>
      <w:r w:rsidRPr="00BA23FF">
        <w:rPr>
          <w:rFonts w:ascii="Times New Roman" w:hAnsi="Times New Roman" w:cs="Times New Roman"/>
          <w:sz w:val="28"/>
        </w:rPr>
        <w:t>ПК (облигации федерального займа с переменны</w:t>
      </w:r>
      <w:r w:rsidR="005E70C2">
        <w:rPr>
          <w:rFonts w:ascii="Times New Roman" w:hAnsi="Times New Roman" w:cs="Times New Roman"/>
          <w:sz w:val="28"/>
        </w:rPr>
        <w:t xml:space="preserve">м купоном); ОФЗ - ПД (облигации </w:t>
      </w:r>
      <w:r w:rsidRPr="00BA23FF">
        <w:rPr>
          <w:rFonts w:ascii="Times New Roman" w:hAnsi="Times New Roman" w:cs="Times New Roman"/>
          <w:sz w:val="28"/>
        </w:rPr>
        <w:t xml:space="preserve">федерального займа с постоянным доходом); ОФЗ - АД </w:t>
      </w:r>
      <w:r w:rsidR="005E70C2">
        <w:rPr>
          <w:rFonts w:ascii="Times New Roman" w:hAnsi="Times New Roman" w:cs="Times New Roman"/>
          <w:sz w:val="28"/>
        </w:rPr>
        <w:t xml:space="preserve">(облигации федерального займа с </w:t>
      </w:r>
      <w:r w:rsidRPr="00BA23FF">
        <w:rPr>
          <w:rFonts w:ascii="Times New Roman" w:hAnsi="Times New Roman" w:cs="Times New Roman"/>
          <w:sz w:val="28"/>
        </w:rPr>
        <w:t>амортизаций долга); ОФЗ - н (облигации федерального</w:t>
      </w:r>
      <w:r w:rsidR="005E70C2">
        <w:rPr>
          <w:rFonts w:ascii="Times New Roman" w:hAnsi="Times New Roman" w:cs="Times New Roman"/>
          <w:sz w:val="28"/>
        </w:rPr>
        <w:t xml:space="preserve"> займа для населения); ОФЗ – ИН </w:t>
      </w:r>
      <w:r w:rsidRPr="00BA23FF">
        <w:rPr>
          <w:rFonts w:ascii="Times New Roman" w:hAnsi="Times New Roman" w:cs="Times New Roman"/>
          <w:sz w:val="28"/>
        </w:rPr>
        <w:t>(облигаций федерального займа с индексируе</w:t>
      </w:r>
      <w:r w:rsidR="005E70C2">
        <w:rPr>
          <w:rFonts w:ascii="Times New Roman" w:hAnsi="Times New Roman" w:cs="Times New Roman"/>
          <w:sz w:val="28"/>
        </w:rPr>
        <w:t xml:space="preserve">мым номиналом); ОВОЗ (облигации </w:t>
      </w:r>
      <w:r w:rsidRPr="00BA23FF">
        <w:rPr>
          <w:rFonts w:ascii="Times New Roman" w:hAnsi="Times New Roman" w:cs="Times New Roman"/>
          <w:sz w:val="28"/>
        </w:rPr>
        <w:t xml:space="preserve">внутренних облигационных займов); ГСО - ППС </w:t>
      </w:r>
      <w:r w:rsidR="005E70C2">
        <w:rPr>
          <w:rFonts w:ascii="Times New Roman" w:hAnsi="Times New Roman" w:cs="Times New Roman"/>
          <w:sz w:val="28"/>
        </w:rPr>
        <w:t xml:space="preserve">(государственные сберегательные </w:t>
      </w:r>
      <w:r w:rsidRPr="00BA23FF">
        <w:rPr>
          <w:rFonts w:ascii="Times New Roman" w:hAnsi="Times New Roman" w:cs="Times New Roman"/>
          <w:sz w:val="28"/>
        </w:rPr>
        <w:t>облигации с постоянной процентной ставк</w:t>
      </w:r>
      <w:r w:rsidR="005E70C2">
        <w:rPr>
          <w:rFonts w:ascii="Times New Roman" w:hAnsi="Times New Roman" w:cs="Times New Roman"/>
          <w:sz w:val="28"/>
        </w:rPr>
        <w:t xml:space="preserve">ой купонного </w:t>
      </w:r>
      <w:r w:rsidR="005E70C2">
        <w:rPr>
          <w:rFonts w:ascii="Times New Roman" w:hAnsi="Times New Roman" w:cs="Times New Roman"/>
          <w:sz w:val="28"/>
        </w:rPr>
        <w:lastRenderedPageBreak/>
        <w:t xml:space="preserve">дохода); ГСО – ФПС </w:t>
      </w:r>
      <w:r w:rsidRPr="00BA23FF">
        <w:rPr>
          <w:rFonts w:ascii="Times New Roman" w:hAnsi="Times New Roman" w:cs="Times New Roman"/>
          <w:sz w:val="28"/>
        </w:rPr>
        <w:t>(государственные сберегательные облигации с ф</w:t>
      </w:r>
      <w:r w:rsidR="005E70C2">
        <w:rPr>
          <w:rFonts w:ascii="Times New Roman" w:hAnsi="Times New Roman" w:cs="Times New Roman"/>
          <w:sz w:val="28"/>
        </w:rPr>
        <w:t xml:space="preserve">иксированной процентной ставкой </w:t>
      </w:r>
      <w:r w:rsidRPr="005E70C2">
        <w:rPr>
          <w:rFonts w:ascii="Times New Roman" w:hAnsi="Times New Roman" w:cs="Times New Roman"/>
          <w:sz w:val="28"/>
        </w:rPr>
        <w:t>купонного дохода)</w:t>
      </w:r>
      <w:r w:rsidR="00B057AE">
        <w:rPr>
          <w:rStyle w:val="ae"/>
          <w:rFonts w:ascii="Times New Roman" w:hAnsi="Times New Roman" w:cs="Times New Roman"/>
          <w:sz w:val="28"/>
        </w:rPr>
        <w:footnoteReference w:id="12"/>
      </w:r>
      <w:r w:rsidRPr="005E70C2">
        <w:rPr>
          <w:rFonts w:ascii="Times New Roman" w:hAnsi="Times New Roman" w:cs="Times New Roman"/>
          <w:sz w:val="28"/>
        </w:rPr>
        <w:t>.</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Вторым видом финансирования дефицита го</w:t>
      </w:r>
      <w:r w:rsidR="005E70C2">
        <w:rPr>
          <w:rFonts w:ascii="Times New Roman" w:hAnsi="Times New Roman" w:cs="Times New Roman"/>
          <w:sz w:val="28"/>
        </w:rPr>
        <w:t xml:space="preserve">сударственного бюджета является </w:t>
      </w:r>
      <w:r w:rsidRPr="00BA23FF">
        <w:rPr>
          <w:rFonts w:ascii="Times New Roman" w:hAnsi="Times New Roman" w:cs="Times New Roman"/>
          <w:sz w:val="28"/>
        </w:rPr>
        <w:t>финансирование с помощью внешнего долга. Бюджет</w:t>
      </w:r>
      <w:r w:rsidR="005E70C2">
        <w:rPr>
          <w:rFonts w:ascii="Times New Roman" w:hAnsi="Times New Roman" w:cs="Times New Roman"/>
          <w:sz w:val="28"/>
        </w:rPr>
        <w:t xml:space="preserve">ный дефицит покрывается за счет </w:t>
      </w:r>
      <w:r w:rsidRPr="00BA23FF">
        <w:rPr>
          <w:rFonts w:ascii="Times New Roman" w:hAnsi="Times New Roman" w:cs="Times New Roman"/>
          <w:sz w:val="28"/>
        </w:rPr>
        <w:t>внешних займов у других стран или международных фи</w:t>
      </w:r>
      <w:r w:rsidR="005E70C2">
        <w:rPr>
          <w:rFonts w:ascii="Times New Roman" w:hAnsi="Times New Roman" w:cs="Times New Roman"/>
          <w:sz w:val="28"/>
        </w:rPr>
        <w:t xml:space="preserve">нансовых организаций, например, </w:t>
      </w:r>
      <w:r w:rsidRPr="00BA23FF">
        <w:rPr>
          <w:rFonts w:ascii="Times New Roman" w:hAnsi="Times New Roman" w:cs="Times New Roman"/>
          <w:sz w:val="28"/>
        </w:rPr>
        <w:t>таких как Всемирный банк, Международный валютный</w:t>
      </w:r>
      <w:r w:rsidR="005E70C2">
        <w:rPr>
          <w:rFonts w:ascii="Times New Roman" w:hAnsi="Times New Roman" w:cs="Times New Roman"/>
          <w:sz w:val="28"/>
        </w:rPr>
        <w:t xml:space="preserve"> фонд и другие. Главное отличие </w:t>
      </w:r>
      <w:r w:rsidRPr="00BA23FF">
        <w:rPr>
          <w:rFonts w:ascii="Times New Roman" w:hAnsi="Times New Roman" w:cs="Times New Roman"/>
          <w:sz w:val="28"/>
        </w:rPr>
        <w:t>этого вида долгового финансирования от предыд</w:t>
      </w:r>
      <w:r w:rsidR="005E70C2">
        <w:rPr>
          <w:rFonts w:ascii="Times New Roman" w:hAnsi="Times New Roman" w:cs="Times New Roman"/>
          <w:sz w:val="28"/>
        </w:rPr>
        <w:t xml:space="preserve">ущего стоит в том, что покрытие </w:t>
      </w:r>
      <w:r w:rsidRPr="00BA23FF">
        <w:rPr>
          <w:rFonts w:ascii="Times New Roman" w:hAnsi="Times New Roman" w:cs="Times New Roman"/>
          <w:sz w:val="28"/>
        </w:rPr>
        <w:t>бюджетного дефицита происходит за счет заимствован</w:t>
      </w:r>
      <w:r w:rsidR="005E70C2">
        <w:rPr>
          <w:rFonts w:ascii="Times New Roman" w:hAnsi="Times New Roman" w:cs="Times New Roman"/>
          <w:sz w:val="28"/>
        </w:rPr>
        <w:t xml:space="preserve">ия финансовых средств не внутри </w:t>
      </w:r>
      <w:r w:rsidRPr="005E70C2">
        <w:rPr>
          <w:rFonts w:ascii="Times New Roman" w:hAnsi="Times New Roman" w:cs="Times New Roman"/>
          <w:sz w:val="28"/>
        </w:rPr>
        <w:t>страны, а из вне.</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К достоинствам этого метода финансирования можно отнести:</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большая возможность получения достаточно крупных сумм;</w:t>
      </w:r>
    </w:p>
    <w:p w:rsidR="00BA23FF" w:rsidRPr="00BA23FF"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метод имеет неинфляционный характер, п</w:t>
      </w:r>
      <w:r w:rsidR="005E70C2">
        <w:rPr>
          <w:rFonts w:ascii="Times New Roman" w:hAnsi="Times New Roman" w:cs="Times New Roman"/>
          <w:sz w:val="28"/>
        </w:rPr>
        <w:t xml:space="preserve">оскольку объем денежной массы в </w:t>
      </w:r>
      <w:r w:rsidRPr="00BA23FF">
        <w:rPr>
          <w:rFonts w:ascii="Times New Roman" w:hAnsi="Times New Roman" w:cs="Times New Roman"/>
          <w:sz w:val="28"/>
        </w:rPr>
        <w:t>обращении не претерпевает изменений и тем самым не способствует развитию инфляции.</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Недостатками метода являются:</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необходимость возвращения и обслуживания долга (т.е. выплаты как самой суммы</w:t>
      </w:r>
      <w:r w:rsidR="005E70C2">
        <w:rPr>
          <w:rFonts w:ascii="Times New Roman" w:hAnsi="Times New Roman" w:cs="Times New Roman"/>
          <w:sz w:val="28"/>
        </w:rPr>
        <w:t xml:space="preserve"> </w:t>
      </w:r>
      <w:r w:rsidRPr="005E70C2">
        <w:rPr>
          <w:rFonts w:ascii="Times New Roman" w:hAnsi="Times New Roman" w:cs="Times New Roman"/>
          <w:sz w:val="28"/>
        </w:rPr>
        <w:t>долга, так и процентов по нему);</w:t>
      </w:r>
    </w:p>
    <w:p w:rsidR="00BA23FF" w:rsidRPr="00BA23FF" w:rsidRDefault="00BA23FF" w:rsidP="00BA23FF">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невозможность построения государством финансовой пирамиды для выплаты долга;</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 xml:space="preserve"> - необходимость изъятия средств из экономики стра</w:t>
      </w:r>
      <w:r w:rsidR="005E70C2">
        <w:rPr>
          <w:rFonts w:ascii="Times New Roman" w:hAnsi="Times New Roman" w:cs="Times New Roman"/>
          <w:sz w:val="28"/>
        </w:rPr>
        <w:t xml:space="preserve">ны для выплаты внешнего долга и </w:t>
      </w:r>
      <w:r w:rsidRPr="00BA23FF">
        <w:rPr>
          <w:rFonts w:ascii="Times New Roman" w:hAnsi="Times New Roman" w:cs="Times New Roman"/>
          <w:sz w:val="28"/>
        </w:rPr>
        <w:t>его обслуживания, которая ведет к сокращению внутр</w:t>
      </w:r>
      <w:r w:rsidR="005E70C2">
        <w:rPr>
          <w:rFonts w:ascii="Times New Roman" w:hAnsi="Times New Roman" w:cs="Times New Roman"/>
          <w:sz w:val="28"/>
        </w:rPr>
        <w:t xml:space="preserve">еннего объема производства, и в </w:t>
      </w:r>
      <w:r w:rsidRPr="005E70C2">
        <w:rPr>
          <w:rFonts w:ascii="Times New Roman" w:hAnsi="Times New Roman" w:cs="Times New Roman"/>
          <w:sz w:val="28"/>
        </w:rPr>
        <w:t>конечном итоге к спаду государственной экономики;</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lastRenderedPageBreak/>
        <w:t xml:space="preserve"> - в случае дефицита платежного балан</w:t>
      </w:r>
      <w:r w:rsidR="005E70C2">
        <w:rPr>
          <w:rFonts w:ascii="Times New Roman" w:hAnsi="Times New Roman" w:cs="Times New Roman"/>
          <w:sz w:val="28"/>
        </w:rPr>
        <w:t xml:space="preserve">са велика возможность истощения </w:t>
      </w:r>
      <w:r w:rsidRPr="005E70C2">
        <w:rPr>
          <w:rFonts w:ascii="Times New Roman" w:hAnsi="Times New Roman" w:cs="Times New Roman"/>
          <w:sz w:val="28"/>
        </w:rPr>
        <w:t>золотовалютных резервов страны.</w:t>
      </w:r>
    </w:p>
    <w:p w:rsidR="00BA23FF" w:rsidRPr="005E70C2" w:rsidRDefault="00BA23FF" w:rsidP="005E70C2">
      <w:pPr>
        <w:pStyle w:val="a3"/>
        <w:spacing w:line="360" w:lineRule="auto"/>
        <w:ind w:left="0" w:firstLine="709"/>
        <w:jc w:val="both"/>
        <w:rPr>
          <w:rFonts w:ascii="Times New Roman" w:hAnsi="Times New Roman" w:cs="Times New Roman"/>
          <w:sz w:val="28"/>
        </w:rPr>
      </w:pPr>
      <w:r w:rsidRPr="00BA23FF">
        <w:rPr>
          <w:rFonts w:ascii="Times New Roman" w:hAnsi="Times New Roman" w:cs="Times New Roman"/>
          <w:sz w:val="28"/>
        </w:rPr>
        <w:t>Российская Федерация активно использ</w:t>
      </w:r>
      <w:r w:rsidR="005E70C2">
        <w:rPr>
          <w:rFonts w:ascii="Times New Roman" w:hAnsi="Times New Roman" w:cs="Times New Roman"/>
          <w:sz w:val="28"/>
        </w:rPr>
        <w:t xml:space="preserve">ует данный метод финансирования </w:t>
      </w:r>
      <w:r w:rsidRPr="00BA23FF">
        <w:rPr>
          <w:rFonts w:ascii="Times New Roman" w:hAnsi="Times New Roman" w:cs="Times New Roman"/>
          <w:sz w:val="28"/>
        </w:rPr>
        <w:t>бюджетного дефицита. За последний год сумма вн</w:t>
      </w:r>
      <w:r w:rsidR="005E70C2">
        <w:rPr>
          <w:rFonts w:ascii="Times New Roman" w:hAnsi="Times New Roman" w:cs="Times New Roman"/>
          <w:sz w:val="28"/>
        </w:rPr>
        <w:t xml:space="preserve">ешнего долга России значительно </w:t>
      </w:r>
      <w:r w:rsidRPr="00BA23FF">
        <w:rPr>
          <w:rFonts w:ascii="Times New Roman" w:hAnsi="Times New Roman" w:cs="Times New Roman"/>
          <w:sz w:val="28"/>
        </w:rPr>
        <w:t xml:space="preserve">увеличилась. </w:t>
      </w:r>
      <w:r w:rsidR="00000213">
        <w:rPr>
          <w:rFonts w:ascii="Times New Roman" w:hAnsi="Times New Roman" w:cs="Times New Roman"/>
          <w:sz w:val="28"/>
        </w:rPr>
        <w:t xml:space="preserve"> </w:t>
      </w:r>
      <w:r w:rsidRPr="00BA23FF">
        <w:rPr>
          <w:rFonts w:ascii="Times New Roman" w:hAnsi="Times New Roman" w:cs="Times New Roman"/>
          <w:sz w:val="28"/>
        </w:rPr>
        <w:t>Из вышесказанного вытекает, что на данный м</w:t>
      </w:r>
      <w:r w:rsidR="005E70C2">
        <w:rPr>
          <w:rFonts w:ascii="Times New Roman" w:hAnsi="Times New Roman" w:cs="Times New Roman"/>
          <w:sz w:val="28"/>
        </w:rPr>
        <w:t xml:space="preserve">омент не существует идеального, </w:t>
      </w:r>
      <w:r w:rsidRPr="00BA23FF">
        <w:rPr>
          <w:rFonts w:ascii="Times New Roman" w:hAnsi="Times New Roman" w:cs="Times New Roman"/>
          <w:sz w:val="28"/>
        </w:rPr>
        <w:t>единственного метода покрытия дефицита государственного бюджета, вс</w:t>
      </w:r>
      <w:r w:rsidR="005E70C2">
        <w:rPr>
          <w:rFonts w:ascii="Times New Roman" w:hAnsi="Times New Roman" w:cs="Times New Roman"/>
          <w:sz w:val="28"/>
        </w:rPr>
        <w:t xml:space="preserve">е </w:t>
      </w:r>
      <w:r w:rsidRPr="00BA23FF">
        <w:rPr>
          <w:rFonts w:ascii="Times New Roman" w:hAnsi="Times New Roman" w:cs="Times New Roman"/>
          <w:sz w:val="28"/>
        </w:rPr>
        <w:t>рассмотренные способы имеют свои достоинств</w:t>
      </w:r>
      <w:r w:rsidR="005E70C2">
        <w:rPr>
          <w:rFonts w:ascii="Times New Roman" w:hAnsi="Times New Roman" w:cs="Times New Roman"/>
          <w:sz w:val="28"/>
        </w:rPr>
        <w:t xml:space="preserve">а и недостатки. Проанализировав </w:t>
      </w:r>
      <w:r w:rsidRPr="00BA23FF">
        <w:rPr>
          <w:rFonts w:ascii="Times New Roman" w:hAnsi="Times New Roman" w:cs="Times New Roman"/>
          <w:sz w:val="28"/>
        </w:rPr>
        <w:t>их, можно с уверенностью говорить о том</w:t>
      </w:r>
      <w:r w:rsidR="005E70C2">
        <w:rPr>
          <w:rFonts w:ascii="Times New Roman" w:hAnsi="Times New Roman" w:cs="Times New Roman"/>
          <w:sz w:val="28"/>
        </w:rPr>
        <w:t xml:space="preserve">, что для эффективного покрытия </w:t>
      </w:r>
      <w:r w:rsidRPr="00BA23FF">
        <w:rPr>
          <w:rFonts w:ascii="Times New Roman" w:hAnsi="Times New Roman" w:cs="Times New Roman"/>
          <w:sz w:val="28"/>
        </w:rPr>
        <w:t>дефицита государственного бюджета недостаточн</w:t>
      </w:r>
      <w:r w:rsidR="005E70C2">
        <w:rPr>
          <w:rFonts w:ascii="Times New Roman" w:hAnsi="Times New Roman" w:cs="Times New Roman"/>
          <w:sz w:val="28"/>
        </w:rPr>
        <w:t xml:space="preserve">о предпринимать меры всего лишь </w:t>
      </w:r>
      <w:r w:rsidRPr="00BA23FF">
        <w:rPr>
          <w:rFonts w:ascii="Times New Roman" w:hAnsi="Times New Roman" w:cs="Times New Roman"/>
          <w:sz w:val="28"/>
        </w:rPr>
        <w:t>одного какого - либо метода. Следует испол</w:t>
      </w:r>
      <w:r w:rsidR="005E70C2">
        <w:rPr>
          <w:rFonts w:ascii="Times New Roman" w:hAnsi="Times New Roman" w:cs="Times New Roman"/>
          <w:sz w:val="28"/>
        </w:rPr>
        <w:t xml:space="preserve">ьзовать методы в совокупности и </w:t>
      </w:r>
      <w:r w:rsidRPr="00BA23FF">
        <w:rPr>
          <w:rFonts w:ascii="Times New Roman" w:hAnsi="Times New Roman" w:cs="Times New Roman"/>
          <w:sz w:val="28"/>
        </w:rPr>
        <w:t>комбинировать меры финансирования, исх</w:t>
      </w:r>
      <w:r w:rsidR="005E70C2">
        <w:rPr>
          <w:rFonts w:ascii="Times New Roman" w:hAnsi="Times New Roman" w:cs="Times New Roman"/>
          <w:sz w:val="28"/>
        </w:rPr>
        <w:t xml:space="preserve">одя из реального экономического </w:t>
      </w:r>
      <w:r w:rsidRPr="005E70C2">
        <w:rPr>
          <w:rFonts w:ascii="Times New Roman" w:hAnsi="Times New Roman" w:cs="Times New Roman"/>
          <w:sz w:val="28"/>
        </w:rPr>
        <w:t>положения государства.</w:t>
      </w:r>
    </w:p>
    <w:p w:rsidR="005E70C2" w:rsidRDefault="005E70C2" w:rsidP="00AA644D">
      <w:pPr>
        <w:pStyle w:val="a3"/>
        <w:ind w:left="0" w:firstLine="709"/>
        <w:jc w:val="both"/>
        <w:rPr>
          <w:rFonts w:ascii="Times New Roman" w:hAnsi="Times New Roman" w:cs="Times New Roman"/>
          <w:b/>
          <w:sz w:val="28"/>
        </w:rPr>
      </w:pPr>
    </w:p>
    <w:p w:rsidR="005E70C2" w:rsidRPr="00AA644D" w:rsidRDefault="005E70C2" w:rsidP="00AA644D">
      <w:pPr>
        <w:pStyle w:val="a3"/>
        <w:ind w:left="0" w:firstLine="709"/>
        <w:jc w:val="both"/>
        <w:rPr>
          <w:rFonts w:ascii="Times New Roman" w:hAnsi="Times New Roman" w:cs="Times New Roman"/>
          <w:b/>
          <w:sz w:val="28"/>
        </w:rPr>
      </w:pPr>
    </w:p>
    <w:p w:rsidR="00AE63BA" w:rsidRDefault="00AA644D" w:rsidP="00AA644D">
      <w:pPr>
        <w:pStyle w:val="a3"/>
        <w:ind w:left="0" w:firstLine="709"/>
        <w:jc w:val="both"/>
        <w:rPr>
          <w:rFonts w:ascii="Times New Roman" w:hAnsi="Times New Roman" w:cs="Times New Roman"/>
          <w:b/>
          <w:sz w:val="28"/>
        </w:rPr>
      </w:pPr>
      <w:r w:rsidRPr="00AA644D">
        <w:rPr>
          <w:rFonts w:ascii="Times New Roman" w:hAnsi="Times New Roman" w:cs="Times New Roman"/>
          <w:b/>
          <w:sz w:val="28"/>
        </w:rPr>
        <w:t>3.2.</w:t>
      </w:r>
      <w:r w:rsidRPr="00AA644D">
        <w:rPr>
          <w:rFonts w:ascii="Times New Roman" w:hAnsi="Times New Roman" w:cs="Times New Roman"/>
          <w:b/>
          <w:sz w:val="28"/>
        </w:rPr>
        <w:tab/>
        <w:t>Перспективные направления налоговой политики РФ</w:t>
      </w:r>
    </w:p>
    <w:p w:rsidR="00AA644D" w:rsidRDefault="00AA644D" w:rsidP="00AA644D">
      <w:pPr>
        <w:pStyle w:val="a3"/>
        <w:spacing w:after="0" w:line="240" w:lineRule="auto"/>
        <w:ind w:left="0" w:firstLine="709"/>
        <w:jc w:val="both"/>
        <w:rPr>
          <w:rFonts w:ascii="Times New Roman" w:hAnsi="Times New Roman" w:cs="Times New Roman"/>
          <w:sz w:val="28"/>
        </w:rPr>
      </w:pP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В целях совершенствования налоговой политики государства, необходима корректировка некоторых разделов законодательства:</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внедрение четкого определения резидентов и нерезидентов в Российской Федерации;</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определение правил и условий взимания налогов с прибыли зарубежных предприятий, если доля в них принадлежит резиденту РФ, для противодействия использованию оффшорных счетов;</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-закрепление порядка обмена информацией с фискальными органами зарубежных стран с целью создания возможности участия Федеральной Налоговой Службы в контрольных налоговых процедурах за пределами Российской Федерации;</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lastRenderedPageBreak/>
        <w:t>-</w:t>
      </w:r>
      <w:r w:rsidRPr="00AA644D">
        <w:rPr>
          <w:rFonts w:ascii="Times New Roman" w:hAnsi="Times New Roman" w:cs="Times New Roman"/>
          <w:sz w:val="28"/>
        </w:rPr>
        <w:tab/>
        <w:t>введение механизма налогообложения иностранных компаний;</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получение органами Федеральной Налоговой Службы права требовать предоставления документации по контролируемым сделкам с организаций - резидентов иностранных государств без проведения проверки.</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Следует отметить, что рациональная налоговая политика позволит создать эффективный механизм привлечения иностранного капитала в Россию. Одним из направлений деятельности подобного рода стало создание дорожных карт, которые характеризуют упрощение порядка начала и последующего осуществления предпринимательской деятельности. Так, предп</w:t>
      </w:r>
      <w:r>
        <w:rPr>
          <w:rFonts w:ascii="Times New Roman" w:hAnsi="Times New Roman" w:cs="Times New Roman"/>
          <w:sz w:val="28"/>
        </w:rPr>
        <w:t>олагаются следующие мероприятия</w:t>
      </w:r>
      <w:r w:rsidRPr="00AA644D">
        <w:rPr>
          <w:rFonts w:ascii="Times New Roman" w:hAnsi="Times New Roman" w:cs="Times New Roman"/>
          <w:sz w:val="28"/>
        </w:rPr>
        <w:t>:</w:t>
      </w:r>
    </w:p>
    <w:p w:rsid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существенно облегчен процесс постановки на учет и получения регистрационных документов для создаваемых компаний;</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сокращен уровень затрат по использованию кассовых аппаратов;</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оказывается содействие со стороны государства экспортерам продукции, которая прошла полный цикл переработки;</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сокращено количество различий между бухгалтерским и налоговым учетом</w:t>
      </w:r>
      <w:r w:rsidR="00B057AE">
        <w:rPr>
          <w:rStyle w:val="ae"/>
          <w:rFonts w:ascii="Times New Roman" w:hAnsi="Times New Roman" w:cs="Times New Roman"/>
          <w:sz w:val="28"/>
        </w:rPr>
        <w:footnoteReference w:id="13"/>
      </w:r>
      <w:r w:rsidRPr="00AA644D">
        <w:rPr>
          <w:rFonts w:ascii="Times New Roman" w:hAnsi="Times New Roman" w:cs="Times New Roman"/>
          <w:sz w:val="28"/>
        </w:rPr>
        <w:t>.</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Существенное внимание в налоговой политике 2016-2017 гг. уделено уровню налоговой нагрузки на частных лиц. Так, например, предложено в качестве базы по налогу на имущество применять стоимость недвижимого имущества, указанную в кадастре. Планируется, что налоговая политика в отношении платежей для граждан будет предусматривать изменение порядка применения льгот по поступлениям от реализации имущества.</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lastRenderedPageBreak/>
        <w:t>Для увеличения объема капитальных вложений и количества новых компаний налоговая политика включает в себя положения о предполагаемом снижении уровня налогообложения прибыли в значимых инвестиционных программах. Разработаны меры по содействию развитию предпринимательства в области туризма, виноградарства и производства вина.</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В целях стимулирования отказа населения от курения в налоговой политике включено положение о будущей индексации ставок акцизов на табачные изделия.</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Следует отметить изменения в регулировании деятельности в области добычи полезных ископаемых. Для этого налоговая политика предусматривает снижение налогов на добычу ресурсов до 0 % при соответствии предприятия определенным требованиям, только на полуострове Ямал. В то же время с 2015 г. имеет место увеличение размера ставки водного налога.</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В целях обеспечения стабильности наполнения государственного бюджета налоговой политикой предусматриваются меры, которые должны противодействовать сокрытию налоговой базы в случае реализации предприятиями движимого имущества (объекты, приобретенные до января 2013 г.).</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Для реализации бюджетных программ в налоговой политике государства планируется пересмотреть подходы к порядку предоставления освобождения от уплаты, а также снижения ставки налогов субъектов Российской Федерации в доле от федеральных платежей, которая поступает в местные бюджеты.</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Курс России в области налоговой политики в 2017 г. предусматривает некоторые положительные изменения и дополнения:</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lastRenderedPageBreak/>
        <w:t>-</w:t>
      </w:r>
      <w:r w:rsidRPr="00AA644D">
        <w:rPr>
          <w:rFonts w:ascii="Times New Roman" w:hAnsi="Times New Roman" w:cs="Times New Roman"/>
          <w:sz w:val="28"/>
        </w:rPr>
        <w:tab/>
        <w:t>перераспределение части прав на администрирование и</w:t>
      </w:r>
      <w:r>
        <w:rPr>
          <w:rFonts w:ascii="Times New Roman" w:hAnsi="Times New Roman" w:cs="Times New Roman"/>
          <w:sz w:val="28"/>
        </w:rPr>
        <w:t xml:space="preserve"> регулирование местного налого</w:t>
      </w:r>
      <w:r w:rsidRPr="00AA644D">
        <w:rPr>
          <w:rFonts w:ascii="Times New Roman" w:hAnsi="Times New Roman" w:cs="Times New Roman"/>
          <w:sz w:val="28"/>
        </w:rPr>
        <w:t>обложения между субъектами Российской Федерации;</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увеличение порога для списания приобретаемых средств производства сразу в расходы до 80-100 тыс. руб.;</w:t>
      </w:r>
    </w:p>
    <w:p w:rsid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Pr>
          <w:rFonts w:ascii="Times New Roman" w:hAnsi="Times New Roman" w:cs="Times New Roman"/>
          <w:sz w:val="28"/>
        </w:rPr>
        <w:t xml:space="preserve"> </w:t>
      </w:r>
      <w:r w:rsidRPr="00AA644D">
        <w:rPr>
          <w:rFonts w:ascii="Times New Roman" w:hAnsi="Times New Roman" w:cs="Times New Roman"/>
          <w:sz w:val="28"/>
        </w:rPr>
        <w:t>корректировку ряда положений по НДС. Это нужно для исключения ситуаций, когда НДС с авансов подается покупателем к возмещению, а продавцом налог не начисляется. Законодатели желают сравнять уровень возврата и начисления НДС по предоплате. Кроме того, чиновники хотят облегчить жизнь экспортерам, сделав процесс оформления вычетов более простым;</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AA644D">
        <w:rPr>
          <w:rFonts w:ascii="Times New Roman" w:hAnsi="Times New Roman" w:cs="Times New Roman"/>
          <w:sz w:val="28"/>
        </w:rPr>
        <w:t>право на установление пониженных ставок налогообложения. Подобные шаги должны способствовать развитию производства не только в особых экономических зонах, но и по всей территории Российской Федерации. Для территориальных органов управления будет введено ограничение на уровень взимаемого процента по местным налогам, а также по части налога на прибыль, которая направляется в их бюджет для вновь создаваемых промышленных предприятий. Для производственных машин, которые относятся к группам амортизации с 1 по 7, предполагается разрешить применять режим ускоренного начисления с коэффициентом 2, если они приобретены по специальному инвестиционному договору.</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 xml:space="preserve">Сложно представить эффективную налоговую политику, сформированную без определения механизмов контроля точности и своевременности уплаты фискальных сборов. В связи с этим в состав надзорных органов может быть добавлена служба предварительного контроля. </w:t>
      </w:r>
      <w:r w:rsidRPr="00AA644D">
        <w:rPr>
          <w:rFonts w:ascii="Times New Roman" w:hAnsi="Times New Roman" w:cs="Times New Roman"/>
          <w:sz w:val="28"/>
        </w:rPr>
        <w:lastRenderedPageBreak/>
        <w:t>В нее предприятие сможет обратиться для получения консультации еще на стадии подготовки хозяйственной операции и четкого представления ее результатов в сфере налогообложения. Будет сокращен перечень сведений, составляющих налоговую тайну, что положительно отразится на осведомленности налогоплательщиков в отношении своих партнеров.</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Борьба с оффшорными схемами требует корректировок, поэтому в обновленной налоговой политике значительно усовершенствованы процедуры налогового контроля над данным направлением.</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Целесообразно до начала 2019 г. страховые тарифы для плательщиков страховых взносов не повышать.</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упорядочение признаков, по которым будут подпадать под усиленный контроль компании, практикующие трансфертное ценообразование;</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Pr>
          <w:rFonts w:ascii="Times New Roman" w:hAnsi="Times New Roman" w:cs="Times New Roman"/>
          <w:sz w:val="28"/>
        </w:rPr>
        <w:t xml:space="preserve"> </w:t>
      </w:r>
      <w:r w:rsidRPr="00AA644D">
        <w:rPr>
          <w:rFonts w:ascii="Times New Roman" w:hAnsi="Times New Roman" w:cs="Times New Roman"/>
          <w:sz w:val="28"/>
        </w:rPr>
        <w:t>либерализацию налоговой политики в области предоставления инспекциями данных о других компаниях;</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Pr>
          <w:rFonts w:ascii="Times New Roman" w:hAnsi="Times New Roman" w:cs="Times New Roman"/>
          <w:sz w:val="28"/>
        </w:rPr>
        <w:t xml:space="preserve"> </w:t>
      </w:r>
      <w:r w:rsidRPr="00AA644D">
        <w:rPr>
          <w:rFonts w:ascii="Times New Roman" w:hAnsi="Times New Roman" w:cs="Times New Roman"/>
          <w:sz w:val="28"/>
        </w:rPr>
        <w:t>дальнейшее содействие развитию объединений налогоплательщиков (консолидированных групп). Возникли они не так давно, но Минфин заинтересован в их развитии, в связи с чем включил дополнительные положения по ним в налоговой политике;</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расширение возможностей местных органов власти по регулированию налога на имущество физических лиц, при этом в сферу их влияния попадут не только проценты выплат и уровень льгот, но и порядок расчета суммы по облагаемым объектам. В частности, им дано право до 2020 г. оставить в качестве цены, принимаемой к учету, инвентарную стоимость объекта;</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lastRenderedPageBreak/>
        <w:t>-</w:t>
      </w:r>
      <w:r w:rsidRPr="00AA644D">
        <w:rPr>
          <w:rFonts w:ascii="Times New Roman" w:hAnsi="Times New Roman" w:cs="Times New Roman"/>
          <w:sz w:val="28"/>
        </w:rPr>
        <w:tab/>
        <w:t>корректировку порядка определения суммы, подлежащей обложению при реализации имущества частных лиц;</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введение стандартной ставки НДФЛ для граждан из зарубежных стран и беженцев;</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увеличение налогового обременения по операциям с сырой нефтью и его уменьшение по сделкам с продуктами переработки;</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последовательный рост ставки водного налога;</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расширение мер по содействию развитию новых производств не только на территориях опережающего развития;</w:t>
      </w:r>
    </w:p>
    <w:p w:rsidR="00AA644D" w:rsidRPr="00AA644D" w:rsidRDefault="00AA644D" w:rsidP="00AA644D">
      <w:pPr>
        <w:pStyle w:val="a3"/>
        <w:spacing w:after="0" w:line="360" w:lineRule="auto"/>
        <w:ind w:left="0" w:firstLine="709"/>
        <w:jc w:val="both"/>
        <w:rPr>
          <w:rFonts w:ascii="Times New Roman" w:hAnsi="Times New Roman" w:cs="Times New Roman"/>
          <w:sz w:val="28"/>
        </w:rPr>
      </w:pPr>
      <w:r w:rsidRPr="00AA644D">
        <w:rPr>
          <w:rFonts w:ascii="Times New Roman" w:hAnsi="Times New Roman" w:cs="Times New Roman"/>
          <w:sz w:val="28"/>
        </w:rPr>
        <w:t>-</w:t>
      </w:r>
      <w:r w:rsidRPr="00AA644D">
        <w:rPr>
          <w:rFonts w:ascii="Times New Roman" w:hAnsi="Times New Roman" w:cs="Times New Roman"/>
          <w:sz w:val="28"/>
        </w:rPr>
        <w:tab/>
        <w:t>расширение сферы применения системы взимания налогов на основе патентов, передачу полномочий по регулированию ставки в регионы с предоставлением возможности снижать ее до 1 %.</w:t>
      </w:r>
    </w:p>
    <w:p w:rsidR="00AA644D" w:rsidRDefault="00AA644D" w:rsidP="0030378C">
      <w:pPr>
        <w:pStyle w:val="a3"/>
        <w:ind w:left="0" w:firstLine="709"/>
        <w:jc w:val="both"/>
        <w:rPr>
          <w:rFonts w:ascii="Times New Roman" w:hAnsi="Times New Roman" w:cs="Times New Roman"/>
          <w:b/>
          <w:sz w:val="28"/>
        </w:rPr>
      </w:pPr>
    </w:p>
    <w:p w:rsidR="009E0CCF" w:rsidRDefault="009E0CCF" w:rsidP="0030378C">
      <w:pPr>
        <w:pStyle w:val="a3"/>
        <w:ind w:left="0" w:firstLine="709"/>
        <w:jc w:val="both"/>
        <w:rPr>
          <w:rFonts w:ascii="Times New Roman" w:hAnsi="Times New Roman" w:cs="Times New Roman"/>
          <w:b/>
          <w:sz w:val="28"/>
        </w:rPr>
      </w:pPr>
    </w:p>
    <w:p w:rsidR="009E0CCF" w:rsidRDefault="009E0CCF" w:rsidP="0030378C">
      <w:pPr>
        <w:pStyle w:val="a3"/>
        <w:ind w:left="0" w:firstLine="709"/>
        <w:jc w:val="both"/>
        <w:rPr>
          <w:rFonts w:ascii="Times New Roman" w:hAnsi="Times New Roman" w:cs="Times New Roman"/>
          <w:b/>
          <w:sz w:val="28"/>
        </w:rPr>
      </w:pPr>
    </w:p>
    <w:p w:rsidR="009E0CCF" w:rsidRDefault="009E0CCF" w:rsidP="0030378C">
      <w:pPr>
        <w:pStyle w:val="a3"/>
        <w:ind w:left="0" w:firstLine="709"/>
        <w:jc w:val="both"/>
        <w:rPr>
          <w:rFonts w:ascii="Times New Roman" w:hAnsi="Times New Roman" w:cs="Times New Roman"/>
          <w:b/>
          <w:sz w:val="28"/>
        </w:rPr>
      </w:pPr>
    </w:p>
    <w:p w:rsidR="009E0CCF" w:rsidRDefault="009E0CCF" w:rsidP="0030378C">
      <w:pPr>
        <w:pStyle w:val="a3"/>
        <w:ind w:left="0" w:firstLine="709"/>
        <w:jc w:val="both"/>
        <w:rPr>
          <w:rFonts w:ascii="Times New Roman" w:hAnsi="Times New Roman" w:cs="Times New Roman"/>
          <w:b/>
          <w:sz w:val="28"/>
        </w:rPr>
      </w:pPr>
    </w:p>
    <w:p w:rsidR="00AA644D" w:rsidRDefault="00CC1F53" w:rsidP="00CC1F53">
      <w:pPr>
        <w:pStyle w:val="a3"/>
        <w:ind w:left="0" w:firstLine="709"/>
        <w:jc w:val="center"/>
        <w:rPr>
          <w:rFonts w:ascii="Times New Roman" w:hAnsi="Times New Roman" w:cs="Times New Roman"/>
          <w:b/>
          <w:sz w:val="28"/>
        </w:rPr>
      </w:pPr>
      <w:r>
        <w:rPr>
          <w:rFonts w:ascii="Times New Roman" w:hAnsi="Times New Roman" w:cs="Times New Roman"/>
          <w:b/>
          <w:sz w:val="28"/>
        </w:rPr>
        <w:t>ЗАКЛЮЧЕНИЕ</w:t>
      </w:r>
    </w:p>
    <w:p w:rsidR="00CC1F53" w:rsidRDefault="00CC1F53" w:rsidP="00CC1F53">
      <w:pPr>
        <w:pStyle w:val="a3"/>
        <w:ind w:left="0" w:firstLine="709"/>
        <w:jc w:val="center"/>
        <w:rPr>
          <w:rFonts w:ascii="Times New Roman" w:hAnsi="Times New Roman" w:cs="Times New Roman"/>
          <w:b/>
          <w:sz w:val="28"/>
        </w:rPr>
      </w:pPr>
    </w:p>
    <w:p w:rsidR="008354D1" w:rsidRPr="008354D1" w:rsidRDefault="008354D1" w:rsidP="008354D1">
      <w:pPr>
        <w:pStyle w:val="a3"/>
        <w:spacing w:after="0" w:line="360" w:lineRule="auto"/>
        <w:ind w:left="0" w:firstLine="709"/>
        <w:jc w:val="both"/>
        <w:rPr>
          <w:rFonts w:ascii="Times New Roman" w:hAnsi="Times New Roman" w:cs="Times New Roman"/>
          <w:sz w:val="28"/>
        </w:rPr>
      </w:pPr>
      <w:r w:rsidRPr="008354D1">
        <w:rPr>
          <w:rFonts w:ascii="Times New Roman" w:hAnsi="Times New Roman" w:cs="Times New Roman"/>
          <w:sz w:val="28"/>
        </w:rPr>
        <w:t>Налоговая политика представляет собой комплекс мер в области</w:t>
      </w:r>
      <w:r>
        <w:rPr>
          <w:rFonts w:ascii="Times New Roman" w:hAnsi="Times New Roman" w:cs="Times New Roman"/>
          <w:sz w:val="28"/>
        </w:rPr>
        <w:t xml:space="preserve"> </w:t>
      </w:r>
      <w:r w:rsidRPr="008354D1">
        <w:rPr>
          <w:rFonts w:ascii="Times New Roman" w:hAnsi="Times New Roman" w:cs="Times New Roman"/>
          <w:sz w:val="28"/>
        </w:rPr>
        <w:t>налогового регулирования, направленно</w:t>
      </w:r>
      <w:r>
        <w:rPr>
          <w:rFonts w:ascii="Times New Roman" w:hAnsi="Times New Roman" w:cs="Times New Roman"/>
          <w:sz w:val="28"/>
        </w:rPr>
        <w:t xml:space="preserve">го на установление оптимального </w:t>
      </w:r>
      <w:r w:rsidRPr="008354D1">
        <w:rPr>
          <w:rFonts w:ascii="Times New Roman" w:hAnsi="Times New Roman" w:cs="Times New Roman"/>
          <w:sz w:val="28"/>
        </w:rPr>
        <w:t xml:space="preserve">уровня налоговой нагрузки в зависимости от характера </w:t>
      </w:r>
      <w:r>
        <w:rPr>
          <w:rFonts w:ascii="Times New Roman" w:hAnsi="Times New Roman" w:cs="Times New Roman"/>
          <w:sz w:val="28"/>
        </w:rPr>
        <w:t xml:space="preserve">поставленных в данный </w:t>
      </w:r>
      <w:r w:rsidRPr="008354D1">
        <w:rPr>
          <w:rFonts w:ascii="Times New Roman" w:hAnsi="Times New Roman" w:cs="Times New Roman"/>
          <w:sz w:val="28"/>
        </w:rPr>
        <w:t>момент времени макроэкономических задач.</w:t>
      </w:r>
    </w:p>
    <w:p w:rsidR="008354D1" w:rsidRPr="008354D1" w:rsidRDefault="008354D1" w:rsidP="008354D1">
      <w:pPr>
        <w:pStyle w:val="a3"/>
        <w:spacing w:after="0" w:line="360" w:lineRule="auto"/>
        <w:ind w:left="0" w:firstLine="709"/>
        <w:jc w:val="both"/>
        <w:rPr>
          <w:rFonts w:ascii="Times New Roman" w:hAnsi="Times New Roman" w:cs="Times New Roman"/>
          <w:sz w:val="28"/>
        </w:rPr>
      </w:pPr>
      <w:r w:rsidRPr="008354D1">
        <w:rPr>
          <w:rFonts w:ascii="Times New Roman" w:hAnsi="Times New Roman" w:cs="Times New Roman"/>
          <w:sz w:val="28"/>
        </w:rPr>
        <w:t>Показате</w:t>
      </w:r>
      <w:r>
        <w:rPr>
          <w:rFonts w:ascii="Times New Roman" w:hAnsi="Times New Roman" w:cs="Times New Roman"/>
          <w:sz w:val="28"/>
        </w:rPr>
        <w:t>ль</w:t>
      </w:r>
      <w:r w:rsidRPr="008354D1">
        <w:rPr>
          <w:rFonts w:ascii="Times New Roman" w:hAnsi="Times New Roman" w:cs="Times New Roman"/>
          <w:sz w:val="28"/>
        </w:rPr>
        <w:t xml:space="preserve"> налоговой нагрузки – основной изме</w:t>
      </w:r>
      <w:r>
        <w:rPr>
          <w:rFonts w:ascii="Times New Roman" w:hAnsi="Times New Roman" w:cs="Times New Roman"/>
          <w:sz w:val="28"/>
        </w:rPr>
        <w:t xml:space="preserve">ритель качества налоговой системы </w:t>
      </w:r>
      <w:r w:rsidRPr="008354D1">
        <w:rPr>
          <w:rFonts w:ascii="Times New Roman" w:hAnsi="Times New Roman" w:cs="Times New Roman"/>
          <w:sz w:val="28"/>
        </w:rPr>
        <w:t xml:space="preserve">любой страны. </w:t>
      </w:r>
      <w:r>
        <w:rPr>
          <w:rFonts w:ascii="Times New Roman" w:hAnsi="Times New Roman" w:cs="Times New Roman"/>
          <w:sz w:val="28"/>
        </w:rPr>
        <w:t xml:space="preserve">Имеет огромное значение </w:t>
      </w:r>
      <w:r w:rsidRPr="008354D1">
        <w:rPr>
          <w:rFonts w:ascii="Times New Roman" w:hAnsi="Times New Roman" w:cs="Times New Roman"/>
          <w:sz w:val="28"/>
        </w:rPr>
        <w:t>при налоговом</w:t>
      </w:r>
      <w:r>
        <w:rPr>
          <w:rFonts w:ascii="Times New Roman" w:hAnsi="Times New Roman" w:cs="Times New Roman"/>
          <w:sz w:val="28"/>
        </w:rPr>
        <w:t xml:space="preserve"> планировании, оценке, эффективности  </w:t>
      </w:r>
      <w:r w:rsidRPr="008354D1">
        <w:rPr>
          <w:rFonts w:ascii="Times New Roman" w:hAnsi="Times New Roman" w:cs="Times New Roman"/>
          <w:sz w:val="28"/>
        </w:rPr>
        <w:t>налоговой</w:t>
      </w:r>
      <w:r>
        <w:rPr>
          <w:rFonts w:ascii="Times New Roman" w:hAnsi="Times New Roman" w:cs="Times New Roman"/>
          <w:sz w:val="28"/>
        </w:rPr>
        <w:t xml:space="preserve"> системы, определении уровня развитости </w:t>
      </w:r>
      <w:r w:rsidRPr="008354D1">
        <w:rPr>
          <w:rFonts w:ascii="Times New Roman" w:hAnsi="Times New Roman" w:cs="Times New Roman"/>
          <w:sz w:val="28"/>
        </w:rPr>
        <w:t xml:space="preserve"> экономики любой страны.</w:t>
      </w:r>
    </w:p>
    <w:p w:rsidR="00CC1F53" w:rsidRPr="008354D1" w:rsidRDefault="008354D1" w:rsidP="008354D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А</w:t>
      </w:r>
      <w:r w:rsidRPr="008354D1">
        <w:rPr>
          <w:rFonts w:ascii="Times New Roman" w:hAnsi="Times New Roman" w:cs="Times New Roman"/>
          <w:sz w:val="28"/>
        </w:rPr>
        <w:t>нализ уровня и динамики</w:t>
      </w:r>
      <w:r>
        <w:rPr>
          <w:rFonts w:ascii="Times New Roman" w:hAnsi="Times New Roman" w:cs="Times New Roman"/>
          <w:sz w:val="28"/>
        </w:rPr>
        <w:t xml:space="preserve"> налоговых  </w:t>
      </w:r>
      <w:r w:rsidRPr="008354D1">
        <w:rPr>
          <w:rFonts w:ascii="Times New Roman" w:hAnsi="Times New Roman" w:cs="Times New Roman"/>
          <w:sz w:val="28"/>
        </w:rPr>
        <w:t xml:space="preserve">доходов бюджетной системы Российской Федерации является важным </w:t>
      </w:r>
      <w:r>
        <w:rPr>
          <w:rFonts w:ascii="Times New Roman" w:hAnsi="Times New Roman" w:cs="Times New Roman"/>
          <w:sz w:val="28"/>
        </w:rPr>
        <w:t xml:space="preserve"> </w:t>
      </w:r>
      <w:r w:rsidRPr="008354D1">
        <w:rPr>
          <w:rFonts w:ascii="Times New Roman" w:hAnsi="Times New Roman" w:cs="Times New Roman"/>
          <w:sz w:val="28"/>
        </w:rPr>
        <w:t>с точки зрения общей конструкции налоговой системы, поскольку</w:t>
      </w:r>
      <w:r>
        <w:rPr>
          <w:rFonts w:ascii="Times New Roman" w:hAnsi="Times New Roman" w:cs="Times New Roman"/>
          <w:sz w:val="28"/>
        </w:rPr>
        <w:t xml:space="preserve"> позволяет  </w:t>
      </w:r>
      <w:r w:rsidRPr="008354D1">
        <w:rPr>
          <w:rFonts w:ascii="Times New Roman" w:hAnsi="Times New Roman" w:cs="Times New Roman"/>
          <w:sz w:val="28"/>
        </w:rPr>
        <w:t>показать, что с ее помощью следует сглаживать колебания доходов,</w:t>
      </w:r>
      <w:r>
        <w:rPr>
          <w:rFonts w:ascii="Times New Roman" w:hAnsi="Times New Roman" w:cs="Times New Roman"/>
          <w:sz w:val="28"/>
        </w:rPr>
        <w:t xml:space="preserve"> обусловленные  </w:t>
      </w:r>
      <w:r w:rsidRPr="008354D1">
        <w:rPr>
          <w:rFonts w:ascii="Times New Roman" w:hAnsi="Times New Roman" w:cs="Times New Roman"/>
          <w:sz w:val="28"/>
        </w:rPr>
        <w:t>волатильностью внешнеторговой конъюнктуры, что, в свою</w:t>
      </w:r>
      <w:r>
        <w:rPr>
          <w:rFonts w:ascii="Times New Roman" w:hAnsi="Times New Roman" w:cs="Times New Roman"/>
          <w:sz w:val="28"/>
        </w:rPr>
        <w:t xml:space="preserve"> очередь</w:t>
      </w:r>
      <w:r w:rsidRPr="008354D1">
        <w:rPr>
          <w:rFonts w:ascii="Times New Roman" w:hAnsi="Times New Roman" w:cs="Times New Roman"/>
          <w:sz w:val="28"/>
        </w:rPr>
        <w:t>, требует настройки налоговой системы и различных подходов к</w:t>
      </w:r>
      <w:r>
        <w:rPr>
          <w:rFonts w:ascii="Times New Roman" w:hAnsi="Times New Roman" w:cs="Times New Roman"/>
          <w:sz w:val="28"/>
        </w:rPr>
        <w:t xml:space="preserve"> налогообложению </w:t>
      </w:r>
      <w:r w:rsidRPr="008354D1">
        <w:rPr>
          <w:rFonts w:ascii="Times New Roman" w:hAnsi="Times New Roman" w:cs="Times New Roman"/>
          <w:sz w:val="28"/>
        </w:rPr>
        <w:t>в различных секторах экономики</w:t>
      </w:r>
      <w:r>
        <w:rPr>
          <w:rFonts w:ascii="Times New Roman" w:hAnsi="Times New Roman" w:cs="Times New Roman"/>
          <w:sz w:val="28"/>
        </w:rPr>
        <w:t>.</w:t>
      </w:r>
    </w:p>
    <w:p w:rsidR="008354D1" w:rsidRDefault="008354D1" w:rsidP="008354D1">
      <w:pPr>
        <w:pStyle w:val="a3"/>
        <w:spacing w:after="0" w:line="360" w:lineRule="auto"/>
        <w:ind w:left="0" w:firstLine="709"/>
        <w:jc w:val="both"/>
        <w:rPr>
          <w:rFonts w:ascii="Times New Roman" w:hAnsi="Times New Roman" w:cs="Times New Roman"/>
          <w:sz w:val="28"/>
        </w:rPr>
      </w:pPr>
      <w:r w:rsidRPr="008354D1">
        <w:rPr>
          <w:rFonts w:ascii="Times New Roman" w:hAnsi="Times New Roman" w:cs="Times New Roman"/>
          <w:sz w:val="28"/>
        </w:rPr>
        <w:t>Характеризуя уровень налоговой нагрузки по</w:t>
      </w:r>
      <w:r>
        <w:rPr>
          <w:rFonts w:ascii="Times New Roman" w:hAnsi="Times New Roman" w:cs="Times New Roman"/>
          <w:sz w:val="28"/>
        </w:rPr>
        <w:t xml:space="preserve"> отдельным </w:t>
      </w:r>
      <w:r w:rsidRPr="008354D1">
        <w:rPr>
          <w:rFonts w:ascii="Times New Roman" w:hAnsi="Times New Roman" w:cs="Times New Roman"/>
          <w:sz w:val="28"/>
        </w:rPr>
        <w:t xml:space="preserve"> видам налогов в</w:t>
      </w:r>
      <w:r>
        <w:rPr>
          <w:rFonts w:ascii="Times New Roman" w:hAnsi="Times New Roman" w:cs="Times New Roman"/>
          <w:sz w:val="28"/>
        </w:rPr>
        <w:t xml:space="preserve"> РФ, традиционно выделяют нефтегазовые доходы – НДПИ и вывозные таможенные пошлины (на нефть, газ и нефтепродукты), поскольку в РФ по-прежнему существенную долю доходов бюджета составляют доходы, получаемые из этих источников. </w:t>
      </w:r>
    </w:p>
    <w:p w:rsidR="008354D1" w:rsidRDefault="008354D1" w:rsidP="008354D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Средний уровень прочих сборов, таких как государственная пошлина и неналоговых платежей, уплачиваемых организациями и предпринимателями в бюджеты бюджетной системы составляют менее 1% к ВВП. В 2015 году совокупный уровень указанных доходов составил 0,61% к ВВП, и, таким образом, фискальная нагрузка по экономику суммарно составила 30,77% к ВВП.</w:t>
      </w:r>
    </w:p>
    <w:p w:rsidR="008354D1" w:rsidRDefault="008354D1" w:rsidP="008354D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соответствии с основными направлениями налоговой политики РФ на 2017 и на плановый период 2018 и 2019 годов, было принято решение не допускать увеличения налоговой нагрузки в стране в ближайшие годы, по возможности – использовать все имеющиеся возможности для ее снижения (в первую очередь, бля малого  бизнеса и новых инвестиционных проектов). </w:t>
      </w:r>
    </w:p>
    <w:p w:rsidR="008354D1" w:rsidRDefault="008354D1" w:rsidP="008354D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Самое главное при проведении налоговой политики основное внимание должно уделяться проведению антикризисных налоговых мер, </w:t>
      </w:r>
      <w:r>
        <w:rPr>
          <w:rFonts w:ascii="Times New Roman" w:hAnsi="Times New Roman" w:cs="Times New Roman"/>
          <w:sz w:val="28"/>
        </w:rPr>
        <w:lastRenderedPageBreak/>
        <w:t xml:space="preserve">совершенствованию налогового администрирования и вопросам предоставления льгот. </w:t>
      </w:r>
    </w:p>
    <w:p w:rsidR="008354D1" w:rsidRPr="008354D1" w:rsidRDefault="008354D1" w:rsidP="008354D1">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
    <w:p w:rsidR="00AA644D" w:rsidRDefault="00AA644D" w:rsidP="0030378C">
      <w:pPr>
        <w:pStyle w:val="a3"/>
        <w:ind w:left="0" w:firstLine="709"/>
        <w:jc w:val="both"/>
        <w:rPr>
          <w:rFonts w:ascii="Times New Roman" w:hAnsi="Times New Roman" w:cs="Times New Roman"/>
          <w:b/>
          <w:sz w:val="28"/>
        </w:rPr>
      </w:pPr>
    </w:p>
    <w:p w:rsidR="00AA644D" w:rsidRDefault="00AA644D" w:rsidP="0030378C">
      <w:pPr>
        <w:pStyle w:val="a3"/>
        <w:ind w:left="0" w:firstLine="709"/>
        <w:jc w:val="both"/>
        <w:rPr>
          <w:rFonts w:ascii="Times New Roman" w:hAnsi="Times New Roman" w:cs="Times New Roman"/>
          <w:b/>
          <w:sz w:val="28"/>
        </w:rPr>
      </w:pPr>
    </w:p>
    <w:p w:rsidR="00AA644D" w:rsidRDefault="00AA644D" w:rsidP="0030378C">
      <w:pPr>
        <w:pStyle w:val="a3"/>
        <w:ind w:left="0" w:firstLine="709"/>
        <w:jc w:val="both"/>
        <w:rPr>
          <w:rFonts w:ascii="Times New Roman" w:hAnsi="Times New Roman" w:cs="Times New Roman"/>
          <w:b/>
          <w:sz w:val="28"/>
        </w:rPr>
      </w:pPr>
    </w:p>
    <w:p w:rsidR="00AA644D" w:rsidRDefault="00AA644D" w:rsidP="0030378C">
      <w:pPr>
        <w:pStyle w:val="a3"/>
        <w:ind w:left="0" w:firstLine="709"/>
        <w:jc w:val="both"/>
        <w:rPr>
          <w:rFonts w:ascii="Times New Roman" w:hAnsi="Times New Roman" w:cs="Times New Roman"/>
          <w:b/>
          <w:sz w:val="28"/>
        </w:rPr>
      </w:pPr>
    </w:p>
    <w:p w:rsidR="00AA644D" w:rsidRDefault="00AA644D" w:rsidP="0030378C">
      <w:pPr>
        <w:pStyle w:val="a3"/>
        <w:ind w:left="0" w:firstLine="709"/>
        <w:jc w:val="both"/>
        <w:rPr>
          <w:rFonts w:ascii="Times New Roman" w:hAnsi="Times New Roman" w:cs="Times New Roman"/>
          <w:b/>
          <w:sz w:val="28"/>
        </w:rPr>
      </w:pPr>
    </w:p>
    <w:p w:rsidR="00AA644D" w:rsidRDefault="00AA644D"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8354D1" w:rsidRDefault="008354D1" w:rsidP="0030378C">
      <w:pPr>
        <w:pStyle w:val="a3"/>
        <w:ind w:left="0" w:firstLine="709"/>
        <w:jc w:val="both"/>
        <w:rPr>
          <w:rFonts w:ascii="Times New Roman" w:hAnsi="Times New Roman" w:cs="Times New Roman"/>
          <w:b/>
          <w:sz w:val="28"/>
        </w:rPr>
      </w:pPr>
    </w:p>
    <w:p w:rsidR="00AA644D" w:rsidRDefault="00AA644D" w:rsidP="0030378C">
      <w:pPr>
        <w:pStyle w:val="a3"/>
        <w:ind w:left="0" w:firstLine="709"/>
        <w:jc w:val="both"/>
        <w:rPr>
          <w:rFonts w:ascii="Times New Roman" w:hAnsi="Times New Roman" w:cs="Times New Roman"/>
          <w:b/>
          <w:sz w:val="28"/>
        </w:rPr>
      </w:pPr>
    </w:p>
    <w:p w:rsidR="008354D1" w:rsidRPr="008354D1" w:rsidRDefault="002A361A" w:rsidP="008354D1">
      <w:pPr>
        <w:pStyle w:val="a3"/>
        <w:ind w:left="0"/>
        <w:jc w:val="center"/>
        <w:rPr>
          <w:rFonts w:ascii="Times New Roman" w:hAnsi="Times New Roman" w:cs="Times New Roman"/>
          <w:b/>
          <w:sz w:val="28"/>
        </w:rPr>
      </w:pPr>
      <w:r w:rsidRPr="008354D1">
        <w:rPr>
          <w:rFonts w:ascii="Times New Roman" w:hAnsi="Times New Roman" w:cs="Times New Roman"/>
          <w:b/>
          <w:sz w:val="28"/>
        </w:rPr>
        <w:t>БИБЛИОГРАФИЧЕСКИЙ СПИСОК</w:t>
      </w:r>
    </w:p>
    <w:p w:rsidR="00AA644D" w:rsidRDefault="00AA644D" w:rsidP="0030378C">
      <w:pPr>
        <w:pStyle w:val="a3"/>
        <w:ind w:left="0" w:firstLine="709"/>
        <w:jc w:val="both"/>
        <w:rPr>
          <w:rFonts w:ascii="Times New Roman" w:hAnsi="Times New Roman" w:cs="Times New Roman"/>
          <w:b/>
          <w:sz w:val="28"/>
        </w:rPr>
      </w:pP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Бюджетный кодекс Российской Федерации от 31.07.1998 № 145–ФЗ [Электронный ресурс] : (с изм. и доп.) // «Консультант–Плюс» : [сайт информ.–правовой компании]. – [М., 2015]. – Режим доступа: http://consultantplus.ru/</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Налоговый кодекс Российской Федерации от 31 июля 1998 г. N 146–ФЗ //Собрание законодательства Российской Федерации от 3 августа 1998 г. N 31 ст. 3824.</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Основные направления налоговой политики Российской Федерации на 2017 год и плановый период 2018 и 2019 годов. URL: http: // www.minfin.ru</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Заключение Счетной палаты Российской Федерации на отчет  об исполнении федерального бюджета за 2016 год // Коллегия Счетной палаты Российской Федерации. – [Электронный ресурс].  –  Режим доступа: http://www.ach.gov.ru/activities/annual_report/</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Артемьев А.А., Бобинкин С.А. Модернизация социально - экономической сферы в современной России: проблемы и суждения. Монография. Тверь, 2016. - 188 с.</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Домбровский Е. А. Десять шагов к сбалансированности бюджетов субъектов Российской Федерации / Е. А. Домбровский // Финансы и кредит. – 2015. – № 37. – С. 52–64.</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Куликов II. И. Современная бюджетная система России: учебное пособие / II. И. Куликов, Л. II. Чайникова, Е. Ю. Бабенко // Тамбов: Издательство ТГТУ. – 2017. – 104 с.</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Куцегреева Л. В. Совершенствование системы налогового администрирования в РФ / Л. В. Куцегреева // Экономика и предпринимательство. – 2015. –  № 6–2 (59–2). – С. 93–96.</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lastRenderedPageBreak/>
        <w:t>Налоги и налогообложение: учебник и практикум для СПО / под ред. Д. Г. Черника, Ю. Д. Шмелева. 2-е изд., перераб. и доп. М.: Юрайт, 2016. - 495 с.</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Налоги и налогообложение: учебник для СПО / под ред. JI. Я. Маршавиной, JI. А. Чайковской. М.: Юрайт, 2016. - 503 с.</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Налоги и налогообложение: учебник и практикум для СПО / под ред. Г. Б. Поляка. 2-е изд., перераб. и доп. М.: Юрайт, 2015. - 474 с.</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Пансков, В. Г. Налоги и налогообложение : учебник и практикум для прикладного бакалавриата / В. Г. Пансков. 5-е изд., перераб. и доп. М.: Юрайт, 2016. - 382 с.</w:t>
      </w:r>
    </w:p>
    <w:p w:rsidR="00BD6E03" w:rsidRPr="00BD6E03" w:rsidRDefault="00BD6E03" w:rsidP="00BD6E03">
      <w:pPr>
        <w:pStyle w:val="a3"/>
        <w:numPr>
          <w:ilvl w:val="0"/>
          <w:numId w:val="14"/>
        </w:numPr>
        <w:spacing w:after="0" w:line="360" w:lineRule="auto"/>
        <w:ind w:left="0" w:firstLine="709"/>
        <w:jc w:val="both"/>
        <w:rPr>
          <w:rFonts w:ascii="Times New Roman" w:eastAsia="Times New Roman" w:hAnsi="Times New Roman" w:cs="Times New Roman"/>
          <w:sz w:val="28"/>
          <w:szCs w:val="28"/>
        </w:rPr>
      </w:pPr>
      <w:r w:rsidRPr="00BD6E03">
        <w:rPr>
          <w:rFonts w:ascii="Times New Roman" w:eastAsia="Times New Roman" w:hAnsi="Times New Roman" w:cs="Times New Roman"/>
          <w:sz w:val="28"/>
          <w:szCs w:val="28"/>
        </w:rPr>
        <w:t xml:space="preserve">Федотова Г.А., Андреева О.В., Воронкова О.Н., Гульпенко К.В. Состояние и перспективы развития экономики (мировой, национальной, региональной). Монография. В двух книгах / Одесса, 2015. – 309 с. </w:t>
      </w:r>
    </w:p>
    <w:p w:rsidR="006103D5" w:rsidRPr="00143BDC" w:rsidRDefault="006103D5" w:rsidP="00143BDC">
      <w:pPr>
        <w:pStyle w:val="a3"/>
        <w:ind w:left="0" w:firstLine="709"/>
        <w:jc w:val="both"/>
        <w:rPr>
          <w:rFonts w:ascii="Times New Roman" w:hAnsi="Times New Roman" w:cs="Times New Roman"/>
          <w:sz w:val="28"/>
        </w:rPr>
      </w:pPr>
    </w:p>
    <w:p w:rsidR="006103D5" w:rsidRPr="00143BDC" w:rsidRDefault="006103D5" w:rsidP="00143BDC">
      <w:pPr>
        <w:pStyle w:val="a3"/>
        <w:ind w:left="0" w:firstLine="709"/>
        <w:jc w:val="both"/>
        <w:rPr>
          <w:rFonts w:ascii="Times New Roman" w:hAnsi="Times New Roman" w:cs="Times New Roman"/>
          <w:sz w:val="28"/>
        </w:rPr>
      </w:pPr>
    </w:p>
    <w:p w:rsidR="006103D5" w:rsidRPr="006103D5" w:rsidRDefault="006103D5" w:rsidP="006103D5">
      <w:pPr>
        <w:pStyle w:val="a3"/>
        <w:ind w:firstLine="709"/>
        <w:jc w:val="both"/>
        <w:rPr>
          <w:rFonts w:ascii="Times New Roman" w:hAnsi="Times New Roman" w:cs="Times New Roman"/>
          <w:b/>
          <w:sz w:val="28"/>
        </w:rPr>
      </w:pPr>
    </w:p>
    <w:p w:rsidR="006103D5" w:rsidRPr="006103D5" w:rsidRDefault="006103D5" w:rsidP="006103D5">
      <w:pPr>
        <w:pStyle w:val="a3"/>
        <w:ind w:firstLine="709"/>
        <w:jc w:val="both"/>
        <w:rPr>
          <w:rFonts w:ascii="Times New Roman" w:hAnsi="Times New Roman" w:cs="Times New Roman"/>
          <w:b/>
          <w:sz w:val="28"/>
        </w:rPr>
      </w:pPr>
      <w:bookmarkStart w:id="0" w:name="_GoBack"/>
      <w:bookmarkEnd w:id="0"/>
    </w:p>
    <w:sectPr w:rsidR="006103D5" w:rsidRPr="006103D5" w:rsidSect="009E0CCF">
      <w:headerReference w:type="default" r:id="rId12"/>
      <w:footerReference w:type="default" r:id="rId13"/>
      <w:pgSz w:w="11906" w:h="16838"/>
      <w:pgMar w:top="1134" w:right="851" w:bottom="1134" w:left="147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1F" w:rsidRDefault="0046371F" w:rsidP="009E0CCF">
      <w:pPr>
        <w:spacing w:after="0" w:line="240" w:lineRule="auto"/>
      </w:pPr>
      <w:r>
        <w:separator/>
      </w:r>
    </w:p>
  </w:endnote>
  <w:endnote w:type="continuationSeparator" w:id="0">
    <w:p w:rsidR="0046371F" w:rsidRDefault="0046371F" w:rsidP="009E0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147522"/>
      <w:docPartObj>
        <w:docPartGallery w:val="Page Numbers (Bottom of Page)"/>
        <w:docPartUnique/>
      </w:docPartObj>
    </w:sdtPr>
    <w:sdtContent>
      <w:p w:rsidR="009E0CCF" w:rsidRDefault="00A34A2C">
        <w:pPr>
          <w:pStyle w:val="aa"/>
          <w:jc w:val="right"/>
        </w:pPr>
        <w:r>
          <w:fldChar w:fldCharType="begin"/>
        </w:r>
        <w:r w:rsidR="009E0CCF">
          <w:instrText>PAGE   \* MERGEFORMAT</w:instrText>
        </w:r>
        <w:r>
          <w:fldChar w:fldCharType="separate"/>
        </w:r>
        <w:r w:rsidR="005F147D">
          <w:rPr>
            <w:noProof/>
          </w:rPr>
          <w:t>40</w:t>
        </w:r>
        <w:r>
          <w:fldChar w:fldCharType="end"/>
        </w:r>
      </w:p>
    </w:sdtContent>
  </w:sdt>
  <w:p w:rsidR="009E0CCF" w:rsidRDefault="009E0C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1F" w:rsidRDefault="0046371F" w:rsidP="009E0CCF">
      <w:pPr>
        <w:spacing w:after="0" w:line="240" w:lineRule="auto"/>
      </w:pPr>
      <w:r>
        <w:separator/>
      </w:r>
    </w:p>
  </w:footnote>
  <w:footnote w:type="continuationSeparator" w:id="0">
    <w:p w:rsidR="0046371F" w:rsidRDefault="0046371F" w:rsidP="009E0CCF">
      <w:pPr>
        <w:spacing w:after="0" w:line="240" w:lineRule="auto"/>
      </w:pPr>
      <w:r>
        <w:continuationSeparator/>
      </w:r>
    </w:p>
  </w:footnote>
  <w:footnote w:id="1">
    <w:p w:rsidR="00D3101D" w:rsidRPr="00D3101D" w:rsidRDefault="00D3101D" w:rsidP="00D3101D">
      <w:pPr>
        <w:pStyle w:val="ac"/>
        <w:jc w:val="both"/>
        <w:rPr>
          <w:rFonts w:ascii="Times New Roman" w:hAnsi="Times New Roman" w:cs="Times New Roman"/>
        </w:rPr>
      </w:pPr>
      <w:r w:rsidRPr="00D3101D">
        <w:rPr>
          <w:rStyle w:val="ae"/>
          <w:rFonts w:ascii="Times New Roman" w:hAnsi="Times New Roman" w:cs="Times New Roman"/>
          <w:sz w:val="24"/>
        </w:rPr>
        <w:footnoteRef/>
      </w:r>
      <w:r w:rsidRPr="00D3101D">
        <w:rPr>
          <w:rFonts w:ascii="Times New Roman" w:hAnsi="Times New Roman" w:cs="Times New Roman"/>
          <w:sz w:val="24"/>
        </w:rPr>
        <w:t xml:space="preserve"> Федотова Г.А., Андреева О.В., Воронкова О.Н., Гульпенко К.В. Состояние и перспективы развития экономики (мировой, национальной, региональной). Монография. В двух книгах / Одесса, 2015. – 309 с.</w:t>
      </w:r>
    </w:p>
  </w:footnote>
  <w:footnote w:id="2">
    <w:p w:rsidR="009321EB" w:rsidRPr="009321EB" w:rsidRDefault="009321EB" w:rsidP="009321EB">
      <w:pPr>
        <w:pStyle w:val="ac"/>
        <w:jc w:val="both"/>
        <w:rPr>
          <w:rFonts w:ascii="Times New Roman" w:hAnsi="Times New Roman" w:cs="Times New Roman"/>
        </w:rPr>
      </w:pPr>
      <w:r w:rsidRPr="009321EB">
        <w:rPr>
          <w:rStyle w:val="ae"/>
          <w:rFonts w:ascii="Times New Roman" w:hAnsi="Times New Roman" w:cs="Times New Roman"/>
          <w:sz w:val="24"/>
        </w:rPr>
        <w:footnoteRef/>
      </w:r>
      <w:r w:rsidRPr="009321EB">
        <w:rPr>
          <w:rFonts w:ascii="Times New Roman" w:hAnsi="Times New Roman" w:cs="Times New Roman"/>
          <w:sz w:val="24"/>
        </w:rPr>
        <w:t xml:space="preserve"> Куликов II. И. Современная бюджетная система России: учебное пособие / II. И. Куликов, Л. II. Чайникова, Е. Ю. Бабенко // Тамбов: Издательство ТГТУ. – 2017. – 104 с.</w:t>
      </w:r>
    </w:p>
  </w:footnote>
  <w:footnote w:id="3">
    <w:p w:rsidR="00D3101D" w:rsidRPr="00D3101D" w:rsidRDefault="00D3101D" w:rsidP="00D3101D">
      <w:pPr>
        <w:pStyle w:val="ac"/>
        <w:jc w:val="both"/>
        <w:rPr>
          <w:rFonts w:ascii="Times New Roman" w:hAnsi="Times New Roman" w:cs="Times New Roman"/>
        </w:rPr>
      </w:pPr>
      <w:r w:rsidRPr="00D3101D">
        <w:rPr>
          <w:rStyle w:val="ae"/>
          <w:rFonts w:ascii="Times New Roman" w:hAnsi="Times New Roman" w:cs="Times New Roman"/>
          <w:sz w:val="24"/>
        </w:rPr>
        <w:footnoteRef/>
      </w:r>
      <w:r w:rsidRPr="00D3101D">
        <w:rPr>
          <w:rFonts w:ascii="Times New Roman" w:hAnsi="Times New Roman" w:cs="Times New Roman"/>
          <w:sz w:val="24"/>
        </w:rPr>
        <w:t xml:space="preserve"> Налоги и налогообложение: учебник для СПО / под ред. JI. Я. Маршавиной, JI. А. Чайковской. М.: Юрайт, 2016. - 503 с.</w:t>
      </w:r>
    </w:p>
  </w:footnote>
  <w:footnote w:id="4">
    <w:p w:rsidR="00D3101D" w:rsidRPr="00D3101D" w:rsidRDefault="00D3101D" w:rsidP="00D3101D">
      <w:pPr>
        <w:pStyle w:val="ac"/>
        <w:jc w:val="both"/>
        <w:rPr>
          <w:rFonts w:ascii="Times New Roman" w:hAnsi="Times New Roman" w:cs="Times New Roman"/>
        </w:rPr>
      </w:pPr>
      <w:r w:rsidRPr="00D3101D">
        <w:rPr>
          <w:rStyle w:val="ae"/>
          <w:rFonts w:ascii="Times New Roman" w:hAnsi="Times New Roman" w:cs="Times New Roman"/>
          <w:sz w:val="24"/>
        </w:rPr>
        <w:footnoteRef/>
      </w:r>
      <w:r w:rsidRPr="00D3101D">
        <w:rPr>
          <w:rFonts w:ascii="Times New Roman" w:hAnsi="Times New Roman" w:cs="Times New Roman"/>
          <w:sz w:val="24"/>
        </w:rPr>
        <w:t xml:space="preserve"> Налоговый кодекс Российской Федерации от 31 июля 1998 г. N 146–ФЗ //Собрание законодательства Российской Федерации от 3 августа 1998 г. N 31 ст. 3824.</w:t>
      </w:r>
    </w:p>
  </w:footnote>
  <w:footnote w:id="5">
    <w:p w:rsidR="00D3101D" w:rsidRPr="00D3101D" w:rsidRDefault="00D3101D" w:rsidP="00D3101D">
      <w:pPr>
        <w:pStyle w:val="ac"/>
        <w:jc w:val="both"/>
        <w:rPr>
          <w:rFonts w:ascii="Times New Roman" w:hAnsi="Times New Roman" w:cs="Times New Roman"/>
        </w:rPr>
      </w:pPr>
      <w:r w:rsidRPr="00D3101D">
        <w:rPr>
          <w:rStyle w:val="ae"/>
          <w:rFonts w:ascii="Times New Roman" w:hAnsi="Times New Roman" w:cs="Times New Roman"/>
          <w:sz w:val="24"/>
        </w:rPr>
        <w:footnoteRef/>
      </w:r>
      <w:r w:rsidRPr="00D3101D">
        <w:rPr>
          <w:rFonts w:ascii="Times New Roman" w:hAnsi="Times New Roman" w:cs="Times New Roman"/>
          <w:sz w:val="24"/>
        </w:rPr>
        <w:t xml:space="preserve"> Бюджетный кодекс Российской Федерации от 31.07.1998 № 145–ФЗ [Электронный ресурс] : (с изм. и доп.) // «Консультант–Плюс» : [сайт информ.–правовой компании]. – [М., 2015]. – Режим доступа: http://consultantplus.ru/</w:t>
      </w:r>
    </w:p>
  </w:footnote>
  <w:footnote w:id="6">
    <w:p w:rsidR="009321EB" w:rsidRPr="009321EB" w:rsidRDefault="009321EB" w:rsidP="009321EB">
      <w:pPr>
        <w:pStyle w:val="ac"/>
        <w:jc w:val="both"/>
        <w:rPr>
          <w:rFonts w:ascii="Times New Roman" w:hAnsi="Times New Roman" w:cs="Times New Roman"/>
        </w:rPr>
      </w:pPr>
      <w:r w:rsidRPr="009321EB">
        <w:rPr>
          <w:rStyle w:val="ae"/>
          <w:rFonts w:ascii="Times New Roman" w:hAnsi="Times New Roman" w:cs="Times New Roman"/>
          <w:sz w:val="24"/>
        </w:rPr>
        <w:footnoteRef/>
      </w:r>
      <w:r w:rsidRPr="009321EB">
        <w:rPr>
          <w:rFonts w:ascii="Times New Roman" w:hAnsi="Times New Roman" w:cs="Times New Roman"/>
          <w:sz w:val="24"/>
        </w:rPr>
        <w:t xml:space="preserve"> Налоговый кодекс Российской Федерации от 31 июля 1998 г. N 146–ФЗ //Собрание законодательства Российской Федерации от 3 августа 1998 г. N 31 ст. 3824.</w:t>
      </w:r>
    </w:p>
  </w:footnote>
  <w:footnote w:id="7">
    <w:p w:rsidR="00B057AE" w:rsidRPr="00B057AE" w:rsidRDefault="00B057AE" w:rsidP="00B057AE">
      <w:pPr>
        <w:pStyle w:val="ac"/>
        <w:jc w:val="both"/>
        <w:rPr>
          <w:rFonts w:ascii="Times New Roman" w:hAnsi="Times New Roman" w:cs="Times New Roman"/>
        </w:rPr>
      </w:pPr>
      <w:r w:rsidRPr="00B057AE">
        <w:rPr>
          <w:rStyle w:val="ae"/>
          <w:rFonts w:ascii="Times New Roman" w:hAnsi="Times New Roman" w:cs="Times New Roman"/>
          <w:sz w:val="24"/>
        </w:rPr>
        <w:footnoteRef/>
      </w:r>
      <w:r w:rsidRPr="00B057AE">
        <w:rPr>
          <w:rFonts w:ascii="Times New Roman" w:hAnsi="Times New Roman" w:cs="Times New Roman"/>
          <w:sz w:val="24"/>
        </w:rPr>
        <w:t xml:space="preserve"> Заключение Счетной палаты Российской Федерации на отчет  об исполнении федерального бюджета за 2016 год // Коллегия Счетной палаты Российской Федерации. – [Электронный ресурс].  –  Режим доступа: http://www.ach.gov.ru/activities/annual_report/</w:t>
      </w:r>
    </w:p>
  </w:footnote>
  <w:footnote w:id="8">
    <w:p w:rsidR="00B057AE" w:rsidRDefault="00B057AE">
      <w:pPr>
        <w:pStyle w:val="ac"/>
      </w:pPr>
      <w:r>
        <w:rPr>
          <w:rStyle w:val="ae"/>
        </w:rPr>
        <w:footnoteRef/>
      </w:r>
      <w:r>
        <w:t xml:space="preserve"> </w:t>
      </w:r>
      <w:r w:rsidRPr="00B057AE">
        <w:rPr>
          <w:rFonts w:ascii="Times New Roman" w:hAnsi="Times New Roman" w:cs="Times New Roman"/>
          <w:sz w:val="24"/>
        </w:rPr>
        <w:t>Заключение Счетной палаты Российской Федерации на отчет  об исполнении федерального бюджета за 2016 год // Коллегия Счетной палаты Российской Федерации. – [Электронный ресурс].  –  Режим доступа: http://www.ach.gov.ru/activities/annual_report/</w:t>
      </w:r>
    </w:p>
  </w:footnote>
  <w:footnote w:id="9">
    <w:p w:rsidR="00B057AE" w:rsidRDefault="00B057AE">
      <w:pPr>
        <w:pStyle w:val="ac"/>
      </w:pPr>
      <w:r>
        <w:rPr>
          <w:rStyle w:val="ae"/>
        </w:rPr>
        <w:footnoteRef/>
      </w:r>
      <w:r>
        <w:t xml:space="preserve"> </w:t>
      </w:r>
      <w:r w:rsidRPr="00B057AE">
        <w:rPr>
          <w:rFonts w:ascii="Times New Roman" w:hAnsi="Times New Roman" w:cs="Times New Roman"/>
          <w:sz w:val="24"/>
        </w:rPr>
        <w:t>Заключение Счетной палаты Российской Федерации на отчет  об исполнении федерального бюджета за 2016 год // Коллегия Счетной палаты Российской Федерации. – [Электронный ресурс].  –  Режим доступа: http://www.ach.gov.ru/activities/annual_report/</w:t>
      </w:r>
    </w:p>
  </w:footnote>
  <w:footnote w:id="10">
    <w:p w:rsidR="00B057AE" w:rsidRPr="00B057AE" w:rsidRDefault="00B057AE" w:rsidP="00B057AE">
      <w:pPr>
        <w:pStyle w:val="ac"/>
        <w:jc w:val="both"/>
        <w:rPr>
          <w:rFonts w:ascii="Times New Roman" w:hAnsi="Times New Roman" w:cs="Times New Roman"/>
        </w:rPr>
      </w:pPr>
      <w:r w:rsidRPr="00B057AE">
        <w:rPr>
          <w:rStyle w:val="ae"/>
          <w:rFonts w:ascii="Times New Roman" w:hAnsi="Times New Roman" w:cs="Times New Roman"/>
          <w:sz w:val="24"/>
        </w:rPr>
        <w:footnoteRef/>
      </w:r>
      <w:r w:rsidRPr="00B057AE">
        <w:rPr>
          <w:rFonts w:ascii="Times New Roman" w:hAnsi="Times New Roman" w:cs="Times New Roman"/>
          <w:sz w:val="24"/>
        </w:rPr>
        <w:t xml:space="preserve"> Основные направления налоговой политики Российской Федерации на 2017 год и плановый период 2018 и 2019 годов. URL: http: // www.minfin.ru</w:t>
      </w:r>
    </w:p>
  </w:footnote>
  <w:footnote w:id="11">
    <w:p w:rsidR="00B057AE" w:rsidRPr="00B057AE" w:rsidRDefault="00B057AE" w:rsidP="00B057AE">
      <w:pPr>
        <w:pStyle w:val="ac"/>
        <w:jc w:val="both"/>
        <w:rPr>
          <w:rFonts w:ascii="Times New Roman" w:hAnsi="Times New Roman" w:cs="Times New Roman"/>
        </w:rPr>
      </w:pPr>
      <w:r w:rsidRPr="00B057AE">
        <w:rPr>
          <w:rStyle w:val="ae"/>
          <w:rFonts w:ascii="Times New Roman" w:hAnsi="Times New Roman" w:cs="Times New Roman"/>
          <w:sz w:val="24"/>
        </w:rPr>
        <w:footnoteRef/>
      </w:r>
      <w:r w:rsidRPr="00B057AE">
        <w:rPr>
          <w:rFonts w:ascii="Times New Roman" w:hAnsi="Times New Roman" w:cs="Times New Roman"/>
          <w:sz w:val="24"/>
        </w:rPr>
        <w:t xml:space="preserve"> Домбровский Е. А. Десять шагов к сбалансированности бюджетов субъектов Российской Федерации / Е. А. Домбровский // Финансы и кредит. – 2015. – № 37. – С. 52–64.</w:t>
      </w:r>
    </w:p>
  </w:footnote>
  <w:footnote w:id="12">
    <w:p w:rsidR="00B057AE" w:rsidRPr="00B057AE" w:rsidRDefault="00B057AE" w:rsidP="00B057AE">
      <w:pPr>
        <w:pStyle w:val="ac"/>
        <w:jc w:val="both"/>
        <w:rPr>
          <w:rFonts w:ascii="Times New Roman" w:hAnsi="Times New Roman" w:cs="Times New Roman"/>
        </w:rPr>
      </w:pPr>
      <w:r w:rsidRPr="00B057AE">
        <w:rPr>
          <w:rStyle w:val="ae"/>
          <w:rFonts w:ascii="Times New Roman" w:hAnsi="Times New Roman" w:cs="Times New Roman"/>
          <w:sz w:val="24"/>
        </w:rPr>
        <w:footnoteRef/>
      </w:r>
      <w:r w:rsidRPr="00B057AE">
        <w:rPr>
          <w:rFonts w:ascii="Times New Roman" w:hAnsi="Times New Roman" w:cs="Times New Roman"/>
          <w:sz w:val="24"/>
        </w:rPr>
        <w:t xml:space="preserve"> Куцегреева Л. В. Совершенствование системы налогового администрирования в РФ / Л. В. Куцегреева // Экономика и предпринимательство. – 2015. –  № 6–2 (59–2). – С. 93–96.</w:t>
      </w:r>
    </w:p>
  </w:footnote>
  <w:footnote w:id="13">
    <w:p w:rsidR="00B057AE" w:rsidRPr="00B057AE" w:rsidRDefault="00B057AE" w:rsidP="00B057AE">
      <w:pPr>
        <w:pStyle w:val="ac"/>
        <w:jc w:val="both"/>
        <w:rPr>
          <w:rFonts w:ascii="Times New Roman" w:hAnsi="Times New Roman" w:cs="Times New Roman"/>
        </w:rPr>
      </w:pPr>
      <w:r w:rsidRPr="00B057AE">
        <w:rPr>
          <w:rStyle w:val="ae"/>
          <w:rFonts w:ascii="Times New Roman" w:hAnsi="Times New Roman" w:cs="Times New Roman"/>
          <w:sz w:val="24"/>
        </w:rPr>
        <w:footnoteRef/>
      </w:r>
      <w:r w:rsidRPr="00B057AE">
        <w:rPr>
          <w:rFonts w:ascii="Times New Roman" w:hAnsi="Times New Roman" w:cs="Times New Roman"/>
          <w:sz w:val="24"/>
        </w:rPr>
        <w:t xml:space="preserve"> Артемьев А.А., Бобинкин С.А. Модернизация социально - экономической сферы в современной России: проблемы и суждения. Монография. Тверь, 2016. - 188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7D" w:rsidRDefault="005F147D" w:rsidP="005F147D">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7"/>
          <w:b/>
          <w:color w:val="FF0000"/>
          <w:sz w:val="32"/>
          <w:szCs w:val="32"/>
        </w:rPr>
        <w:t>ДЦО.РФ</w:t>
      </w:r>
    </w:hyperlink>
  </w:p>
  <w:p w:rsidR="005F147D" w:rsidRDefault="005F147D" w:rsidP="005F147D">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5F147D" w:rsidRDefault="005F147D" w:rsidP="005F147D">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5F147D" w:rsidRDefault="005F147D" w:rsidP="005F147D">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7"/>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F147D" w:rsidRDefault="005F14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726"/>
    <w:multiLevelType w:val="multilevel"/>
    <w:tmpl w:val="8990EE4A"/>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1AC287E"/>
    <w:multiLevelType w:val="hybridMultilevel"/>
    <w:tmpl w:val="641CDFDC"/>
    <w:lvl w:ilvl="0" w:tplc="3F3091EA">
      <w:start w:val="1"/>
      <w:numFmt w:val="decimal"/>
      <w:lvlText w:val="%1 "/>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D14A5"/>
    <w:multiLevelType w:val="multilevel"/>
    <w:tmpl w:val="4B6862BA"/>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3EA2739"/>
    <w:multiLevelType w:val="hybridMultilevel"/>
    <w:tmpl w:val="E68AE43A"/>
    <w:lvl w:ilvl="0" w:tplc="C04000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E63144"/>
    <w:multiLevelType w:val="multilevel"/>
    <w:tmpl w:val="8ED89D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C87FE7"/>
    <w:multiLevelType w:val="multilevel"/>
    <w:tmpl w:val="4BFA110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6">
    <w:nsid w:val="433E76FB"/>
    <w:multiLevelType w:val="multilevel"/>
    <w:tmpl w:val="915285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95E27D0"/>
    <w:multiLevelType w:val="multilevel"/>
    <w:tmpl w:val="0FE8874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8">
    <w:nsid w:val="5D7D4E7F"/>
    <w:multiLevelType w:val="multilevel"/>
    <w:tmpl w:val="22BE214E"/>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66B62E0E"/>
    <w:multiLevelType w:val="multilevel"/>
    <w:tmpl w:val="F436628C"/>
    <w:lvl w:ilvl="0">
      <w:start w:val="1"/>
      <w:numFmt w:val="decimal"/>
      <w:lvlText w:val="%1"/>
      <w:lvlJc w:val="left"/>
      <w:pPr>
        <w:ind w:left="375" w:hanging="375"/>
      </w:pPr>
      <w:rPr>
        <w:rFonts w:hint="default"/>
      </w:rPr>
    </w:lvl>
    <w:lvl w:ilvl="1">
      <w:start w:val="1"/>
      <w:numFmt w:val="decimal"/>
      <w:lvlText w:val="%1.%2"/>
      <w:lvlJc w:val="left"/>
      <w:pPr>
        <w:ind w:left="812" w:hanging="375"/>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10">
    <w:nsid w:val="674B7BA4"/>
    <w:multiLevelType w:val="hybridMultilevel"/>
    <w:tmpl w:val="06EABA7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67E93398"/>
    <w:multiLevelType w:val="multilevel"/>
    <w:tmpl w:val="FE12C720"/>
    <w:lvl w:ilvl="0">
      <w:start w:val="3"/>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2">
    <w:nsid w:val="6AA640F7"/>
    <w:multiLevelType w:val="multilevel"/>
    <w:tmpl w:val="265055E4"/>
    <w:lvl w:ilvl="0">
      <w:start w:val="3"/>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6DC01D60"/>
    <w:multiLevelType w:val="hybridMultilevel"/>
    <w:tmpl w:val="4F169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7"/>
  </w:num>
  <w:num w:numId="4">
    <w:abstractNumId w:val="1"/>
  </w:num>
  <w:num w:numId="5">
    <w:abstractNumId w:val="13"/>
  </w:num>
  <w:num w:numId="6">
    <w:abstractNumId w:val="3"/>
  </w:num>
  <w:num w:numId="7">
    <w:abstractNumId w:val="8"/>
  </w:num>
  <w:num w:numId="8">
    <w:abstractNumId w:val="11"/>
  </w:num>
  <w:num w:numId="9">
    <w:abstractNumId w:val="9"/>
  </w:num>
  <w:num w:numId="10">
    <w:abstractNumId w:val="0"/>
  </w:num>
  <w:num w:numId="11">
    <w:abstractNumId w:val="4"/>
  </w:num>
  <w:num w:numId="12">
    <w:abstractNumId w:val="2"/>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27A7"/>
    <w:rsid w:val="00000213"/>
    <w:rsid w:val="000B5735"/>
    <w:rsid w:val="000E3D57"/>
    <w:rsid w:val="00143BDC"/>
    <w:rsid w:val="00172F8B"/>
    <w:rsid w:val="002A361A"/>
    <w:rsid w:val="0030378C"/>
    <w:rsid w:val="003A09D4"/>
    <w:rsid w:val="003E0CEE"/>
    <w:rsid w:val="00435963"/>
    <w:rsid w:val="00455BE2"/>
    <w:rsid w:val="0046371F"/>
    <w:rsid w:val="00533D16"/>
    <w:rsid w:val="005635A3"/>
    <w:rsid w:val="005C369A"/>
    <w:rsid w:val="005E70C2"/>
    <w:rsid w:val="005F147D"/>
    <w:rsid w:val="006103D5"/>
    <w:rsid w:val="00652A03"/>
    <w:rsid w:val="006B6435"/>
    <w:rsid w:val="00764938"/>
    <w:rsid w:val="007716A7"/>
    <w:rsid w:val="007B27EA"/>
    <w:rsid w:val="008354D1"/>
    <w:rsid w:val="009321EB"/>
    <w:rsid w:val="009E0CCF"/>
    <w:rsid w:val="009E6C8C"/>
    <w:rsid w:val="00A34A2C"/>
    <w:rsid w:val="00AA644D"/>
    <w:rsid w:val="00AE63BA"/>
    <w:rsid w:val="00B057AE"/>
    <w:rsid w:val="00B430A1"/>
    <w:rsid w:val="00BA23FF"/>
    <w:rsid w:val="00BD6E03"/>
    <w:rsid w:val="00CC0B5E"/>
    <w:rsid w:val="00CC1F53"/>
    <w:rsid w:val="00CD599D"/>
    <w:rsid w:val="00CE65DA"/>
    <w:rsid w:val="00D3101D"/>
    <w:rsid w:val="00D56601"/>
    <w:rsid w:val="00DA73D0"/>
    <w:rsid w:val="00E106E7"/>
    <w:rsid w:val="00E96619"/>
    <w:rsid w:val="00EC71C6"/>
    <w:rsid w:val="00EE37E8"/>
    <w:rsid w:val="00F14087"/>
    <w:rsid w:val="00F42075"/>
    <w:rsid w:val="00F66365"/>
    <w:rsid w:val="00FA2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C"/>
  </w:style>
  <w:style w:type="paragraph" w:styleId="3">
    <w:name w:val="heading 3"/>
    <w:basedOn w:val="a"/>
    <w:link w:val="30"/>
    <w:semiHidden/>
    <w:unhideWhenUsed/>
    <w:qFormat/>
    <w:rsid w:val="005F147D"/>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5F147D"/>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D16"/>
    <w:pPr>
      <w:ind w:left="720"/>
      <w:contextualSpacing/>
    </w:pPr>
  </w:style>
  <w:style w:type="table" w:styleId="a4">
    <w:name w:val="Table Grid"/>
    <w:basedOn w:val="a1"/>
    <w:uiPriority w:val="59"/>
    <w:rsid w:val="00E10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37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78C"/>
    <w:rPr>
      <w:rFonts w:ascii="Tahoma" w:hAnsi="Tahoma" w:cs="Tahoma"/>
      <w:sz w:val="16"/>
      <w:szCs w:val="16"/>
    </w:rPr>
  </w:style>
  <w:style w:type="character" w:styleId="a7">
    <w:name w:val="Hyperlink"/>
    <w:basedOn w:val="a0"/>
    <w:uiPriority w:val="99"/>
    <w:unhideWhenUsed/>
    <w:rsid w:val="006103D5"/>
    <w:rPr>
      <w:color w:val="0000FF" w:themeColor="hyperlink"/>
      <w:u w:val="single"/>
    </w:rPr>
  </w:style>
  <w:style w:type="paragraph" w:styleId="a8">
    <w:name w:val="header"/>
    <w:basedOn w:val="a"/>
    <w:link w:val="a9"/>
    <w:uiPriority w:val="99"/>
    <w:unhideWhenUsed/>
    <w:rsid w:val="009E0C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0CCF"/>
  </w:style>
  <w:style w:type="paragraph" w:styleId="aa">
    <w:name w:val="footer"/>
    <w:basedOn w:val="a"/>
    <w:link w:val="ab"/>
    <w:uiPriority w:val="99"/>
    <w:unhideWhenUsed/>
    <w:rsid w:val="009E0C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0CCF"/>
  </w:style>
  <w:style w:type="paragraph" w:styleId="ac">
    <w:name w:val="footnote text"/>
    <w:basedOn w:val="a"/>
    <w:link w:val="ad"/>
    <w:uiPriority w:val="99"/>
    <w:semiHidden/>
    <w:unhideWhenUsed/>
    <w:rsid w:val="00D3101D"/>
    <w:pPr>
      <w:spacing w:after="0" w:line="240" w:lineRule="auto"/>
    </w:pPr>
    <w:rPr>
      <w:sz w:val="20"/>
      <w:szCs w:val="20"/>
    </w:rPr>
  </w:style>
  <w:style w:type="character" w:customStyle="1" w:styleId="ad">
    <w:name w:val="Текст сноски Знак"/>
    <w:basedOn w:val="a0"/>
    <w:link w:val="ac"/>
    <w:uiPriority w:val="99"/>
    <w:semiHidden/>
    <w:rsid w:val="00D3101D"/>
    <w:rPr>
      <w:sz w:val="20"/>
      <w:szCs w:val="20"/>
    </w:rPr>
  </w:style>
  <w:style w:type="character" w:styleId="ae">
    <w:name w:val="footnote reference"/>
    <w:basedOn w:val="a0"/>
    <w:uiPriority w:val="99"/>
    <w:semiHidden/>
    <w:unhideWhenUsed/>
    <w:rsid w:val="00D3101D"/>
    <w:rPr>
      <w:vertAlign w:val="superscript"/>
    </w:rPr>
  </w:style>
  <w:style w:type="character" w:customStyle="1" w:styleId="30">
    <w:name w:val="Заголовок 3 Знак"/>
    <w:basedOn w:val="a0"/>
    <w:link w:val="3"/>
    <w:semiHidden/>
    <w:rsid w:val="005F147D"/>
    <w:rPr>
      <w:rFonts w:ascii="Liberation Sans" w:eastAsia="Microsoft YaHei" w:hAnsi="Liberation Sans" w:cs="Mangal"/>
      <w:sz w:val="28"/>
      <w:szCs w:val="28"/>
    </w:rPr>
  </w:style>
  <w:style w:type="character" w:customStyle="1" w:styleId="40">
    <w:name w:val="Заголовок 4 Знак"/>
    <w:basedOn w:val="a0"/>
    <w:link w:val="4"/>
    <w:semiHidden/>
    <w:rsid w:val="005F147D"/>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D16"/>
    <w:pPr>
      <w:ind w:left="720"/>
      <w:contextualSpacing/>
    </w:pPr>
  </w:style>
  <w:style w:type="table" w:styleId="a4">
    <w:name w:val="Table Grid"/>
    <w:basedOn w:val="a1"/>
    <w:uiPriority w:val="59"/>
    <w:rsid w:val="00E1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37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78C"/>
    <w:rPr>
      <w:rFonts w:ascii="Tahoma" w:hAnsi="Tahoma" w:cs="Tahoma"/>
      <w:sz w:val="16"/>
      <w:szCs w:val="16"/>
    </w:rPr>
  </w:style>
  <w:style w:type="character" w:styleId="a7">
    <w:name w:val="Hyperlink"/>
    <w:basedOn w:val="a0"/>
    <w:uiPriority w:val="99"/>
    <w:unhideWhenUsed/>
    <w:rsid w:val="006103D5"/>
    <w:rPr>
      <w:color w:val="0000FF" w:themeColor="hyperlink"/>
      <w:u w:val="single"/>
    </w:rPr>
  </w:style>
  <w:style w:type="paragraph" w:styleId="a8">
    <w:name w:val="header"/>
    <w:basedOn w:val="a"/>
    <w:link w:val="a9"/>
    <w:uiPriority w:val="99"/>
    <w:unhideWhenUsed/>
    <w:rsid w:val="009E0C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0CCF"/>
  </w:style>
  <w:style w:type="paragraph" w:styleId="aa">
    <w:name w:val="footer"/>
    <w:basedOn w:val="a"/>
    <w:link w:val="ab"/>
    <w:uiPriority w:val="99"/>
    <w:unhideWhenUsed/>
    <w:rsid w:val="009E0C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0CCF"/>
  </w:style>
  <w:style w:type="paragraph" w:styleId="ac">
    <w:name w:val="footnote text"/>
    <w:basedOn w:val="a"/>
    <w:link w:val="ad"/>
    <w:uiPriority w:val="99"/>
    <w:semiHidden/>
    <w:unhideWhenUsed/>
    <w:rsid w:val="00D3101D"/>
    <w:pPr>
      <w:spacing w:after="0" w:line="240" w:lineRule="auto"/>
    </w:pPr>
    <w:rPr>
      <w:sz w:val="20"/>
      <w:szCs w:val="20"/>
    </w:rPr>
  </w:style>
  <w:style w:type="character" w:customStyle="1" w:styleId="ad">
    <w:name w:val="Текст сноски Знак"/>
    <w:basedOn w:val="a0"/>
    <w:link w:val="ac"/>
    <w:uiPriority w:val="99"/>
    <w:semiHidden/>
    <w:rsid w:val="00D3101D"/>
    <w:rPr>
      <w:sz w:val="20"/>
      <w:szCs w:val="20"/>
    </w:rPr>
  </w:style>
  <w:style w:type="character" w:styleId="ae">
    <w:name w:val="footnote reference"/>
    <w:basedOn w:val="a0"/>
    <w:uiPriority w:val="99"/>
    <w:semiHidden/>
    <w:unhideWhenUsed/>
    <w:rsid w:val="00D3101D"/>
    <w:rPr>
      <w:vertAlign w:val="superscript"/>
    </w:rPr>
  </w:style>
</w:styles>
</file>

<file path=word/webSettings.xml><?xml version="1.0" encoding="utf-8"?>
<w:webSettings xmlns:r="http://schemas.openxmlformats.org/officeDocument/2006/relationships" xmlns:w="http://schemas.openxmlformats.org/wordprocessingml/2006/main">
  <w:divs>
    <w:div w:id="12958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Лист3!$F$10</c:f>
              <c:strCache>
                <c:ptCount val="1"/>
                <c:pt idx="0">
                  <c:v>Доходы федерального бюджета</c:v>
                </c:pt>
              </c:strCache>
            </c:strRef>
          </c:tx>
          <c:dLbls>
            <c:showVal val="1"/>
          </c:dLbls>
          <c:cat>
            <c:numRef>
              <c:f>Лист3!$K$6:$O$6</c:f>
              <c:numCache>
                <c:formatCode>General</c:formatCode>
                <c:ptCount val="5"/>
                <c:pt idx="0">
                  <c:v>2012</c:v>
                </c:pt>
                <c:pt idx="1">
                  <c:v>2013</c:v>
                </c:pt>
                <c:pt idx="2">
                  <c:v>2014</c:v>
                </c:pt>
                <c:pt idx="3">
                  <c:v>2015</c:v>
                </c:pt>
                <c:pt idx="4">
                  <c:v>2016</c:v>
                </c:pt>
              </c:numCache>
            </c:numRef>
          </c:cat>
          <c:val>
            <c:numRef>
              <c:f>Лист3!$K$10:$O$10</c:f>
              <c:numCache>
                <c:formatCode>0.0</c:formatCode>
                <c:ptCount val="5"/>
                <c:pt idx="0" formatCode="General">
                  <c:v>12.9</c:v>
                </c:pt>
                <c:pt idx="1">
                  <c:v>13</c:v>
                </c:pt>
                <c:pt idx="2" formatCode="General">
                  <c:v>14.5</c:v>
                </c:pt>
                <c:pt idx="3" formatCode="General">
                  <c:v>13.7</c:v>
                </c:pt>
                <c:pt idx="4" formatCode="General">
                  <c:v>13.5</c:v>
                </c:pt>
              </c:numCache>
            </c:numRef>
          </c:val>
        </c:ser>
        <c:shape val="box"/>
        <c:axId val="94605696"/>
        <c:axId val="94607232"/>
        <c:axId val="0"/>
      </c:bar3DChart>
      <c:catAx>
        <c:axId val="94605696"/>
        <c:scaling>
          <c:orientation val="minMax"/>
        </c:scaling>
        <c:axPos val="b"/>
        <c:numFmt formatCode="General" sourceLinked="1"/>
        <c:tickLblPos val="nextTo"/>
        <c:crossAx val="94607232"/>
        <c:crosses val="autoZero"/>
        <c:auto val="1"/>
        <c:lblAlgn val="ctr"/>
        <c:lblOffset val="100"/>
      </c:catAx>
      <c:valAx>
        <c:axId val="94607232"/>
        <c:scaling>
          <c:orientation val="minMax"/>
        </c:scaling>
        <c:axPos val="l"/>
        <c:majorGridlines/>
        <c:numFmt formatCode="General" sourceLinked="1"/>
        <c:tickLblPos val="nextTo"/>
        <c:crossAx val="9460569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Лист3!$F$7</c:f>
              <c:strCache>
                <c:ptCount val="1"/>
                <c:pt idx="0">
                  <c:v>Налоговые доходы</c:v>
                </c:pt>
              </c:strCache>
            </c:strRef>
          </c:tx>
          <c:dLbls>
            <c:showVal val="1"/>
          </c:dLbls>
          <c:cat>
            <c:numRef>
              <c:f>Лист3!$G$6:$K$6</c:f>
              <c:numCache>
                <c:formatCode>General</c:formatCode>
                <c:ptCount val="5"/>
                <c:pt idx="0">
                  <c:v>2012</c:v>
                </c:pt>
                <c:pt idx="1">
                  <c:v>2013</c:v>
                </c:pt>
                <c:pt idx="2">
                  <c:v>2014</c:v>
                </c:pt>
                <c:pt idx="3">
                  <c:v>2015</c:v>
                </c:pt>
                <c:pt idx="4">
                  <c:v>2016</c:v>
                </c:pt>
              </c:numCache>
            </c:numRef>
          </c:cat>
          <c:val>
            <c:numRef>
              <c:f>Лист3!$G$7:$K$7</c:f>
              <c:numCache>
                <c:formatCode>General</c:formatCode>
                <c:ptCount val="5"/>
                <c:pt idx="0">
                  <c:v>10.200000000000001</c:v>
                </c:pt>
                <c:pt idx="1">
                  <c:v>9.9</c:v>
                </c:pt>
                <c:pt idx="2">
                  <c:v>10</c:v>
                </c:pt>
                <c:pt idx="3">
                  <c:v>10.3</c:v>
                </c:pt>
                <c:pt idx="4">
                  <c:v>10.200000000000001</c:v>
                </c:pt>
              </c:numCache>
            </c:numRef>
          </c:val>
        </c:ser>
        <c:ser>
          <c:idx val="1"/>
          <c:order val="1"/>
          <c:tx>
            <c:strRef>
              <c:f>Лист3!$F$8</c:f>
              <c:strCache>
                <c:ptCount val="1"/>
                <c:pt idx="0">
                  <c:v>Неналоговые доходы</c:v>
                </c:pt>
              </c:strCache>
            </c:strRef>
          </c:tx>
          <c:dLbls>
            <c:showVal val="1"/>
          </c:dLbls>
          <c:cat>
            <c:numRef>
              <c:f>Лист3!$G$6:$K$6</c:f>
              <c:numCache>
                <c:formatCode>General</c:formatCode>
                <c:ptCount val="5"/>
                <c:pt idx="0">
                  <c:v>2012</c:v>
                </c:pt>
                <c:pt idx="1">
                  <c:v>2013</c:v>
                </c:pt>
                <c:pt idx="2">
                  <c:v>2014</c:v>
                </c:pt>
                <c:pt idx="3">
                  <c:v>2015</c:v>
                </c:pt>
                <c:pt idx="4">
                  <c:v>2016</c:v>
                </c:pt>
              </c:numCache>
            </c:numRef>
          </c:cat>
          <c:val>
            <c:numRef>
              <c:f>Лист3!$G$8:$K$8</c:f>
              <c:numCache>
                <c:formatCode>General</c:formatCode>
                <c:ptCount val="5"/>
                <c:pt idx="0">
                  <c:v>8.9</c:v>
                </c:pt>
                <c:pt idx="1">
                  <c:v>8.3000000000000007</c:v>
                </c:pt>
                <c:pt idx="2">
                  <c:v>8.2000000000000011</c:v>
                </c:pt>
                <c:pt idx="3">
                  <c:v>5.8</c:v>
                </c:pt>
                <c:pt idx="4">
                  <c:v>5.3</c:v>
                </c:pt>
              </c:numCache>
            </c:numRef>
          </c:val>
        </c:ser>
        <c:ser>
          <c:idx val="2"/>
          <c:order val="2"/>
          <c:tx>
            <c:strRef>
              <c:f>Лист3!$F$9</c:f>
              <c:strCache>
                <c:ptCount val="1"/>
                <c:pt idx="0">
                  <c:v>Безвозмездные поступления</c:v>
                </c:pt>
              </c:strCache>
            </c:strRef>
          </c:tx>
          <c:dLbls>
            <c:showVal val="1"/>
          </c:dLbls>
          <c:cat>
            <c:numRef>
              <c:f>Лист3!$G$6:$K$6</c:f>
              <c:numCache>
                <c:formatCode>General</c:formatCode>
                <c:ptCount val="5"/>
                <c:pt idx="0">
                  <c:v>2012</c:v>
                </c:pt>
                <c:pt idx="1">
                  <c:v>2013</c:v>
                </c:pt>
                <c:pt idx="2">
                  <c:v>2014</c:v>
                </c:pt>
                <c:pt idx="3">
                  <c:v>2015</c:v>
                </c:pt>
                <c:pt idx="4">
                  <c:v>2016</c:v>
                </c:pt>
              </c:numCache>
            </c:numRef>
          </c:cat>
          <c:val>
            <c:numRef>
              <c:f>Лист3!$G$9:$K$9</c:f>
              <c:numCache>
                <c:formatCode>General</c:formatCode>
                <c:ptCount val="5"/>
                <c:pt idx="0">
                  <c:v>0.1</c:v>
                </c:pt>
                <c:pt idx="1">
                  <c:v>0.1</c:v>
                </c:pt>
                <c:pt idx="2">
                  <c:v>0.1</c:v>
                </c:pt>
                <c:pt idx="3">
                  <c:v>0.3000000000000001</c:v>
                </c:pt>
                <c:pt idx="4">
                  <c:v>0.3000000000000001</c:v>
                </c:pt>
              </c:numCache>
            </c:numRef>
          </c:val>
        </c:ser>
        <c:shape val="box"/>
        <c:axId val="102773120"/>
        <c:axId val="102774656"/>
        <c:axId val="0"/>
      </c:bar3DChart>
      <c:catAx>
        <c:axId val="102773120"/>
        <c:scaling>
          <c:orientation val="minMax"/>
        </c:scaling>
        <c:axPos val="b"/>
        <c:numFmt formatCode="General" sourceLinked="1"/>
        <c:tickLblPos val="nextTo"/>
        <c:crossAx val="102774656"/>
        <c:crosses val="autoZero"/>
        <c:auto val="1"/>
        <c:lblAlgn val="ctr"/>
        <c:lblOffset val="100"/>
      </c:catAx>
      <c:valAx>
        <c:axId val="102774656"/>
        <c:scaling>
          <c:orientation val="minMax"/>
        </c:scaling>
        <c:axPos val="l"/>
        <c:majorGridlines/>
        <c:numFmt formatCode="General" sourceLinked="1"/>
        <c:tickLblPos val="nextTo"/>
        <c:crossAx val="10277312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Лист3!$F$11</c:f>
              <c:strCache>
                <c:ptCount val="1"/>
                <c:pt idx="0">
                  <c:v>Расходы федерального бюджета</c:v>
                </c:pt>
              </c:strCache>
            </c:strRef>
          </c:tx>
          <c:dLbls>
            <c:showVal val="1"/>
          </c:dLbls>
          <c:cat>
            <c:numRef>
              <c:f>Лист3!$K$6:$O$6</c:f>
              <c:numCache>
                <c:formatCode>General</c:formatCode>
                <c:ptCount val="5"/>
                <c:pt idx="0">
                  <c:v>2012</c:v>
                </c:pt>
                <c:pt idx="1">
                  <c:v>2013</c:v>
                </c:pt>
                <c:pt idx="2">
                  <c:v>2014</c:v>
                </c:pt>
                <c:pt idx="3">
                  <c:v>2015</c:v>
                </c:pt>
                <c:pt idx="4">
                  <c:v>2016</c:v>
                </c:pt>
              </c:numCache>
            </c:numRef>
          </c:cat>
          <c:val>
            <c:numRef>
              <c:f>Лист3!$K$11:$O$11</c:f>
              <c:numCache>
                <c:formatCode>General</c:formatCode>
                <c:ptCount val="5"/>
                <c:pt idx="0">
                  <c:v>11.4</c:v>
                </c:pt>
                <c:pt idx="1">
                  <c:v>13.3</c:v>
                </c:pt>
                <c:pt idx="2">
                  <c:v>14.8</c:v>
                </c:pt>
                <c:pt idx="3">
                  <c:v>15.6</c:v>
                </c:pt>
                <c:pt idx="4">
                  <c:v>16.399999999999999</c:v>
                </c:pt>
              </c:numCache>
            </c:numRef>
          </c:val>
        </c:ser>
        <c:shape val="box"/>
        <c:axId val="94619520"/>
        <c:axId val="94621056"/>
        <c:axId val="0"/>
      </c:bar3DChart>
      <c:catAx>
        <c:axId val="94619520"/>
        <c:scaling>
          <c:orientation val="minMax"/>
        </c:scaling>
        <c:axPos val="b"/>
        <c:numFmt formatCode="General" sourceLinked="1"/>
        <c:tickLblPos val="nextTo"/>
        <c:crossAx val="94621056"/>
        <c:crosses val="autoZero"/>
        <c:auto val="1"/>
        <c:lblAlgn val="ctr"/>
        <c:lblOffset val="100"/>
      </c:catAx>
      <c:valAx>
        <c:axId val="94621056"/>
        <c:scaling>
          <c:orientation val="minMax"/>
        </c:scaling>
        <c:axPos val="l"/>
        <c:majorGridlines/>
        <c:numFmt formatCode="General" sourceLinked="1"/>
        <c:tickLblPos val="nextTo"/>
        <c:crossAx val="94619520"/>
        <c:crosses val="autoZero"/>
        <c:crossBetween val="between"/>
      </c:valAx>
    </c:plotArea>
    <c:legend>
      <c:legendPos val="r"/>
    </c:legend>
    <c:plotVisOnly val="1"/>
    <c:dispBlanksAs val="gap"/>
  </c:chart>
  <c:spPr>
    <a:ln>
      <a:solidFill>
        <a:sysClr val="windowText" lastClr="00000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percentStacked"/>
        <c:ser>
          <c:idx val="0"/>
          <c:order val="0"/>
          <c:tx>
            <c:strRef>
              <c:f>Лист3!$F$14</c:f>
              <c:strCache>
                <c:ptCount val="1"/>
                <c:pt idx="0">
                  <c:v>Налоговые доходы</c:v>
                </c:pt>
              </c:strCache>
            </c:strRef>
          </c:tx>
          <c:dLbls>
            <c:showVal val="1"/>
          </c:dLbls>
          <c:cat>
            <c:numRef>
              <c:f>Лист3!$G$13:$K$13</c:f>
              <c:numCache>
                <c:formatCode>General</c:formatCode>
                <c:ptCount val="5"/>
                <c:pt idx="0">
                  <c:v>2012</c:v>
                </c:pt>
                <c:pt idx="1">
                  <c:v>2013</c:v>
                </c:pt>
                <c:pt idx="2">
                  <c:v>2014</c:v>
                </c:pt>
                <c:pt idx="3">
                  <c:v>2015</c:v>
                </c:pt>
                <c:pt idx="4">
                  <c:v>2016</c:v>
                </c:pt>
              </c:numCache>
            </c:numRef>
          </c:cat>
          <c:val>
            <c:numRef>
              <c:f>Лист3!$G$14:$K$14</c:f>
              <c:numCache>
                <c:formatCode>0.00</c:formatCode>
                <c:ptCount val="5"/>
                <c:pt idx="0">
                  <c:v>53.125000000000014</c:v>
                </c:pt>
                <c:pt idx="1">
                  <c:v>54.098360655737707</c:v>
                </c:pt>
                <c:pt idx="2">
                  <c:v>54.644808743169392</c:v>
                </c:pt>
                <c:pt idx="3">
                  <c:v>62.804878048780495</c:v>
                </c:pt>
                <c:pt idx="4">
                  <c:v>65.384615384615415</c:v>
                </c:pt>
              </c:numCache>
            </c:numRef>
          </c:val>
        </c:ser>
        <c:ser>
          <c:idx val="1"/>
          <c:order val="1"/>
          <c:tx>
            <c:strRef>
              <c:f>Лист3!$F$15</c:f>
              <c:strCache>
                <c:ptCount val="1"/>
                <c:pt idx="0">
                  <c:v>Неналоговые доходы</c:v>
                </c:pt>
              </c:strCache>
            </c:strRef>
          </c:tx>
          <c:dLbls>
            <c:showVal val="1"/>
          </c:dLbls>
          <c:cat>
            <c:numRef>
              <c:f>Лист3!$G$13:$K$13</c:f>
              <c:numCache>
                <c:formatCode>General</c:formatCode>
                <c:ptCount val="5"/>
                <c:pt idx="0">
                  <c:v>2012</c:v>
                </c:pt>
                <c:pt idx="1">
                  <c:v>2013</c:v>
                </c:pt>
                <c:pt idx="2">
                  <c:v>2014</c:v>
                </c:pt>
                <c:pt idx="3">
                  <c:v>2015</c:v>
                </c:pt>
                <c:pt idx="4">
                  <c:v>2016</c:v>
                </c:pt>
              </c:numCache>
            </c:numRef>
          </c:cat>
          <c:val>
            <c:numRef>
              <c:f>Лист3!$G$15:$K$15</c:f>
              <c:numCache>
                <c:formatCode>0.00</c:formatCode>
                <c:ptCount val="5"/>
                <c:pt idx="0">
                  <c:v>46.354166666666629</c:v>
                </c:pt>
                <c:pt idx="1">
                  <c:v>45.355191256830594</c:v>
                </c:pt>
                <c:pt idx="2">
                  <c:v>44.808743169398895</c:v>
                </c:pt>
                <c:pt idx="3">
                  <c:v>35.365853658536572</c:v>
                </c:pt>
                <c:pt idx="4">
                  <c:v>33.974358974358992</c:v>
                </c:pt>
              </c:numCache>
            </c:numRef>
          </c:val>
        </c:ser>
        <c:ser>
          <c:idx val="2"/>
          <c:order val="2"/>
          <c:tx>
            <c:strRef>
              <c:f>Лист3!$F$16</c:f>
              <c:strCache>
                <c:ptCount val="1"/>
                <c:pt idx="0">
                  <c:v>Безвозмездные поступления</c:v>
                </c:pt>
              </c:strCache>
            </c:strRef>
          </c:tx>
          <c:dLbls>
            <c:showVal val="1"/>
          </c:dLbls>
          <c:cat>
            <c:numRef>
              <c:f>Лист3!$G$13:$K$13</c:f>
              <c:numCache>
                <c:formatCode>General</c:formatCode>
                <c:ptCount val="5"/>
                <c:pt idx="0">
                  <c:v>2012</c:v>
                </c:pt>
                <c:pt idx="1">
                  <c:v>2013</c:v>
                </c:pt>
                <c:pt idx="2">
                  <c:v>2014</c:v>
                </c:pt>
                <c:pt idx="3">
                  <c:v>2015</c:v>
                </c:pt>
                <c:pt idx="4">
                  <c:v>2016</c:v>
                </c:pt>
              </c:numCache>
            </c:numRef>
          </c:cat>
          <c:val>
            <c:numRef>
              <c:f>Лист3!$G$16:$K$16</c:f>
              <c:numCache>
                <c:formatCode>0.00</c:formatCode>
                <c:ptCount val="5"/>
                <c:pt idx="0">
                  <c:v>0.52083333333333359</c:v>
                </c:pt>
                <c:pt idx="1">
                  <c:v>0.54644808743169404</c:v>
                </c:pt>
                <c:pt idx="2">
                  <c:v>0.54644808743169404</c:v>
                </c:pt>
                <c:pt idx="3">
                  <c:v>1.8292682926829262</c:v>
                </c:pt>
                <c:pt idx="4">
                  <c:v>1.9230769230769238</c:v>
                </c:pt>
              </c:numCache>
            </c:numRef>
          </c:val>
        </c:ser>
        <c:overlap val="100"/>
        <c:axId val="102647296"/>
        <c:axId val="102648832"/>
      </c:barChart>
      <c:catAx>
        <c:axId val="102647296"/>
        <c:scaling>
          <c:orientation val="minMax"/>
        </c:scaling>
        <c:axPos val="l"/>
        <c:numFmt formatCode="General" sourceLinked="1"/>
        <c:tickLblPos val="nextTo"/>
        <c:crossAx val="102648832"/>
        <c:crosses val="autoZero"/>
        <c:auto val="1"/>
        <c:lblAlgn val="ctr"/>
        <c:lblOffset val="100"/>
      </c:catAx>
      <c:valAx>
        <c:axId val="102648832"/>
        <c:scaling>
          <c:orientation val="minMax"/>
        </c:scaling>
        <c:axPos val="b"/>
        <c:majorGridlines/>
        <c:numFmt formatCode="0%" sourceLinked="1"/>
        <c:tickLblPos val="nextTo"/>
        <c:crossAx val="102647296"/>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F25F-E9F4-4DCA-9F1C-BF3C410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7242</Words>
  <Characters>41283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50</cp:revision>
  <dcterms:created xsi:type="dcterms:W3CDTF">2018-01-21T13:51:00Z</dcterms:created>
  <dcterms:modified xsi:type="dcterms:W3CDTF">2019-09-26T11:48:00Z</dcterms:modified>
</cp:coreProperties>
</file>