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669" w:rsidRPr="002A1669" w:rsidRDefault="002A1669" w:rsidP="002A1669">
      <w:pPr>
        <w:jc w:val="center"/>
        <w:rPr>
          <w:rFonts w:ascii="Times New Roman" w:hAnsi="Times New Roman" w:cs="Times New Roman"/>
          <w:b/>
          <w:sz w:val="28"/>
          <w:szCs w:val="28"/>
        </w:rPr>
      </w:pPr>
      <w:r w:rsidRPr="002A1669">
        <w:rPr>
          <w:rFonts w:ascii="Times New Roman" w:hAnsi="Times New Roman" w:cs="Times New Roman"/>
          <w:b/>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2A1669" w:rsidTr="00937B0C">
        <w:tc>
          <w:tcPr>
            <w:tcW w:w="9039" w:type="dxa"/>
          </w:tcPr>
          <w:p w:rsidR="002A1669" w:rsidRDefault="002A1669" w:rsidP="002A1669">
            <w:pPr>
              <w:spacing w:line="276" w:lineRule="auto"/>
              <w:rPr>
                <w:rFonts w:ascii="Times New Roman" w:hAnsi="Times New Roman" w:cs="Times New Roman"/>
                <w:sz w:val="28"/>
                <w:szCs w:val="28"/>
              </w:rPr>
            </w:pPr>
            <w:r w:rsidRPr="00FF0CCD">
              <w:rPr>
                <w:rFonts w:ascii="Times New Roman" w:hAnsi="Times New Roman" w:cs="Times New Roman"/>
                <w:sz w:val="28"/>
                <w:szCs w:val="28"/>
              </w:rPr>
              <w:t>Введение</w:t>
            </w:r>
          </w:p>
          <w:p w:rsidR="002A1669" w:rsidRPr="00FF0CCD" w:rsidRDefault="002A1669" w:rsidP="002A1669">
            <w:pPr>
              <w:spacing w:line="276" w:lineRule="auto"/>
              <w:rPr>
                <w:rFonts w:ascii="Times New Roman" w:hAnsi="Times New Roman" w:cs="Times New Roman"/>
                <w:sz w:val="28"/>
                <w:szCs w:val="28"/>
              </w:rPr>
            </w:pP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FF0CCD" w:rsidRDefault="002A1669" w:rsidP="002A1669">
            <w:pPr>
              <w:spacing w:line="276" w:lineRule="auto"/>
              <w:rPr>
                <w:rFonts w:ascii="Times New Roman" w:hAnsi="Times New Roman" w:cs="Times New Roman"/>
                <w:sz w:val="28"/>
                <w:szCs w:val="28"/>
              </w:rPr>
            </w:pPr>
            <w:r w:rsidRPr="00FF0CCD">
              <w:rPr>
                <w:rFonts w:ascii="Times New Roman" w:hAnsi="Times New Roman" w:cs="Times New Roman"/>
                <w:sz w:val="28"/>
                <w:szCs w:val="28"/>
              </w:rPr>
              <w:t xml:space="preserve"> Глава 1. Бухгалтерский баланс как информационный источник анализа финансового состояния банка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EC61DF" w:rsidRDefault="002A1669" w:rsidP="002A1669">
            <w:pPr>
              <w:spacing w:line="276" w:lineRule="auto"/>
              <w:rPr>
                <w:rFonts w:ascii="Times New Roman" w:hAnsi="Times New Roman" w:cs="Times New Roman"/>
                <w:sz w:val="28"/>
                <w:szCs w:val="28"/>
              </w:rPr>
            </w:pPr>
            <w:r w:rsidRPr="00EC61DF">
              <w:rPr>
                <w:rFonts w:ascii="Times New Roman" w:hAnsi="Times New Roman" w:cs="Times New Roman"/>
                <w:sz w:val="28"/>
                <w:szCs w:val="28"/>
              </w:rPr>
              <w:t xml:space="preserve">1.1. Понятие бухгалтерского баланса банка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EC61DF" w:rsidRDefault="002A1669" w:rsidP="002A1669">
            <w:pPr>
              <w:spacing w:line="276" w:lineRule="auto"/>
              <w:rPr>
                <w:rFonts w:ascii="Times New Roman" w:hAnsi="Times New Roman" w:cs="Times New Roman"/>
                <w:sz w:val="28"/>
                <w:szCs w:val="28"/>
              </w:rPr>
            </w:pPr>
            <w:r w:rsidRPr="00EC61DF">
              <w:rPr>
                <w:rFonts w:ascii="Times New Roman" w:hAnsi="Times New Roman" w:cs="Times New Roman"/>
                <w:sz w:val="28"/>
                <w:szCs w:val="28"/>
              </w:rPr>
              <w:t xml:space="preserve">1.2. Техника формирования показателей бухгалтерского баланса банка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Default="002A1669" w:rsidP="002A1669">
            <w:pPr>
              <w:spacing w:line="276" w:lineRule="auto"/>
              <w:rPr>
                <w:rFonts w:ascii="Times New Roman" w:hAnsi="Times New Roman" w:cs="Times New Roman"/>
                <w:sz w:val="28"/>
                <w:szCs w:val="28"/>
              </w:rPr>
            </w:pPr>
            <w:r w:rsidRPr="00EC61DF">
              <w:rPr>
                <w:rFonts w:ascii="Times New Roman" w:hAnsi="Times New Roman" w:cs="Times New Roman"/>
                <w:sz w:val="28"/>
                <w:szCs w:val="28"/>
              </w:rPr>
              <w:t xml:space="preserve">1.3. Методика анализа финансовых показателей на базе бухгалтерского баланса банка </w:t>
            </w:r>
          </w:p>
          <w:p w:rsidR="002A1669" w:rsidRPr="00EC61DF" w:rsidRDefault="002A1669" w:rsidP="002A1669">
            <w:pPr>
              <w:spacing w:line="276" w:lineRule="auto"/>
              <w:rPr>
                <w:rFonts w:ascii="Times New Roman" w:hAnsi="Times New Roman" w:cs="Times New Roman"/>
                <w:sz w:val="28"/>
                <w:szCs w:val="28"/>
              </w:rPr>
            </w:pP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BB7A76" w:rsidRDefault="002A1669" w:rsidP="002A1669">
            <w:pPr>
              <w:spacing w:line="276" w:lineRule="auto"/>
              <w:rPr>
                <w:rFonts w:ascii="Times New Roman" w:hAnsi="Times New Roman" w:cs="Times New Roman"/>
                <w:sz w:val="28"/>
                <w:szCs w:val="28"/>
              </w:rPr>
            </w:pPr>
            <w:r w:rsidRPr="00BB7A76">
              <w:rPr>
                <w:rFonts w:ascii="Times New Roman" w:hAnsi="Times New Roman" w:cs="Times New Roman"/>
                <w:sz w:val="28"/>
                <w:szCs w:val="28"/>
              </w:rPr>
              <w:t xml:space="preserve">Глава 2. Анализ финансового состояния ПАО «Сбербанк России» на основе данных бухгалтерского баланса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BB7A76" w:rsidRDefault="002A1669" w:rsidP="002A1669">
            <w:pPr>
              <w:spacing w:line="276" w:lineRule="auto"/>
              <w:rPr>
                <w:rFonts w:ascii="Times New Roman" w:hAnsi="Times New Roman" w:cs="Times New Roman"/>
                <w:sz w:val="28"/>
                <w:szCs w:val="28"/>
              </w:rPr>
            </w:pPr>
            <w:r w:rsidRPr="00BB7A76">
              <w:rPr>
                <w:rFonts w:ascii="Times New Roman" w:hAnsi="Times New Roman" w:cs="Times New Roman"/>
                <w:sz w:val="28"/>
                <w:szCs w:val="28"/>
              </w:rPr>
              <w:t xml:space="preserve">2.1. Организационно-экономическая характеристика ПАО «Сбербанк России»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BB7A76" w:rsidRDefault="002A1669" w:rsidP="002A1669">
            <w:pPr>
              <w:spacing w:line="276" w:lineRule="auto"/>
              <w:rPr>
                <w:rFonts w:ascii="Times New Roman" w:hAnsi="Times New Roman" w:cs="Times New Roman"/>
                <w:sz w:val="28"/>
                <w:szCs w:val="28"/>
              </w:rPr>
            </w:pPr>
            <w:r w:rsidRPr="00BB7A76">
              <w:rPr>
                <w:rFonts w:ascii="Times New Roman" w:hAnsi="Times New Roman" w:cs="Times New Roman"/>
                <w:sz w:val="28"/>
                <w:szCs w:val="28"/>
              </w:rPr>
              <w:t xml:space="preserve">2.2. Техника формирования показателей баланса банка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Default="002A1669" w:rsidP="002A1669">
            <w:pPr>
              <w:spacing w:line="276" w:lineRule="auto"/>
              <w:rPr>
                <w:rFonts w:ascii="Times New Roman" w:hAnsi="Times New Roman" w:cs="Times New Roman"/>
                <w:sz w:val="28"/>
                <w:szCs w:val="28"/>
              </w:rPr>
            </w:pPr>
            <w:r w:rsidRPr="00BB7A76">
              <w:rPr>
                <w:rFonts w:ascii="Times New Roman" w:hAnsi="Times New Roman" w:cs="Times New Roman"/>
                <w:sz w:val="28"/>
                <w:szCs w:val="28"/>
              </w:rPr>
              <w:t xml:space="preserve">2.3. Анализ финансового состояния банка </w:t>
            </w:r>
          </w:p>
          <w:p w:rsidR="002A1669" w:rsidRPr="00BB7A76" w:rsidRDefault="002A1669" w:rsidP="002A1669">
            <w:pPr>
              <w:spacing w:line="276" w:lineRule="auto"/>
              <w:rPr>
                <w:rFonts w:ascii="Times New Roman" w:hAnsi="Times New Roman" w:cs="Times New Roman"/>
                <w:sz w:val="28"/>
                <w:szCs w:val="28"/>
              </w:rPr>
            </w:pP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B90440" w:rsidRDefault="002A1669" w:rsidP="002A1669">
            <w:pPr>
              <w:spacing w:line="276" w:lineRule="auto"/>
              <w:rPr>
                <w:rFonts w:ascii="Times New Roman" w:hAnsi="Times New Roman" w:cs="Times New Roman"/>
                <w:sz w:val="28"/>
                <w:szCs w:val="28"/>
              </w:rPr>
            </w:pPr>
            <w:r w:rsidRPr="00B90440">
              <w:rPr>
                <w:rFonts w:ascii="Times New Roman" w:hAnsi="Times New Roman" w:cs="Times New Roman"/>
                <w:sz w:val="28"/>
                <w:szCs w:val="28"/>
              </w:rPr>
              <w:t xml:space="preserve">Глава 3. Мероприятия по улучшению показателей финансового состояния ПАО «Сбербанк России»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B90440" w:rsidRDefault="002A1669" w:rsidP="002A1669">
            <w:pPr>
              <w:spacing w:line="276" w:lineRule="auto"/>
              <w:rPr>
                <w:rFonts w:ascii="Times New Roman" w:hAnsi="Times New Roman" w:cs="Times New Roman"/>
                <w:sz w:val="28"/>
                <w:szCs w:val="28"/>
              </w:rPr>
            </w:pPr>
            <w:r w:rsidRPr="00B90440">
              <w:rPr>
                <w:rFonts w:ascii="Times New Roman" w:hAnsi="Times New Roman" w:cs="Times New Roman"/>
                <w:sz w:val="28"/>
                <w:szCs w:val="28"/>
              </w:rPr>
              <w:t xml:space="preserve">3.1. Пути улучшения финансового состояния банка </w:t>
            </w: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Default="002A1669" w:rsidP="002A1669">
            <w:pPr>
              <w:spacing w:line="276" w:lineRule="auto"/>
              <w:rPr>
                <w:rFonts w:ascii="Times New Roman" w:hAnsi="Times New Roman" w:cs="Times New Roman"/>
                <w:sz w:val="28"/>
                <w:szCs w:val="28"/>
              </w:rPr>
            </w:pPr>
            <w:r w:rsidRPr="00B90440">
              <w:rPr>
                <w:rFonts w:ascii="Times New Roman" w:hAnsi="Times New Roman" w:cs="Times New Roman"/>
                <w:sz w:val="28"/>
                <w:szCs w:val="28"/>
              </w:rPr>
              <w:t xml:space="preserve">3.2. Предложения по совершенствованию показателей бухгалтерского баланса банка </w:t>
            </w:r>
          </w:p>
          <w:p w:rsidR="002A1669" w:rsidRPr="00B90440" w:rsidRDefault="002A1669" w:rsidP="002A1669">
            <w:pPr>
              <w:spacing w:line="276" w:lineRule="auto"/>
              <w:rPr>
                <w:rFonts w:ascii="Times New Roman" w:hAnsi="Times New Roman" w:cs="Times New Roman"/>
                <w:sz w:val="28"/>
                <w:szCs w:val="28"/>
              </w:rPr>
            </w:pP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Default="002A1669" w:rsidP="002A1669">
            <w:pPr>
              <w:spacing w:line="276" w:lineRule="auto"/>
              <w:rPr>
                <w:rFonts w:ascii="Times New Roman" w:hAnsi="Times New Roman" w:cs="Times New Roman"/>
                <w:sz w:val="28"/>
                <w:szCs w:val="28"/>
              </w:rPr>
            </w:pPr>
            <w:r w:rsidRPr="006508E9">
              <w:rPr>
                <w:rFonts w:ascii="Times New Roman" w:hAnsi="Times New Roman" w:cs="Times New Roman"/>
                <w:sz w:val="28"/>
                <w:szCs w:val="28"/>
              </w:rPr>
              <w:t xml:space="preserve">Заключение </w:t>
            </w:r>
          </w:p>
          <w:p w:rsidR="002A1669" w:rsidRPr="006508E9" w:rsidRDefault="002A1669" w:rsidP="002A1669">
            <w:pPr>
              <w:spacing w:line="276" w:lineRule="auto"/>
              <w:rPr>
                <w:rFonts w:ascii="Times New Roman" w:hAnsi="Times New Roman" w:cs="Times New Roman"/>
                <w:sz w:val="28"/>
                <w:szCs w:val="28"/>
              </w:rPr>
            </w:pP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Default="002A1669" w:rsidP="002A1669">
            <w:pPr>
              <w:spacing w:line="276" w:lineRule="auto"/>
              <w:rPr>
                <w:rFonts w:ascii="Times New Roman" w:hAnsi="Times New Roman" w:cs="Times New Roman"/>
                <w:sz w:val="28"/>
                <w:szCs w:val="28"/>
              </w:rPr>
            </w:pPr>
            <w:r w:rsidRPr="006508E9">
              <w:rPr>
                <w:rFonts w:ascii="Times New Roman" w:hAnsi="Times New Roman" w:cs="Times New Roman"/>
                <w:sz w:val="28"/>
                <w:szCs w:val="28"/>
              </w:rPr>
              <w:t xml:space="preserve">Список использованных источников </w:t>
            </w:r>
          </w:p>
          <w:p w:rsidR="002A1669" w:rsidRPr="006508E9" w:rsidRDefault="002A1669" w:rsidP="002A1669">
            <w:pPr>
              <w:spacing w:line="276" w:lineRule="auto"/>
              <w:rPr>
                <w:rFonts w:ascii="Times New Roman" w:hAnsi="Times New Roman" w:cs="Times New Roman"/>
                <w:sz w:val="28"/>
                <w:szCs w:val="28"/>
              </w:rPr>
            </w:pPr>
          </w:p>
        </w:tc>
        <w:tc>
          <w:tcPr>
            <w:tcW w:w="532" w:type="dxa"/>
          </w:tcPr>
          <w:p w:rsidR="002A1669" w:rsidRDefault="002A1669" w:rsidP="002A1669">
            <w:pPr>
              <w:spacing w:line="276" w:lineRule="auto"/>
              <w:rPr>
                <w:rFonts w:ascii="Times New Roman" w:hAnsi="Times New Roman" w:cs="Times New Roman"/>
                <w:sz w:val="28"/>
                <w:szCs w:val="28"/>
              </w:rPr>
            </w:pPr>
          </w:p>
        </w:tc>
      </w:tr>
      <w:tr w:rsidR="002A1669" w:rsidTr="00937B0C">
        <w:tc>
          <w:tcPr>
            <w:tcW w:w="9039" w:type="dxa"/>
          </w:tcPr>
          <w:p w:rsidR="002A1669" w:rsidRPr="006508E9" w:rsidRDefault="002A1669" w:rsidP="002A1669">
            <w:pPr>
              <w:spacing w:line="276" w:lineRule="auto"/>
              <w:rPr>
                <w:rFonts w:ascii="Times New Roman" w:hAnsi="Times New Roman" w:cs="Times New Roman"/>
                <w:sz w:val="28"/>
                <w:szCs w:val="28"/>
              </w:rPr>
            </w:pPr>
            <w:r w:rsidRPr="006508E9">
              <w:rPr>
                <w:rFonts w:ascii="Times New Roman" w:hAnsi="Times New Roman" w:cs="Times New Roman"/>
                <w:sz w:val="28"/>
                <w:szCs w:val="28"/>
              </w:rPr>
              <w:t>Приложения</w:t>
            </w:r>
          </w:p>
        </w:tc>
        <w:tc>
          <w:tcPr>
            <w:tcW w:w="532" w:type="dxa"/>
          </w:tcPr>
          <w:p w:rsidR="002A1669" w:rsidRDefault="002A1669" w:rsidP="002A1669">
            <w:pPr>
              <w:spacing w:line="276" w:lineRule="auto"/>
              <w:rPr>
                <w:rFonts w:ascii="Times New Roman" w:hAnsi="Times New Roman" w:cs="Times New Roman"/>
                <w:sz w:val="28"/>
                <w:szCs w:val="28"/>
              </w:rPr>
            </w:pPr>
          </w:p>
        </w:tc>
      </w:tr>
    </w:tbl>
    <w:p w:rsidR="002A1669" w:rsidRDefault="002A1669">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2A1669" w:rsidRDefault="002A1669">
      <w:pPr>
        <w:rPr>
          <w:rFonts w:ascii="Times New Roman" w:hAnsi="Times New Roman" w:cs="Times New Roman"/>
          <w:sz w:val="28"/>
          <w:szCs w:val="28"/>
        </w:rPr>
      </w:pPr>
    </w:p>
    <w:p w:rsidR="002A1669" w:rsidRDefault="002A1669">
      <w:pPr>
        <w:rPr>
          <w:rFonts w:ascii="Times New Roman" w:hAnsi="Times New Roman" w:cs="Times New Roman"/>
          <w:sz w:val="28"/>
          <w:szCs w:val="28"/>
        </w:rPr>
      </w:pPr>
    </w:p>
    <w:p w:rsidR="005E0A8B" w:rsidRDefault="005E0A8B">
      <w:pPr>
        <w:rPr>
          <w:rFonts w:ascii="Times New Roman" w:hAnsi="Times New Roman" w:cs="Times New Roman"/>
          <w:sz w:val="28"/>
          <w:szCs w:val="28"/>
        </w:rPr>
      </w:pPr>
      <w:bookmarkStart w:id="0" w:name="_GoBack"/>
      <w:bookmarkEnd w:id="0"/>
    </w:p>
    <w:p w:rsidR="00FC52F1" w:rsidRDefault="008130EA" w:rsidP="002A1669">
      <w:pPr>
        <w:ind w:firstLine="709"/>
        <w:rPr>
          <w:rFonts w:ascii="Times New Roman" w:hAnsi="Times New Roman" w:cs="Times New Roman"/>
          <w:b/>
          <w:sz w:val="28"/>
          <w:szCs w:val="28"/>
        </w:rPr>
      </w:pPr>
      <w:r>
        <w:rPr>
          <w:rFonts w:ascii="Times New Roman" w:hAnsi="Times New Roman" w:cs="Times New Roman"/>
          <w:b/>
          <w:sz w:val="28"/>
          <w:szCs w:val="28"/>
        </w:rPr>
        <w:t>Введение</w:t>
      </w:r>
    </w:p>
    <w:p w:rsidR="008130EA" w:rsidRDefault="008130EA" w:rsidP="009D16B8">
      <w:pPr>
        <w:rPr>
          <w:rFonts w:ascii="Times New Roman" w:hAnsi="Times New Roman" w:cs="Times New Roman"/>
          <w:b/>
          <w:sz w:val="28"/>
          <w:szCs w:val="28"/>
        </w:rPr>
      </w:pPr>
    </w:p>
    <w:p w:rsidR="008130EA" w:rsidRDefault="008130EA" w:rsidP="008130EA">
      <w:pPr>
        <w:spacing w:after="0" w:line="360" w:lineRule="auto"/>
        <w:ind w:firstLine="709"/>
        <w:jc w:val="both"/>
        <w:rPr>
          <w:rFonts w:ascii="Times New Roman" w:hAnsi="Times New Roman" w:cs="Times New Roman"/>
          <w:sz w:val="28"/>
          <w:szCs w:val="28"/>
        </w:rPr>
      </w:pPr>
      <w:r w:rsidRPr="008130EA">
        <w:rPr>
          <w:rFonts w:ascii="Times New Roman" w:hAnsi="Times New Roman" w:cs="Times New Roman"/>
          <w:sz w:val="28"/>
          <w:szCs w:val="28"/>
        </w:rPr>
        <w:t>Традиционно основное место в финансово-кредитной сфере экономики РФ принадлежит банковской системе, в функции которой входит перераспределение ресурсов между разнообразными секторами экономики, что в свою очередь оказывает значительное влияние на экономическое развитие страны в целом.</w:t>
      </w:r>
      <w:r>
        <w:rPr>
          <w:rFonts w:ascii="Times New Roman" w:hAnsi="Times New Roman" w:cs="Times New Roman"/>
          <w:sz w:val="28"/>
          <w:szCs w:val="28"/>
        </w:rPr>
        <w:t xml:space="preserve"> </w:t>
      </w:r>
      <w:r w:rsidRPr="008130EA">
        <w:rPr>
          <w:rFonts w:ascii="Times New Roman" w:hAnsi="Times New Roman" w:cs="Times New Roman"/>
          <w:sz w:val="28"/>
          <w:szCs w:val="28"/>
        </w:rPr>
        <w:t>На сегодняшний день проблема финансовых ресурсов приобретает особую актуальность, особенно важным становится процесс непосредственного формирования ресурсной базы банков, наращения ее объемов, а также улучшение ее качественного состава и совершенствование методики управления ею.</w:t>
      </w:r>
      <w:r>
        <w:rPr>
          <w:rFonts w:ascii="Times New Roman" w:hAnsi="Times New Roman" w:cs="Times New Roman"/>
          <w:sz w:val="28"/>
          <w:szCs w:val="28"/>
        </w:rPr>
        <w:t xml:space="preserve"> </w:t>
      </w:r>
      <w:r w:rsidRPr="008130EA">
        <w:rPr>
          <w:rFonts w:ascii="Times New Roman" w:hAnsi="Times New Roman" w:cs="Times New Roman"/>
          <w:sz w:val="28"/>
          <w:szCs w:val="28"/>
        </w:rPr>
        <w:t>Еще несколько лет назад основной целью банков было ускоренное наращение банковских ресурсов, поскольку существовал значительный спрос на кредиты коммерческих банков, обусловленный ускоренными темпами роста производства. Но в период финансового кризиса в России возникла новая проблема – рациональное использование банковских ресурсов. На современном этапе развития банкам необходимо поддерживать адекватный уровень ликвидности и доверия со стороны клиентов. В таких условиях особую актуальность приобретает комплексная оценка и анализ показателей привлечения и размещения депозитных ресурсов коммерческих банков.</w:t>
      </w:r>
    </w:p>
    <w:p w:rsidR="008130EA" w:rsidRPr="008130EA" w:rsidRDefault="008130EA" w:rsidP="008130EA">
      <w:pPr>
        <w:spacing w:after="0" w:line="360" w:lineRule="auto"/>
        <w:ind w:firstLine="709"/>
        <w:jc w:val="both"/>
        <w:rPr>
          <w:rFonts w:ascii="Times New Roman" w:hAnsi="Times New Roman" w:cs="Times New Roman"/>
          <w:sz w:val="28"/>
          <w:szCs w:val="28"/>
        </w:rPr>
      </w:pPr>
      <w:r w:rsidRPr="008130EA">
        <w:rPr>
          <w:rFonts w:ascii="Times New Roman" w:hAnsi="Times New Roman" w:cs="Times New Roman"/>
          <w:sz w:val="28"/>
          <w:szCs w:val="28"/>
        </w:rPr>
        <w:lastRenderedPageBreak/>
        <w:t>Актуальность темы бакалаврской работы заключает</w:t>
      </w:r>
      <w:r>
        <w:rPr>
          <w:rFonts w:ascii="Times New Roman" w:hAnsi="Times New Roman" w:cs="Times New Roman"/>
          <w:sz w:val="28"/>
          <w:szCs w:val="28"/>
        </w:rPr>
        <w:t xml:space="preserve">ся в том, что в настоящее время </w:t>
      </w:r>
      <w:r w:rsidRPr="008130EA">
        <w:rPr>
          <w:rFonts w:ascii="Times New Roman" w:hAnsi="Times New Roman" w:cs="Times New Roman"/>
          <w:sz w:val="28"/>
          <w:szCs w:val="28"/>
        </w:rPr>
        <w:t>банковскую систему Российской Федерации можно квалифицировать как развивающуюся.</w:t>
      </w:r>
      <w:r>
        <w:rPr>
          <w:rFonts w:ascii="Times New Roman" w:hAnsi="Times New Roman" w:cs="Times New Roman"/>
          <w:sz w:val="28"/>
          <w:szCs w:val="28"/>
        </w:rPr>
        <w:t xml:space="preserve"> </w:t>
      </w:r>
      <w:r w:rsidRPr="008130EA">
        <w:rPr>
          <w:rFonts w:ascii="Times New Roman" w:hAnsi="Times New Roman" w:cs="Times New Roman"/>
          <w:sz w:val="28"/>
          <w:szCs w:val="28"/>
        </w:rPr>
        <w:t xml:space="preserve">Она характеризуется усилением конкурентной борьбы, </w:t>
      </w:r>
      <w:r>
        <w:rPr>
          <w:rFonts w:ascii="Times New Roman" w:hAnsi="Times New Roman" w:cs="Times New Roman"/>
          <w:sz w:val="28"/>
          <w:szCs w:val="28"/>
        </w:rPr>
        <w:t xml:space="preserve">расширением ассортимента </w:t>
      </w:r>
      <w:r w:rsidRPr="008130EA">
        <w:rPr>
          <w:rFonts w:ascii="Times New Roman" w:hAnsi="Times New Roman" w:cs="Times New Roman"/>
          <w:sz w:val="28"/>
          <w:szCs w:val="28"/>
        </w:rPr>
        <w:t>банковских продуктов и услуг, увеличением объема операций, расширением банковских</w:t>
      </w:r>
      <w:r>
        <w:rPr>
          <w:rFonts w:ascii="Times New Roman" w:hAnsi="Times New Roman" w:cs="Times New Roman"/>
          <w:sz w:val="28"/>
          <w:szCs w:val="28"/>
        </w:rPr>
        <w:t xml:space="preserve"> </w:t>
      </w:r>
      <w:r w:rsidRPr="008130EA">
        <w:rPr>
          <w:rFonts w:ascii="Times New Roman" w:hAnsi="Times New Roman" w:cs="Times New Roman"/>
          <w:sz w:val="28"/>
          <w:szCs w:val="28"/>
        </w:rPr>
        <w:t>филиальных сетей. Эффективность банковской деятельности в таких условиях во многом</w:t>
      </w:r>
      <w:r>
        <w:rPr>
          <w:rFonts w:ascii="Times New Roman" w:hAnsi="Times New Roman" w:cs="Times New Roman"/>
          <w:sz w:val="28"/>
          <w:szCs w:val="28"/>
        </w:rPr>
        <w:t xml:space="preserve"> </w:t>
      </w:r>
      <w:r w:rsidRPr="008130EA">
        <w:rPr>
          <w:rFonts w:ascii="Times New Roman" w:hAnsi="Times New Roman" w:cs="Times New Roman"/>
          <w:sz w:val="28"/>
          <w:szCs w:val="28"/>
        </w:rPr>
        <w:t xml:space="preserve">зависит от </w:t>
      </w:r>
      <w:r w:rsidR="002A1669">
        <w:rPr>
          <w:rFonts w:ascii="Times New Roman" w:hAnsi="Times New Roman" w:cs="Times New Roman"/>
          <w:sz w:val="28"/>
          <w:szCs w:val="28"/>
        </w:rPr>
        <w:t xml:space="preserve"> возможностей анализа финансовой отчетности в том числе и бухгалтерского баланса. </w:t>
      </w:r>
    </w:p>
    <w:p w:rsidR="008130EA" w:rsidRPr="008130EA" w:rsidRDefault="008130EA" w:rsidP="008130EA">
      <w:pPr>
        <w:spacing w:after="0" w:line="360" w:lineRule="auto"/>
        <w:ind w:firstLine="709"/>
        <w:jc w:val="both"/>
        <w:rPr>
          <w:rFonts w:ascii="Times New Roman" w:hAnsi="Times New Roman" w:cs="Times New Roman"/>
          <w:sz w:val="28"/>
          <w:szCs w:val="28"/>
        </w:rPr>
      </w:pPr>
      <w:r w:rsidRPr="008130EA">
        <w:rPr>
          <w:rFonts w:ascii="Times New Roman" w:hAnsi="Times New Roman" w:cs="Times New Roman"/>
          <w:sz w:val="28"/>
          <w:szCs w:val="28"/>
        </w:rPr>
        <w:t>Между тем, существующие современные проблемы российских банков, выраженные</w:t>
      </w:r>
      <w:r>
        <w:rPr>
          <w:rFonts w:ascii="Times New Roman" w:hAnsi="Times New Roman" w:cs="Times New Roman"/>
          <w:sz w:val="28"/>
          <w:szCs w:val="28"/>
        </w:rPr>
        <w:t xml:space="preserve"> </w:t>
      </w:r>
      <w:r w:rsidRPr="008130EA">
        <w:rPr>
          <w:rFonts w:ascii="Times New Roman" w:hAnsi="Times New Roman" w:cs="Times New Roman"/>
          <w:sz w:val="28"/>
          <w:szCs w:val="28"/>
        </w:rPr>
        <w:t>в виде неустойчивости банковского бизнеса России и его слабой деловой активности в</w:t>
      </w:r>
      <w:r>
        <w:rPr>
          <w:rFonts w:ascii="Times New Roman" w:hAnsi="Times New Roman" w:cs="Times New Roman"/>
          <w:sz w:val="28"/>
          <w:szCs w:val="28"/>
        </w:rPr>
        <w:t xml:space="preserve"> </w:t>
      </w:r>
      <w:r w:rsidRPr="008130EA">
        <w:rPr>
          <w:rFonts w:ascii="Times New Roman" w:hAnsi="Times New Roman" w:cs="Times New Roman"/>
          <w:sz w:val="28"/>
          <w:szCs w:val="28"/>
        </w:rPr>
        <w:t>сравнении со странами Запада, нехватки денежных средств и т.д., нередко связаны с</w:t>
      </w:r>
      <w:r>
        <w:rPr>
          <w:rFonts w:ascii="Times New Roman" w:hAnsi="Times New Roman" w:cs="Times New Roman"/>
          <w:sz w:val="28"/>
          <w:szCs w:val="28"/>
        </w:rPr>
        <w:t xml:space="preserve"> </w:t>
      </w:r>
      <w:r w:rsidRPr="008130EA">
        <w:rPr>
          <w:rFonts w:ascii="Times New Roman" w:hAnsi="Times New Roman" w:cs="Times New Roman"/>
          <w:sz w:val="28"/>
          <w:szCs w:val="28"/>
        </w:rPr>
        <w:t xml:space="preserve">недопониманием либо игнорированием важнейшей составной части </w:t>
      </w:r>
      <w:r w:rsidR="002A1669">
        <w:rPr>
          <w:rFonts w:ascii="Times New Roman" w:hAnsi="Times New Roman" w:cs="Times New Roman"/>
          <w:sz w:val="28"/>
          <w:szCs w:val="28"/>
        </w:rPr>
        <w:t>планирования</w:t>
      </w:r>
      <w:r w:rsidRPr="008130EA">
        <w:rPr>
          <w:rFonts w:ascii="Times New Roman" w:hAnsi="Times New Roman" w:cs="Times New Roman"/>
          <w:sz w:val="28"/>
          <w:szCs w:val="28"/>
        </w:rPr>
        <w:t xml:space="preserve"> – </w:t>
      </w:r>
      <w:r w:rsidR="002A1669">
        <w:rPr>
          <w:rFonts w:ascii="Times New Roman" w:hAnsi="Times New Roman" w:cs="Times New Roman"/>
          <w:sz w:val="28"/>
          <w:szCs w:val="28"/>
        </w:rPr>
        <w:t>анализа финансовой отчетности</w:t>
      </w:r>
      <w:r w:rsidRPr="008130EA">
        <w:rPr>
          <w:rFonts w:ascii="Times New Roman" w:hAnsi="Times New Roman" w:cs="Times New Roman"/>
          <w:sz w:val="28"/>
          <w:szCs w:val="28"/>
        </w:rPr>
        <w:t xml:space="preserve">. Низкий уровень </w:t>
      </w:r>
      <w:r w:rsidR="002A1669">
        <w:rPr>
          <w:rFonts w:ascii="Times New Roman" w:hAnsi="Times New Roman" w:cs="Times New Roman"/>
          <w:sz w:val="28"/>
          <w:szCs w:val="28"/>
        </w:rPr>
        <w:t xml:space="preserve">аналитической составляющей финансовой отчетности в </w:t>
      </w:r>
      <w:r>
        <w:rPr>
          <w:rFonts w:ascii="Times New Roman" w:hAnsi="Times New Roman" w:cs="Times New Roman"/>
          <w:sz w:val="28"/>
          <w:szCs w:val="28"/>
        </w:rPr>
        <w:t xml:space="preserve"> </w:t>
      </w:r>
      <w:r w:rsidRPr="008130EA">
        <w:rPr>
          <w:rFonts w:ascii="Times New Roman" w:hAnsi="Times New Roman" w:cs="Times New Roman"/>
          <w:sz w:val="28"/>
          <w:szCs w:val="28"/>
        </w:rPr>
        <w:t>деятельности коммерческих банков является одним из факторов, сдерживающих развитие</w:t>
      </w:r>
      <w:r>
        <w:rPr>
          <w:rFonts w:ascii="Times New Roman" w:hAnsi="Times New Roman" w:cs="Times New Roman"/>
          <w:sz w:val="28"/>
          <w:szCs w:val="28"/>
        </w:rPr>
        <w:t xml:space="preserve"> </w:t>
      </w:r>
      <w:r w:rsidRPr="008130EA">
        <w:rPr>
          <w:rFonts w:ascii="Times New Roman" w:hAnsi="Times New Roman" w:cs="Times New Roman"/>
          <w:sz w:val="28"/>
          <w:szCs w:val="28"/>
        </w:rPr>
        <w:t>банковской деятельности.</w:t>
      </w:r>
    </w:p>
    <w:p w:rsidR="008130EA" w:rsidRPr="008130EA" w:rsidRDefault="008130EA" w:rsidP="008130EA">
      <w:pPr>
        <w:spacing w:after="0" w:line="360" w:lineRule="auto"/>
        <w:ind w:firstLine="709"/>
        <w:jc w:val="both"/>
        <w:rPr>
          <w:rFonts w:ascii="Times New Roman" w:hAnsi="Times New Roman" w:cs="Times New Roman"/>
          <w:sz w:val="28"/>
          <w:szCs w:val="28"/>
        </w:rPr>
      </w:pPr>
      <w:r w:rsidRPr="008130EA">
        <w:rPr>
          <w:rFonts w:ascii="Times New Roman" w:hAnsi="Times New Roman" w:cs="Times New Roman"/>
          <w:sz w:val="28"/>
          <w:szCs w:val="28"/>
        </w:rPr>
        <w:t>В последнее время перед руководителями мног</w:t>
      </w:r>
      <w:r>
        <w:rPr>
          <w:rFonts w:ascii="Times New Roman" w:hAnsi="Times New Roman" w:cs="Times New Roman"/>
          <w:sz w:val="28"/>
          <w:szCs w:val="28"/>
        </w:rPr>
        <w:t xml:space="preserve">их коммерческих банков особенно </w:t>
      </w:r>
      <w:r w:rsidRPr="008130EA">
        <w:rPr>
          <w:rFonts w:ascii="Times New Roman" w:hAnsi="Times New Roman" w:cs="Times New Roman"/>
          <w:sz w:val="28"/>
          <w:szCs w:val="28"/>
        </w:rPr>
        <w:t>остро встали вопросы планирования деятельности бан</w:t>
      </w:r>
      <w:r>
        <w:rPr>
          <w:rFonts w:ascii="Times New Roman" w:hAnsi="Times New Roman" w:cs="Times New Roman"/>
          <w:sz w:val="28"/>
          <w:szCs w:val="28"/>
        </w:rPr>
        <w:t xml:space="preserve">ка в целом и его подразделений, </w:t>
      </w:r>
      <w:r w:rsidRPr="008130EA">
        <w:rPr>
          <w:rFonts w:ascii="Times New Roman" w:hAnsi="Times New Roman" w:cs="Times New Roman"/>
          <w:sz w:val="28"/>
          <w:szCs w:val="28"/>
        </w:rPr>
        <w:t xml:space="preserve">определения себестоимости банковских услуг, </w:t>
      </w:r>
      <w:r>
        <w:rPr>
          <w:rFonts w:ascii="Times New Roman" w:hAnsi="Times New Roman" w:cs="Times New Roman"/>
          <w:sz w:val="28"/>
          <w:szCs w:val="28"/>
        </w:rPr>
        <w:t xml:space="preserve">изыскания коммерческими банками </w:t>
      </w:r>
      <w:r w:rsidRPr="008130EA">
        <w:rPr>
          <w:rFonts w:ascii="Times New Roman" w:hAnsi="Times New Roman" w:cs="Times New Roman"/>
          <w:sz w:val="28"/>
          <w:szCs w:val="28"/>
        </w:rPr>
        <w:t>внутренних резервов выживания</w:t>
      </w:r>
      <w:r w:rsidR="002A1669">
        <w:rPr>
          <w:rFonts w:ascii="Times New Roman" w:hAnsi="Times New Roman" w:cs="Times New Roman"/>
          <w:sz w:val="28"/>
          <w:szCs w:val="28"/>
        </w:rPr>
        <w:t>.</w:t>
      </w:r>
      <w:r w:rsidRPr="008130EA">
        <w:rPr>
          <w:rFonts w:ascii="Times New Roman" w:hAnsi="Times New Roman" w:cs="Times New Roman"/>
          <w:sz w:val="28"/>
          <w:szCs w:val="28"/>
        </w:rPr>
        <w:t xml:space="preserve"> В связи с этим по</w:t>
      </w:r>
      <w:r>
        <w:rPr>
          <w:rFonts w:ascii="Times New Roman" w:hAnsi="Times New Roman" w:cs="Times New Roman"/>
          <w:sz w:val="28"/>
          <w:szCs w:val="28"/>
        </w:rPr>
        <w:t xml:space="preserve">вышается роль </w:t>
      </w:r>
      <w:r w:rsidR="002A1669">
        <w:rPr>
          <w:rFonts w:ascii="Times New Roman" w:hAnsi="Times New Roman" w:cs="Times New Roman"/>
          <w:sz w:val="28"/>
          <w:szCs w:val="28"/>
        </w:rPr>
        <w:t>анализа финансовой отчетности</w:t>
      </w:r>
      <w:r w:rsidRPr="008130EA">
        <w:rPr>
          <w:rFonts w:ascii="Times New Roman" w:hAnsi="Times New Roman" w:cs="Times New Roman"/>
          <w:sz w:val="28"/>
          <w:szCs w:val="28"/>
        </w:rPr>
        <w:t>, предполагающего введен</w:t>
      </w:r>
      <w:r>
        <w:rPr>
          <w:rFonts w:ascii="Times New Roman" w:hAnsi="Times New Roman" w:cs="Times New Roman"/>
          <w:sz w:val="28"/>
          <w:szCs w:val="28"/>
        </w:rPr>
        <w:t xml:space="preserve">ие системы оценки эффективности </w:t>
      </w:r>
      <w:r w:rsidRPr="008130EA">
        <w:rPr>
          <w:rFonts w:ascii="Times New Roman" w:hAnsi="Times New Roman" w:cs="Times New Roman"/>
          <w:sz w:val="28"/>
          <w:szCs w:val="28"/>
        </w:rPr>
        <w:t>работы различных подразделений банка и отдельных направлений его деятельности.</w:t>
      </w:r>
    </w:p>
    <w:p w:rsidR="008130EA" w:rsidRPr="008130EA" w:rsidRDefault="008130EA" w:rsidP="008130EA">
      <w:pPr>
        <w:spacing w:after="0" w:line="360" w:lineRule="auto"/>
        <w:ind w:firstLine="709"/>
        <w:jc w:val="both"/>
        <w:rPr>
          <w:rFonts w:ascii="Times New Roman" w:hAnsi="Times New Roman" w:cs="Times New Roman"/>
          <w:sz w:val="28"/>
          <w:szCs w:val="28"/>
        </w:rPr>
      </w:pPr>
      <w:r w:rsidRPr="008130EA">
        <w:rPr>
          <w:rFonts w:ascii="Times New Roman" w:hAnsi="Times New Roman" w:cs="Times New Roman"/>
          <w:sz w:val="28"/>
          <w:szCs w:val="28"/>
        </w:rPr>
        <w:t>Теоретической основой исследования послужили научные труды таких авторов как</w:t>
      </w:r>
      <w:r>
        <w:rPr>
          <w:rFonts w:ascii="Times New Roman" w:hAnsi="Times New Roman" w:cs="Times New Roman"/>
          <w:sz w:val="28"/>
          <w:szCs w:val="28"/>
        </w:rPr>
        <w:t xml:space="preserve"> </w:t>
      </w:r>
      <w:r w:rsidRPr="008130EA">
        <w:rPr>
          <w:rFonts w:ascii="Times New Roman" w:hAnsi="Times New Roman" w:cs="Times New Roman"/>
          <w:sz w:val="28"/>
          <w:szCs w:val="28"/>
        </w:rPr>
        <w:t>Алиев Б.Х., Аликберова А.М., Брусов П.Н., Горемык</w:t>
      </w:r>
      <w:r>
        <w:rPr>
          <w:rFonts w:ascii="Times New Roman" w:hAnsi="Times New Roman" w:cs="Times New Roman"/>
          <w:sz w:val="28"/>
          <w:szCs w:val="28"/>
        </w:rPr>
        <w:t xml:space="preserve">ин В.А., </w:t>
      </w:r>
      <w:r>
        <w:rPr>
          <w:rFonts w:ascii="Times New Roman" w:hAnsi="Times New Roman" w:cs="Times New Roman"/>
          <w:sz w:val="28"/>
          <w:szCs w:val="28"/>
        </w:rPr>
        <w:lastRenderedPageBreak/>
        <w:t xml:space="preserve">Горчаков Н.Н., Екимова </w:t>
      </w:r>
      <w:r w:rsidRPr="008130EA">
        <w:rPr>
          <w:rFonts w:ascii="Times New Roman" w:hAnsi="Times New Roman" w:cs="Times New Roman"/>
          <w:sz w:val="28"/>
          <w:szCs w:val="28"/>
        </w:rPr>
        <w:t>К.В., Незамайкин В.Н., Никитина Е.Б., Османова Х.О., Погодина Т.В., Рогова</w:t>
      </w:r>
      <w:r>
        <w:rPr>
          <w:rFonts w:ascii="Times New Roman" w:hAnsi="Times New Roman" w:cs="Times New Roman"/>
          <w:sz w:val="28"/>
          <w:szCs w:val="28"/>
        </w:rPr>
        <w:t xml:space="preserve"> </w:t>
      </w:r>
      <w:r w:rsidRPr="008130EA">
        <w:rPr>
          <w:rFonts w:ascii="Times New Roman" w:hAnsi="Times New Roman" w:cs="Times New Roman"/>
          <w:sz w:val="28"/>
          <w:szCs w:val="28"/>
        </w:rPr>
        <w:t>Е.М., Синицкая Н.Я., Трясцин П.Ю. и другие ученые.</w:t>
      </w:r>
    </w:p>
    <w:p w:rsidR="008130EA" w:rsidRDefault="008130EA" w:rsidP="008130EA">
      <w:pPr>
        <w:spacing w:after="0" w:line="360" w:lineRule="auto"/>
        <w:ind w:firstLine="709"/>
        <w:jc w:val="both"/>
        <w:rPr>
          <w:rFonts w:ascii="Times New Roman" w:hAnsi="Times New Roman" w:cs="Times New Roman"/>
          <w:sz w:val="28"/>
          <w:szCs w:val="28"/>
        </w:rPr>
      </w:pPr>
      <w:r w:rsidRPr="008130EA">
        <w:rPr>
          <w:rFonts w:ascii="Times New Roman" w:hAnsi="Times New Roman" w:cs="Times New Roman"/>
          <w:sz w:val="28"/>
          <w:szCs w:val="28"/>
        </w:rPr>
        <w:t>Однако в этих трудах недостаточно проработаны</w:t>
      </w:r>
      <w:r>
        <w:rPr>
          <w:rFonts w:ascii="Times New Roman" w:hAnsi="Times New Roman" w:cs="Times New Roman"/>
          <w:sz w:val="28"/>
          <w:szCs w:val="28"/>
        </w:rPr>
        <w:t xml:space="preserve"> подходы и методики организации </w:t>
      </w:r>
      <w:r w:rsidR="002A1669">
        <w:rPr>
          <w:rFonts w:ascii="Times New Roman" w:hAnsi="Times New Roman" w:cs="Times New Roman"/>
          <w:sz w:val="28"/>
          <w:szCs w:val="28"/>
        </w:rPr>
        <w:t xml:space="preserve"> анализа  бухгалтерского баланса </w:t>
      </w:r>
      <w:r w:rsidRPr="008130EA">
        <w:rPr>
          <w:rFonts w:ascii="Times New Roman" w:hAnsi="Times New Roman" w:cs="Times New Roman"/>
          <w:sz w:val="28"/>
          <w:szCs w:val="28"/>
        </w:rPr>
        <w:t xml:space="preserve"> именно в коммерческих банках. Актуальность и слабая</w:t>
      </w:r>
      <w:r>
        <w:rPr>
          <w:rFonts w:ascii="Times New Roman" w:hAnsi="Times New Roman" w:cs="Times New Roman"/>
          <w:sz w:val="28"/>
          <w:szCs w:val="28"/>
        </w:rPr>
        <w:t xml:space="preserve"> </w:t>
      </w:r>
      <w:r w:rsidRPr="008130EA">
        <w:rPr>
          <w:rFonts w:ascii="Times New Roman" w:hAnsi="Times New Roman" w:cs="Times New Roman"/>
          <w:sz w:val="28"/>
          <w:szCs w:val="28"/>
        </w:rPr>
        <w:t xml:space="preserve">разработанность вопросов организации эффективной системы </w:t>
      </w:r>
      <w:r w:rsidR="002A1669">
        <w:rPr>
          <w:rFonts w:ascii="Times New Roman" w:hAnsi="Times New Roman" w:cs="Times New Roman"/>
          <w:sz w:val="28"/>
          <w:szCs w:val="28"/>
        </w:rPr>
        <w:t>анализа финансовой отчетности</w:t>
      </w:r>
      <w:r w:rsidRPr="008130E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8130EA">
        <w:rPr>
          <w:rFonts w:ascii="Times New Roman" w:hAnsi="Times New Roman" w:cs="Times New Roman"/>
          <w:sz w:val="28"/>
          <w:szCs w:val="28"/>
        </w:rPr>
        <w:t>российских коммерческих банках обусловили выбор темы выпускной квалификационной</w:t>
      </w:r>
      <w:r>
        <w:rPr>
          <w:rFonts w:ascii="Times New Roman" w:hAnsi="Times New Roman" w:cs="Times New Roman"/>
          <w:sz w:val="28"/>
          <w:szCs w:val="28"/>
        </w:rPr>
        <w:t xml:space="preserve"> </w:t>
      </w:r>
      <w:r w:rsidRPr="008130EA">
        <w:rPr>
          <w:rFonts w:ascii="Times New Roman" w:hAnsi="Times New Roman" w:cs="Times New Roman"/>
          <w:sz w:val="28"/>
          <w:szCs w:val="28"/>
        </w:rPr>
        <w:t>работы и определили ее структуру.</w:t>
      </w:r>
    </w:p>
    <w:p w:rsidR="008130EA" w:rsidRDefault="008130EA" w:rsidP="008130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исследование методики и техники</w:t>
      </w:r>
      <w:r w:rsidRPr="008130EA">
        <w:rPr>
          <w:rFonts w:ascii="Times New Roman" w:hAnsi="Times New Roman" w:cs="Times New Roman"/>
          <w:sz w:val="28"/>
          <w:szCs w:val="28"/>
        </w:rPr>
        <w:t xml:space="preserve"> составления и анализ финансового состояния на</w:t>
      </w:r>
      <w:r>
        <w:rPr>
          <w:rFonts w:ascii="Times New Roman" w:hAnsi="Times New Roman" w:cs="Times New Roman"/>
          <w:sz w:val="28"/>
          <w:szCs w:val="28"/>
        </w:rPr>
        <w:t xml:space="preserve"> основе бухгалтерского баланса на примере ПАО «Сбербанк».</w:t>
      </w:r>
    </w:p>
    <w:p w:rsidR="008130EA" w:rsidRDefault="008130EA" w:rsidP="008130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поставленной цели в рамках данной работы предлагается решение следующих задач:</w:t>
      </w:r>
    </w:p>
    <w:p w:rsidR="008130EA" w:rsidRDefault="008130EA" w:rsidP="008130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изучение понятия  бухгалтерского баланса банка;</w:t>
      </w:r>
    </w:p>
    <w:p w:rsidR="008130EA" w:rsidRDefault="008130EA" w:rsidP="008130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техники </w:t>
      </w:r>
      <w:r w:rsidRPr="008130EA">
        <w:rPr>
          <w:rFonts w:ascii="Times New Roman" w:hAnsi="Times New Roman" w:cs="Times New Roman"/>
          <w:sz w:val="28"/>
          <w:szCs w:val="28"/>
        </w:rPr>
        <w:t>формирования показател</w:t>
      </w:r>
      <w:r>
        <w:rPr>
          <w:rFonts w:ascii="Times New Roman" w:hAnsi="Times New Roman" w:cs="Times New Roman"/>
          <w:sz w:val="28"/>
          <w:szCs w:val="28"/>
        </w:rPr>
        <w:t>ей бухгалтерского баланса банка;</w:t>
      </w:r>
    </w:p>
    <w:p w:rsidR="008130EA" w:rsidRDefault="008130EA" w:rsidP="008130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методики </w:t>
      </w:r>
      <w:r w:rsidRPr="008130EA">
        <w:rPr>
          <w:rFonts w:ascii="Times New Roman" w:hAnsi="Times New Roman" w:cs="Times New Roman"/>
          <w:sz w:val="28"/>
          <w:szCs w:val="28"/>
        </w:rPr>
        <w:t>анализа финансовых показателей на базе бухгалтерского бала</w:t>
      </w:r>
      <w:r>
        <w:rPr>
          <w:rFonts w:ascii="Times New Roman" w:hAnsi="Times New Roman" w:cs="Times New Roman"/>
          <w:sz w:val="28"/>
          <w:szCs w:val="28"/>
        </w:rPr>
        <w:t>нса банка;</w:t>
      </w:r>
    </w:p>
    <w:p w:rsidR="008130EA" w:rsidRDefault="008130EA" w:rsidP="005E3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FDF">
        <w:rPr>
          <w:rFonts w:ascii="Times New Roman" w:hAnsi="Times New Roman" w:cs="Times New Roman"/>
          <w:sz w:val="28"/>
          <w:szCs w:val="28"/>
        </w:rPr>
        <w:t xml:space="preserve">исследование техники </w:t>
      </w:r>
      <w:r w:rsidRPr="008130EA">
        <w:rPr>
          <w:rFonts w:ascii="Times New Roman" w:hAnsi="Times New Roman" w:cs="Times New Roman"/>
          <w:sz w:val="28"/>
          <w:szCs w:val="28"/>
        </w:rPr>
        <w:t>формиро</w:t>
      </w:r>
      <w:r w:rsidR="005E3FDF">
        <w:rPr>
          <w:rFonts w:ascii="Times New Roman" w:hAnsi="Times New Roman" w:cs="Times New Roman"/>
          <w:sz w:val="28"/>
          <w:szCs w:val="28"/>
        </w:rPr>
        <w:t>вания показателей баланса ПАО «Сбербанка»;</w:t>
      </w:r>
    </w:p>
    <w:p w:rsidR="008130EA" w:rsidRDefault="005E3FDF" w:rsidP="008130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008130EA" w:rsidRPr="008130EA">
        <w:rPr>
          <w:rFonts w:ascii="Times New Roman" w:hAnsi="Times New Roman" w:cs="Times New Roman"/>
          <w:sz w:val="28"/>
          <w:szCs w:val="28"/>
        </w:rPr>
        <w:t>нализ финансо</w:t>
      </w:r>
      <w:r>
        <w:rPr>
          <w:rFonts w:ascii="Times New Roman" w:hAnsi="Times New Roman" w:cs="Times New Roman"/>
          <w:sz w:val="28"/>
          <w:szCs w:val="28"/>
        </w:rPr>
        <w:t>вого состояния ПАО «Сбербанка»;</w:t>
      </w:r>
    </w:p>
    <w:p w:rsidR="008130EA" w:rsidRDefault="005E3FDF" w:rsidP="005E3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разработка путей </w:t>
      </w:r>
      <w:r w:rsidR="008130EA" w:rsidRPr="008130EA">
        <w:rPr>
          <w:rFonts w:ascii="Times New Roman" w:hAnsi="Times New Roman" w:cs="Times New Roman"/>
          <w:sz w:val="28"/>
          <w:szCs w:val="28"/>
        </w:rPr>
        <w:t>улучше</w:t>
      </w:r>
      <w:r>
        <w:rPr>
          <w:rFonts w:ascii="Times New Roman" w:hAnsi="Times New Roman" w:cs="Times New Roman"/>
          <w:sz w:val="28"/>
          <w:szCs w:val="28"/>
        </w:rPr>
        <w:t>ния финансового состояния ПАО «Сбербанк»;</w:t>
      </w:r>
    </w:p>
    <w:p w:rsidR="008130EA" w:rsidRDefault="005E3FDF" w:rsidP="005E3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разработка предложений </w:t>
      </w:r>
      <w:r w:rsidR="008130EA" w:rsidRPr="008130EA">
        <w:rPr>
          <w:rFonts w:ascii="Times New Roman" w:hAnsi="Times New Roman" w:cs="Times New Roman"/>
          <w:sz w:val="28"/>
          <w:szCs w:val="28"/>
        </w:rPr>
        <w:t>по совершенствованию показателей бухгалтерского баланса банка</w:t>
      </w:r>
      <w:r>
        <w:rPr>
          <w:rFonts w:ascii="Times New Roman" w:hAnsi="Times New Roman" w:cs="Times New Roman"/>
          <w:sz w:val="28"/>
          <w:szCs w:val="28"/>
        </w:rPr>
        <w:t>.</w:t>
      </w:r>
    </w:p>
    <w:p w:rsidR="005E3FDF" w:rsidRDefault="005E3FDF" w:rsidP="005E3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 работе выступает ПАО «Сбербанк».</w:t>
      </w:r>
    </w:p>
    <w:p w:rsidR="005E3FDF" w:rsidRDefault="005E3FDF" w:rsidP="005E3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исследования в работе является формы отчетности, а именно бухгалтерский баланс.</w:t>
      </w:r>
    </w:p>
    <w:p w:rsidR="005322BC" w:rsidRPr="005322BC" w:rsidRDefault="005322BC" w:rsidP="005322BC">
      <w:pPr>
        <w:spacing w:after="0" w:line="360" w:lineRule="auto"/>
        <w:ind w:firstLine="709"/>
        <w:jc w:val="both"/>
        <w:rPr>
          <w:rFonts w:ascii="Times New Roman" w:hAnsi="Times New Roman" w:cs="Times New Roman"/>
          <w:sz w:val="28"/>
          <w:szCs w:val="28"/>
        </w:rPr>
      </w:pPr>
      <w:r w:rsidRPr="005322BC">
        <w:rPr>
          <w:rFonts w:ascii="Times New Roman" w:hAnsi="Times New Roman" w:cs="Times New Roman"/>
          <w:sz w:val="28"/>
          <w:szCs w:val="28"/>
        </w:rPr>
        <w:t xml:space="preserve">Теоретической и методологической основой </w:t>
      </w:r>
      <w:r w:rsidR="002A1669">
        <w:rPr>
          <w:rFonts w:ascii="Times New Roman" w:hAnsi="Times New Roman" w:cs="Times New Roman"/>
          <w:sz w:val="28"/>
          <w:szCs w:val="28"/>
        </w:rPr>
        <w:t>данной</w:t>
      </w:r>
      <w:r w:rsidRPr="005322BC">
        <w:rPr>
          <w:rFonts w:ascii="Times New Roman" w:hAnsi="Times New Roman" w:cs="Times New Roman"/>
          <w:sz w:val="28"/>
          <w:szCs w:val="28"/>
        </w:rPr>
        <w:t xml:space="preserve"> работы стали труды ведущих отечественных и зарубежных специалистов, раскрывающие закономерность развития рыночной экономики, основы организации проведения депозитных операций и управления деятельностью коммерческого банка, экономические и организационные аспекты формирования депозитной политики. </w:t>
      </w:r>
    </w:p>
    <w:p w:rsidR="005322BC" w:rsidRPr="005322BC" w:rsidRDefault="005322BC" w:rsidP="005322BC">
      <w:pPr>
        <w:spacing w:after="0" w:line="360" w:lineRule="auto"/>
        <w:ind w:firstLine="709"/>
        <w:jc w:val="both"/>
        <w:rPr>
          <w:rFonts w:ascii="Times New Roman" w:hAnsi="Times New Roman" w:cs="Times New Roman"/>
          <w:sz w:val="28"/>
          <w:szCs w:val="28"/>
        </w:rPr>
      </w:pPr>
      <w:r w:rsidRPr="005322BC">
        <w:rPr>
          <w:rFonts w:ascii="Times New Roman" w:hAnsi="Times New Roman" w:cs="Times New Roman"/>
          <w:sz w:val="28"/>
          <w:szCs w:val="28"/>
        </w:rPr>
        <w:t>В работе использовались федеральные законы, нормативно-правовые акты Российской Федерации, касающиеся деятельности коммерческих банков, материалы научных конференций и семинаров по изучаемой тематике, материалы периодических изданий, данные публикуемой и бух</w:t>
      </w:r>
      <w:r w:rsidR="002A1669">
        <w:rPr>
          <w:rFonts w:ascii="Times New Roman" w:hAnsi="Times New Roman" w:cs="Times New Roman"/>
          <w:sz w:val="28"/>
          <w:szCs w:val="28"/>
        </w:rPr>
        <w:t>галтерской отчетности ПАО «Сбербанк»</w:t>
      </w:r>
      <w:r w:rsidRPr="005322BC">
        <w:rPr>
          <w:rFonts w:ascii="Times New Roman" w:hAnsi="Times New Roman" w:cs="Times New Roman"/>
          <w:sz w:val="28"/>
          <w:szCs w:val="28"/>
        </w:rPr>
        <w:t xml:space="preserve">, а также информация официальных сайтов по вопросам социально-экономического развития Российской Федерации, банковской деятельности в сети Интернет. </w:t>
      </w:r>
    </w:p>
    <w:p w:rsidR="005322BC" w:rsidRPr="005322BC" w:rsidRDefault="005322BC" w:rsidP="005322BC">
      <w:pPr>
        <w:spacing w:after="0" w:line="360" w:lineRule="auto"/>
        <w:ind w:firstLine="709"/>
        <w:jc w:val="both"/>
        <w:rPr>
          <w:rFonts w:ascii="Times New Roman" w:hAnsi="Times New Roman" w:cs="Times New Roman"/>
          <w:sz w:val="28"/>
          <w:szCs w:val="28"/>
        </w:rPr>
      </w:pPr>
      <w:r w:rsidRPr="005322BC">
        <w:rPr>
          <w:rFonts w:ascii="Times New Roman" w:hAnsi="Times New Roman" w:cs="Times New Roman"/>
          <w:sz w:val="28"/>
          <w:szCs w:val="28"/>
        </w:rPr>
        <w:t>Исследование базируется на применении аналитических выборок, а также на использовании метода группировки, стоимостного и сравнительного анализа по динамическому состоянию изучаемых показателей.</w:t>
      </w:r>
    </w:p>
    <w:p w:rsidR="005E3FDF" w:rsidRDefault="005322BC" w:rsidP="005E3FDF">
      <w:pPr>
        <w:spacing w:after="0" w:line="360" w:lineRule="auto"/>
        <w:ind w:firstLine="709"/>
        <w:jc w:val="both"/>
        <w:rPr>
          <w:rFonts w:ascii="Times New Roman" w:hAnsi="Times New Roman" w:cs="Times New Roman"/>
          <w:sz w:val="28"/>
          <w:szCs w:val="28"/>
        </w:rPr>
      </w:pPr>
      <w:r w:rsidRPr="005322BC">
        <w:rPr>
          <w:rFonts w:ascii="Times New Roman" w:hAnsi="Times New Roman" w:cs="Times New Roman"/>
          <w:sz w:val="28"/>
          <w:szCs w:val="28"/>
        </w:rPr>
        <w:t>Научная новизна полученных результатов заключается в</w:t>
      </w:r>
      <w:r w:rsidR="002A1669">
        <w:rPr>
          <w:rFonts w:ascii="Times New Roman" w:hAnsi="Times New Roman" w:cs="Times New Roman"/>
          <w:sz w:val="28"/>
          <w:szCs w:val="28"/>
        </w:rPr>
        <w:t xml:space="preserve"> разработке предложений </w:t>
      </w:r>
      <w:r w:rsidRPr="005322BC">
        <w:rPr>
          <w:rFonts w:ascii="Times New Roman" w:hAnsi="Times New Roman" w:cs="Times New Roman"/>
          <w:sz w:val="28"/>
          <w:szCs w:val="28"/>
        </w:rPr>
        <w:t xml:space="preserve"> </w:t>
      </w:r>
      <w:r w:rsidR="002A1669" w:rsidRPr="002A1669">
        <w:rPr>
          <w:rFonts w:ascii="Times New Roman" w:hAnsi="Times New Roman" w:cs="Times New Roman"/>
          <w:sz w:val="28"/>
          <w:szCs w:val="28"/>
        </w:rPr>
        <w:t>по совершенствованию показателей бухгалтерского баланса банка</w:t>
      </w:r>
      <w:r w:rsidR="002A1669">
        <w:rPr>
          <w:rFonts w:ascii="Times New Roman" w:hAnsi="Times New Roman" w:cs="Times New Roman"/>
          <w:sz w:val="28"/>
          <w:szCs w:val="28"/>
        </w:rPr>
        <w:t>.</w:t>
      </w:r>
    </w:p>
    <w:p w:rsidR="002A1669" w:rsidRPr="008130EA" w:rsidRDefault="002A1669" w:rsidP="005E3FDF">
      <w:pPr>
        <w:spacing w:after="0" w:line="360" w:lineRule="auto"/>
        <w:ind w:firstLine="709"/>
        <w:jc w:val="both"/>
        <w:rPr>
          <w:rFonts w:ascii="Times New Roman" w:hAnsi="Times New Roman" w:cs="Times New Roman"/>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FC52F1" w:rsidRDefault="00FC52F1" w:rsidP="009D16B8">
      <w:pPr>
        <w:rPr>
          <w:rFonts w:ascii="Times New Roman" w:hAnsi="Times New Roman" w:cs="Times New Roman"/>
          <w:b/>
          <w:sz w:val="28"/>
          <w:szCs w:val="28"/>
        </w:rPr>
      </w:pPr>
    </w:p>
    <w:p w:rsidR="009D16B8" w:rsidRPr="00780AC5" w:rsidRDefault="009D16B8" w:rsidP="009D16B8">
      <w:pPr>
        <w:rPr>
          <w:rFonts w:ascii="Times New Roman" w:hAnsi="Times New Roman" w:cs="Times New Roman"/>
          <w:b/>
          <w:sz w:val="28"/>
          <w:szCs w:val="28"/>
        </w:rPr>
      </w:pPr>
      <w:r w:rsidRPr="00780AC5">
        <w:rPr>
          <w:rFonts w:ascii="Times New Roman" w:hAnsi="Times New Roman" w:cs="Times New Roman"/>
          <w:b/>
          <w:sz w:val="28"/>
          <w:szCs w:val="28"/>
        </w:rPr>
        <w:t xml:space="preserve">Глава 1. Бухгалтерский баланс как информационный источник анализа финансового состояния банка </w:t>
      </w:r>
    </w:p>
    <w:p w:rsidR="009D16B8" w:rsidRPr="00780AC5" w:rsidRDefault="009D16B8" w:rsidP="009D16B8">
      <w:pPr>
        <w:rPr>
          <w:rFonts w:ascii="Times New Roman" w:hAnsi="Times New Roman" w:cs="Times New Roman"/>
          <w:b/>
          <w:sz w:val="28"/>
          <w:szCs w:val="28"/>
        </w:rPr>
      </w:pPr>
      <w:r w:rsidRPr="00780AC5">
        <w:rPr>
          <w:rFonts w:ascii="Times New Roman" w:hAnsi="Times New Roman" w:cs="Times New Roman"/>
          <w:b/>
          <w:sz w:val="28"/>
          <w:szCs w:val="28"/>
        </w:rPr>
        <w:t xml:space="preserve">1.1. Понятие бухгалтерского баланса банка </w:t>
      </w:r>
    </w:p>
    <w:p w:rsidR="009D16B8" w:rsidRDefault="009D16B8">
      <w:pPr>
        <w:rPr>
          <w:rFonts w:ascii="Times New Roman" w:hAnsi="Times New Roman" w:cs="Times New Roman"/>
          <w:sz w:val="28"/>
          <w:szCs w:val="28"/>
        </w:rPr>
      </w:pP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«Бухгалтерская отчетность - это единая система данных об имущественном и финансовом состоянии организации и о результатах ее хозяйственной деятельности, составляемая на основе данных бухгалтерского учета по установленным формам на отчетную дату». Такое определение бухгалтерской отчетности дают большинство Российских авторов. Это и Г. М. Лисович, и Р. З. Тумасян, и Е. А. Мезиковский.</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По мнению Я. В. Соколова «бухгалтерская отчетность - это система учетных показателей, отражающих хозяйственную деятельность фирмы за определенный период».</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Б. Нидлз дает следующее определение: «финансовые отчеты (financial statements) - это модели хозяйствующей единицы».</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«Бухгалтерская отчетность - это единая система учетных данных об имуществе, обязательствах, а также результатах хозяйственной деятельности, составляемых на основе данных бухгалтерского учета по установленным формам». «Отчетность предприятия является логическим продолжением процедур финансового учета и представляет собой систему показателей, характеризующих имущественное и финансовое положение организации на отчетную дату».</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При составлении бухгалтерской отчетности должны соблюдаться следующие основные принципы:</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надежность и полнота определяется достоверностью, гарантирующей ее пользователям отсутствие существенных ошибок и искажений;</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lastRenderedPageBreak/>
        <w:t>-</w:t>
      </w:r>
      <w:r w:rsidRPr="00A036CD">
        <w:rPr>
          <w:rFonts w:ascii="Times New Roman" w:hAnsi="Times New Roman" w:cs="Times New Roman"/>
          <w:sz w:val="28"/>
          <w:szCs w:val="28"/>
        </w:rPr>
        <w:tab/>
        <w:t>нейтральность обеспечивается нейтральностью информации, содержащейся в ней, то есть объективной в отношении к различным пользователям;</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сопоставимость данных отчетности обеспечивается при</w:t>
      </w:r>
      <w:r>
        <w:rPr>
          <w:rFonts w:ascii="Times New Roman" w:hAnsi="Times New Roman" w:cs="Times New Roman"/>
          <w:sz w:val="28"/>
          <w:szCs w:val="28"/>
        </w:rPr>
        <w:t xml:space="preserve"> </w:t>
      </w:r>
      <w:r w:rsidRPr="00A036CD">
        <w:rPr>
          <w:rFonts w:ascii="Times New Roman" w:hAnsi="Times New Roman" w:cs="Times New Roman"/>
          <w:sz w:val="28"/>
          <w:szCs w:val="28"/>
        </w:rPr>
        <w:t>соблюдении стабильной учетной политики, которая не будет подвергаться изменениям без явной необходимости;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 существенность отчетной информации предполагает отражение в отчетности всех достаточно значимых данных».</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Одним из непременных требований к бухгалтерской отчетности в условиях рыночной экономики является ее открытость для всех заинтересованных пользователей.</w:t>
      </w:r>
    </w:p>
    <w:p w:rsid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Круг пользователей бухгалтерской отчетности очень широк. Это и руководители организации, и акционеры, и кредиторы, а также коммерческие партнеры, налоговые органы, государственные органы управления, работники организации, финансовые аналитики и консультанты. Основные группы пользователей финансовой ин</w:t>
      </w:r>
      <w:r w:rsidR="00E17FE7">
        <w:rPr>
          <w:rFonts w:ascii="Times New Roman" w:hAnsi="Times New Roman" w:cs="Times New Roman"/>
          <w:sz w:val="28"/>
          <w:szCs w:val="28"/>
        </w:rPr>
        <w:t>формации представлены в таблице 1.1.</w:t>
      </w:r>
    </w:p>
    <w:p w:rsidR="00E17FE7" w:rsidRPr="00A036CD" w:rsidRDefault="00E17FE7" w:rsidP="00A036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1.1. - </w:t>
      </w:r>
      <w:r w:rsidRPr="00E17FE7">
        <w:rPr>
          <w:rFonts w:ascii="Times New Roman" w:hAnsi="Times New Roman" w:cs="Times New Roman"/>
          <w:sz w:val="28"/>
          <w:szCs w:val="28"/>
        </w:rPr>
        <w:t>Основные группы показателей финансовой информации</w:t>
      </w:r>
    </w:p>
    <w:p w:rsidR="00A036CD" w:rsidRPr="00A036CD" w:rsidRDefault="00A036CD" w:rsidP="00A036CD">
      <w:pPr>
        <w:spacing w:after="0" w:line="240" w:lineRule="auto"/>
        <w:rPr>
          <w:rFonts w:ascii="Times New Roman" w:eastAsia="Times New Roman" w:hAnsi="Times New Roman" w:cs="Times New Roman"/>
          <w:sz w:val="24"/>
          <w:szCs w:val="24"/>
          <w:lang w:eastAsia="ru-RU"/>
        </w:rPr>
      </w:pPr>
    </w:p>
    <w:tbl>
      <w:tblPr>
        <w:tblW w:w="0" w:type="auto"/>
        <w:jc w:val="center"/>
        <w:tblInd w:w="5" w:type="dxa"/>
        <w:tblLayout w:type="fixed"/>
        <w:tblCellMar>
          <w:left w:w="0" w:type="dxa"/>
          <w:right w:w="0" w:type="dxa"/>
        </w:tblCellMar>
        <w:tblLook w:val="0000"/>
      </w:tblPr>
      <w:tblGrid>
        <w:gridCol w:w="1565"/>
        <w:gridCol w:w="2251"/>
        <w:gridCol w:w="3240"/>
        <w:gridCol w:w="2040"/>
      </w:tblGrid>
      <w:tr w:rsidR="00A036CD" w:rsidRPr="00A036CD" w:rsidTr="00E17FE7">
        <w:trPr>
          <w:trHeight w:val="922"/>
          <w:jc w:val="center"/>
        </w:trPr>
        <w:tc>
          <w:tcPr>
            <w:tcW w:w="3816" w:type="dxa"/>
            <w:gridSpan w:val="2"/>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40" w:lineRule="auto"/>
              <w:ind w:left="116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Государство</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302" w:lineRule="exact"/>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Общество (внешние заин</w:t>
            </w:r>
            <w:r w:rsidRPr="00A036CD">
              <w:rPr>
                <w:rFonts w:ascii="Times New Roman" w:eastAsia="Times New Roman" w:hAnsi="Times New Roman" w:cs="Times New Roman"/>
                <w:sz w:val="27"/>
                <w:szCs w:val="27"/>
                <w:lang w:eastAsia="ru-RU"/>
              </w:rPr>
              <w:softHyphen/>
              <w:t>тересованные лица)</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298" w:lineRule="exact"/>
              <w:ind w:right="160"/>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Заинтересован</w:t>
            </w:r>
            <w:r w:rsidRPr="00A036CD">
              <w:rPr>
                <w:rFonts w:ascii="Times New Roman" w:eastAsia="Times New Roman" w:hAnsi="Times New Roman" w:cs="Times New Roman"/>
                <w:sz w:val="27"/>
                <w:szCs w:val="27"/>
                <w:lang w:eastAsia="ru-RU"/>
              </w:rPr>
              <w:softHyphen/>
              <w:t>ные лица внутри организации</w:t>
            </w:r>
          </w:p>
        </w:tc>
      </w:tr>
      <w:tr w:rsidR="00A036CD" w:rsidRPr="00A036CD" w:rsidTr="00E17FE7">
        <w:trPr>
          <w:trHeight w:val="917"/>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302" w:lineRule="exact"/>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Финансовые органы</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98" w:lineRule="exact"/>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Органы управле</w:t>
            </w:r>
            <w:r w:rsidRPr="00A036CD">
              <w:rPr>
                <w:rFonts w:ascii="Times New Roman" w:eastAsia="Times New Roman" w:hAnsi="Times New Roman" w:cs="Times New Roman"/>
                <w:sz w:val="27"/>
                <w:szCs w:val="27"/>
                <w:lang w:eastAsia="ru-RU"/>
              </w:rPr>
              <w:softHyphen/>
              <w:t>ния экономикой</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302" w:lineRule="exact"/>
              <w:ind w:left="166" w:right="97"/>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Инвесторы, кредиторы, работники организации, контрагенты, профсоюзы</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302" w:lineRule="exact"/>
              <w:ind w:left="45" w:right="160"/>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Менеджмент, собственники</w:t>
            </w:r>
          </w:p>
        </w:tc>
      </w:tr>
      <w:tr w:rsidR="00A036CD" w:rsidRPr="00A036CD" w:rsidTr="00E17FE7">
        <w:trPr>
          <w:trHeight w:val="624"/>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98" w:lineRule="exact"/>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Налоговая отчетность</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302" w:lineRule="exact"/>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Статистическая отчетность</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240" w:lineRule="auto"/>
              <w:ind w:left="166" w:right="97"/>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Финансовая отчетность</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298" w:lineRule="exact"/>
              <w:ind w:left="45" w:right="160"/>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Управленческая отчетность</w:t>
            </w:r>
          </w:p>
        </w:tc>
      </w:tr>
    </w:tbl>
    <w:p w:rsidR="00E17FE7" w:rsidRDefault="00E17FE7" w:rsidP="00E17FE7">
      <w:pPr>
        <w:spacing w:after="0" w:line="360" w:lineRule="auto"/>
        <w:ind w:left="40" w:right="40" w:firstLine="669"/>
        <w:jc w:val="both"/>
        <w:rPr>
          <w:rFonts w:ascii="Times New Roman" w:eastAsia="Times New Roman" w:hAnsi="Times New Roman" w:cs="Times New Roman"/>
          <w:sz w:val="28"/>
          <w:szCs w:val="28"/>
          <w:lang w:eastAsia="ru-RU"/>
        </w:rPr>
      </w:pPr>
    </w:p>
    <w:p w:rsidR="00A036CD" w:rsidRPr="00AD52E7" w:rsidRDefault="00A036CD" w:rsidP="00E17FE7">
      <w:pPr>
        <w:spacing w:after="0" w:line="360" w:lineRule="auto"/>
        <w:ind w:left="40" w:right="40" w:firstLine="669"/>
        <w:jc w:val="both"/>
        <w:rPr>
          <w:rFonts w:ascii="Times New Roman" w:eastAsia="Times New Roman" w:hAnsi="Times New Roman" w:cs="Times New Roman"/>
          <w:sz w:val="28"/>
          <w:szCs w:val="28"/>
          <w:lang w:eastAsia="ru-RU"/>
        </w:rPr>
      </w:pPr>
      <w:r w:rsidRPr="00AD52E7">
        <w:rPr>
          <w:rFonts w:ascii="Times New Roman" w:eastAsia="Times New Roman" w:hAnsi="Times New Roman" w:cs="Times New Roman"/>
          <w:sz w:val="28"/>
          <w:szCs w:val="28"/>
          <w:lang w:eastAsia="ru-RU"/>
        </w:rPr>
        <w:lastRenderedPageBreak/>
        <w:t>В соответствии с Федеральным законом «О бухгалтерском учете» от 06. 10. 12 № 402-ФЗ и ПБУ 4/99 «Бухгалтерская отчетность организации», а также с приказом Минфина России «О формах бухгалтерской отчетности организации» в состав бухгалтерской отчетности включаются:</w:t>
      </w:r>
    </w:p>
    <w:p w:rsidR="00A036CD" w:rsidRPr="00AD52E7" w:rsidRDefault="00A036CD" w:rsidP="00E17FE7">
      <w:pPr>
        <w:numPr>
          <w:ilvl w:val="0"/>
          <w:numId w:val="1"/>
        </w:numPr>
        <w:tabs>
          <w:tab w:val="left" w:pos="854"/>
        </w:tabs>
        <w:spacing w:after="0" w:line="360" w:lineRule="auto"/>
        <w:ind w:left="40" w:firstLine="669"/>
        <w:jc w:val="both"/>
        <w:rPr>
          <w:rFonts w:ascii="Times New Roman" w:eastAsia="Times New Roman" w:hAnsi="Times New Roman" w:cs="Times New Roman"/>
          <w:sz w:val="28"/>
          <w:szCs w:val="28"/>
          <w:lang w:eastAsia="ru-RU"/>
        </w:rPr>
      </w:pPr>
      <w:r w:rsidRPr="00AD52E7">
        <w:rPr>
          <w:rFonts w:ascii="Times New Roman" w:eastAsia="Times New Roman" w:hAnsi="Times New Roman" w:cs="Times New Roman"/>
          <w:sz w:val="28"/>
          <w:szCs w:val="28"/>
          <w:lang w:eastAsia="ru-RU"/>
        </w:rPr>
        <w:t>Бухгалтерский баланс;</w:t>
      </w:r>
    </w:p>
    <w:p w:rsidR="00A036CD" w:rsidRPr="00AD52E7" w:rsidRDefault="00A036CD" w:rsidP="00E17FE7">
      <w:pPr>
        <w:numPr>
          <w:ilvl w:val="0"/>
          <w:numId w:val="1"/>
        </w:numPr>
        <w:tabs>
          <w:tab w:val="left" w:pos="859"/>
        </w:tabs>
        <w:spacing w:after="0" w:line="360" w:lineRule="auto"/>
        <w:ind w:left="40" w:firstLine="669"/>
        <w:jc w:val="both"/>
        <w:rPr>
          <w:rFonts w:ascii="Times New Roman" w:eastAsia="Times New Roman" w:hAnsi="Times New Roman" w:cs="Times New Roman"/>
          <w:sz w:val="28"/>
          <w:szCs w:val="28"/>
          <w:lang w:eastAsia="ru-RU"/>
        </w:rPr>
      </w:pPr>
      <w:r w:rsidRPr="00AD52E7">
        <w:rPr>
          <w:rFonts w:ascii="Times New Roman" w:eastAsia="Times New Roman" w:hAnsi="Times New Roman" w:cs="Times New Roman"/>
          <w:sz w:val="28"/>
          <w:szCs w:val="28"/>
          <w:lang w:eastAsia="ru-RU"/>
        </w:rPr>
        <w:t>Отчет о прибылях и убытках;</w:t>
      </w:r>
    </w:p>
    <w:p w:rsidR="00A036CD" w:rsidRPr="00AD52E7" w:rsidRDefault="00A036CD" w:rsidP="00E17FE7">
      <w:pPr>
        <w:numPr>
          <w:ilvl w:val="0"/>
          <w:numId w:val="1"/>
        </w:numPr>
        <w:tabs>
          <w:tab w:val="left" w:pos="859"/>
        </w:tabs>
        <w:spacing w:after="0" w:line="360" w:lineRule="auto"/>
        <w:ind w:left="40" w:firstLine="669"/>
        <w:jc w:val="both"/>
        <w:rPr>
          <w:rFonts w:ascii="Times New Roman" w:eastAsia="Times New Roman" w:hAnsi="Times New Roman" w:cs="Times New Roman"/>
          <w:sz w:val="28"/>
          <w:szCs w:val="28"/>
          <w:lang w:eastAsia="ru-RU"/>
        </w:rPr>
      </w:pPr>
      <w:r w:rsidRPr="00AD52E7">
        <w:rPr>
          <w:rFonts w:ascii="Times New Roman" w:eastAsia="Times New Roman" w:hAnsi="Times New Roman" w:cs="Times New Roman"/>
          <w:sz w:val="28"/>
          <w:szCs w:val="28"/>
          <w:lang w:eastAsia="ru-RU"/>
        </w:rPr>
        <w:t>Отчет об изменениях капитала;</w:t>
      </w:r>
    </w:p>
    <w:p w:rsidR="00A036CD" w:rsidRPr="00AD52E7" w:rsidRDefault="00A036CD" w:rsidP="00E17FE7">
      <w:pPr>
        <w:numPr>
          <w:ilvl w:val="0"/>
          <w:numId w:val="1"/>
        </w:numPr>
        <w:tabs>
          <w:tab w:val="left" w:pos="859"/>
        </w:tabs>
        <w:spacing w:after="0" w:line="360" w:lineRule="auto"/>
        <w:ind w:left="40" w:firstLine="669"/>
        <w:jc w:val="both"/>
        <w:rPr>
          <w:rFonts w:ascii="Times New Roman" w:eastAsia="Times New Roman" w:hAnsi="Times New Roman" w:cs="Times New Roman"/>
          <w:sz w:val="28"/>
          <w:szCs w:val="28"/>
          <w:lang w:eastAsia="ru-RU"/>
        </w:rPr>
      </w:pPr>
      <w:r w:rsidRPr="00AD52E7">
        <w:rPr>
          <w:rFonts w:ascii="Times New Roman" w:eastAsia="Times New Roman" w:hAnsi="Times New Roman" w:cs="Times New Roman"/>
          <w:sz w:val="28"/>
          <w:szCs w:val="28"/>
          <w:lang w:eastAsia="ru-RU"/>
        </w:rPr>
        <w:t>Отчет о движении денежных средств;</w:t>
      </w:r>
    </w:p>
    <w:p w:rsidR="00A036CD" w:rsidRPr="00AD52E7" w:rsidRDefault="00A036CD" w:rsidP="00E17FE7">
      <w:pPr>
        <w:spacing w:after="0" w:line="360" w:lineRule="auto"/>
        <w:ind w:left="40" w:firstLine="669"/>
        <w:jc w:val="both"/>
        <w:rPr>
          <w:rFonts w:ascii="Times New Roman" w:hAnsi="Times New Roman" w:cs="Times New Roman"/>
          <w:sz w:val="28"/>
          <w:szCs w:val="28"/>
        </w:rPr>
      </w:pPr>
      <w:r w:rsidRPr="00AD52E7">
        <w:rPr>
          <w:rFonts w:ascii="Times New Roman" w:hAnsi="Times New Roman" w:cs="Times New Roman"/>
          <w:sz w:val="28"/>
          <w:szCs w:val="28"/>
        </w:rPr>
        <w:t>-</w:t>
      </w:r>
      <w:r w:rsidRPr="00AD52E7">
        <w:rPr>
          <w:rFonts w:ascii="Times New Roman" w:hAnsi="Times New Roman" w:cs="Times New Roman"/>
          <w:sz w:val="28"/>
          <w:szCs w:val="28"/>
        </w:rPr>
        <w:tab/>
        <w:t>Пояснение к бухгалтерскому балансу;</w:t>
      </w:r>
    </w:p>
    <w:p w:rsidR="00A036CD" w:rsidRPr="00AD52E7" w:rsidRDefault="00A036CD" w:rsidP="00E17FE7">
      <w:pPr>
        <w:spacing w:after="0" w:line="360" w:lineRule="auto"/>
        <w:ind w:left="40" w:firstLine="669"/>
        <w:jc w:val="both"/>
        <w:rPr>
          <w:rFonts w:ascii="Times New Roman" w:hAnsi="Times New Roman" w:cs="Times New Roman"/>
          <w:sz w:val="28"/>
          <w:szCs w:val="28"/>
        </w:rPr>
      </w:pPr>
      <w:r w:rsidRPr="00AD52E7">
        <w:rPr>
          <w:rFonts w:ascii="Times New Roman" w:hAnsi="Times New Roman" w:cs="Times New Roman"/>
          <w:sz w:val="28"/>
          <w:szCs w:val="28"/>
        </w:rPr>
        <w:t>-</w:t>
      </w:r>
      <w:r w:rsidRPr="00AD52E7">
        <w:rPr>
          <w:rFonts w:ascii="Times New Roman" w:hAnsi="Times New Roman" w:cs="Times New Roman"/>
          <w:sz w:val="28"/>
          <w:szCs w:val="28"/>
        </w:rPr>
        <w:tab/>
        <w:t>Отчет о целевом использовании полученных средств.</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D52E7">
        <w:rPr>
          <w:rFonts w:ascii="Times New Roman" w:hAnsi="Times New Roman" w:cs="Times New Roman"/>
          <w:sz w:val="28"/>
          <w:szCs w:val="28"/>
        </w:rPr>
        <w:t>«Баланс (от лат. дважды и lanx-чаша весов) может быть определен</w:t>
      </w:r>
      <w:r w:rsidRPr="00A036CD">
        <w:rPr>
          <w:rFonts w:ascii="Times New Roman" w:hAnsi="Times New Roman" w:cs="Times New Roman"/>
          <w:sz w:val="28"/>
          <w:szCs w:val="28"/>
        </w:rPr>
        <w:t xml:space="preserve"> как перечень остатков по счетам на определенную дату».</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По мнению В. В. Антипят «Бухгалтерский баланс - это сгруппированный в определенном порядке и обобщенные сведения о величине средств организации на конкретный момент времени».</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М. И. Кутер утверждает, что «бухгалтерский баланс представляет сведения об экономических ресурсах (актив) и источниках их привлечения (пассив) и позволяет оценить имущественное положение организации, ее платежеспособность и финансовую независимость от кредиторов».</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По мнению Е. А. Мезиковского «бухгалтерский баланс -элемент метода бухгалтерского учета, представляющий экономическую группировку имущества по составу и размещению и источникам его формирования на определенную отчетную дату».</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В бухгалтерском учете слово «баланс» имеет двоякое значение:</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lastRenderedPageBreak/>
        <w:t>-</w:t>
      </w:r>
      <w:r w:rsidRPr="00A036CD">
        <w:rPr>
          <w:rFonts w:ascii="Times New Roman" w:hAnsi="Times New Roman" w:cs="Times New Roman"/>
          <w:sz w:val="28"/>
          <w:szCs w:val="28"/>
        </w:rPr>
        <w:tab/>
        <w:t>наиболее важная форма бухгалтерской отчетности, показывающая состояние средств организации в денежной оценке на определенную дату;</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равенство итогов, когда равны итоги записей по аналитическим счетам и соответствующему синтетическому счету, итоги актива и пассива бухгалтерского баланса.</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Равные итоги формы по активу и пассиву располагаются по большей части на одном уровне, занимая строго горизонтальное положение подобно коромыслу весов, находящихся в положении равновесия.</w:t>
      </w:r>
    </w:p>
    <w:p w:rsidR="00A036CD" w:rsidRPr="00A036CD" w:rsidRDefault="00A036CD" w:rsidP="00E17FE7">
      <w:pPr>
        <w:spacing w:after="0" w:line="360" w:lineRule="auto"/>
        <w:ind w:left="40" w:firstLine="669"/>
        <w:jc w:val="both"/>
        <w:rPr>
          <w:rFonts w:ascii="Times New Roman" w:hAnsi="Times New Roman" w:cs="Times New Roman"/>
          <w:sz w:val="28"/>
          <w:szCs w:val="28"/>
        </w:rPr>
      </w:pPr>
      <w:r w:rsidRPr="00A036CD">
        <w:rPr>
          <w:rFonts w:ascii="Times New Roman" w:hAnsi="Times New Roman" w:cs="Times New Roman"/>
          <w:sz w:val="28"/>
          <w:szCs w:val="28"/>
        </w:rPr>
        <w:t>В отличии от балансов, используемых при планировании и анализе, бухгалтерский балан</w:t>
      </w:r>
      <w:r>
        <w:rPr>
          <w:rFonts w:ascii="Times New Roman" w:hAnsi="Times New Roman" w:cs="Times New Roman"/>
          <w:sz w:val="28"/>
          <w:szCs w:val="28"/>
        </w:rPr>
        <w:t>с представляет собой систему мо</w:t>
      </w:r>
      <w:r w:rsidRPr="00A036CD">
        <w:rPr>
          <w:rFonts w:ascii="Times New Roman" w:hAnsi="Times New Roman" w:cs="Times New Roman"/>
          <w:sz w:val="28"/>
          <w:szCs w:val="28"/>
        </w:rPr>
        <w:t>ментных показателей, характеризующих состояние средств организации на определенную дату. По определению профессора Я. В. Соколова: «Баланс есть модель, с помощью которой в интересах пользователей представляется на определенный момент времени финансовое положение организации».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Современная форма баланса имеет вид сводной таблицы, в которой находят отражение два равновеликих понятия - активы,</w:t>
      </w:r>
      <w:r w:rsidRPr="00A036CD">
        <w:t xml:space="preserve"> </w:t>
      </w:r>
      <w:r w:rsidRPr="00A036CD">
        <w:rPr>
          <w:rFonts w:ascii="Times New Roman" w:hAnsi="Times New Roman" w:cs="Times New Roman"/>
          <w:sz w:val="28"/>
          <w:szCs w:val="28"/>
        </w:rPr>
        <w:t>то есть ресурсы, которыми располагает организация, и источники их образования. Моделирование баланса и его содержание находятся в прямой зависимости от целей его состояния. Разграничение статистического и динамического типов учета основывается, прежде всего, на разделении таких целей.</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В условиях рыночной экономики значение баланса очень велико, что его часто выделяют в самостоятельную отчетную единицу, дополнением к которой является совокупность всех других форм бухгалтерской отчетности.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lastRenderedPageBreak/>
        <w:t>Роль прочих форм бухгалтерской отчетности состоит в расшифровки данных, которые содержатся в балансе. Если в указанных отчетных формах отражаются показатели, характеризующие ту или иную роль деятельности организации, то в балансе представлено состояние всех средств организации.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В основу построения баланса положена классификация хозяйственных средств. В экономике любого государства баланс выполняет важные функции: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баланс знакомит собственников, менеджеров и других лиц, связанных с управлением, с имущественным состоянием организации;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по балансу определяют, способна ли организация выполнить свои обязательства перед третьими лицами или ей грозят финансовые трудности;</w:t>
      </w:r>
    </w:p>
    <w:p w:rsidR="00A036CD" w:rsidRP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по балансу определяют конечный финансовый результат деятельности организации в виде наращивания собственного капитала за отчетный период, по которому судят о способности руководителей сохранить и приумножить вверенные им материальные и денежные ресурсы;</w:t>
      </w:r>
    </w:p>
    <w:p w:rsidR="00A036CD" w:rsidRDefault="00A036CD" w:rsidP="00A036CD">
      <w:pPr>
        <w:spacing w:after="0" w:line="360" w:lineRule="auto"/>
        <w:ind w:firstLine="709"/>
        <w:jc w:val="both"/>
        <w:rPr>
          <w:rFonts w:ascii="Times New Roman" w:hAnsi="Times New Roman" w:cs="Times New Roman"/>
          <w:sz w:val="28"/>
          <w:szCs w:val="28"/>
        </w:rPr>
      </w:pPr>
      <w:r w:rsidRPr="00A036CD">
        <w:rPr>
          <w:rFonts w:ascii="Times New Roman" w:hAnsi="Times New Roman" w:cs="Times New Roman"/>
          <w:sz w:val="28"/>
          <w:szCs w:val="28"/>
        </w:rPr>
        <w:t>-</w:t>
      </w:r>
      <w:r w:rsidRPr="00A036CD">
        <w:rPr>
          <w:rFonts w:ascii="Times New Roman" w:hAnsi="Times New Roman" w:cs="Times New Roman"/>
          <w:sz w:val="28"/>
          <w:szCs w:val="28"/>
        </w:rPr>
        <w:tab/>
        <w:t>на показателях, приведенных в балансе, строится оперативное финансовое планирование любой организации, осуществляется контроль за движением денежных средств;</w:t>
      </w:r>
    </w:p>
    <w:p w:rsidR="00A036CD" w:rsidRDefault="00A036CD" w:rsidP="00E17FE7">
      <w:pPr>
        <w:numPr>
          <w:ilvl w:val="0"/>
          <w:numId w:val="1"/>
        </w:numPr>
        <w:tabs>
          <w:tab w:val="left" w:pos="836"/>
        </w:tabs>
        <w:spacing w:after="0" w:line="360" w:lineRule="auto"/>
        <w:ind w:left="20" w:right="40" w:firstLine="689"/>
        <w:jc w:val="both"/>
        <w:rPr>
          <w:rFonts w:ascii="Times New Roman" w:eastAsia="Times New Roman" w:hAnsi="Times New Roman" w:cs="Times New Roman"/>
          <w:sz w:val="28"/>
          <w:szCs w:val="28"/>
          <w:lang w:eastAsia="ru-RU"/>
        </w:rPr>
      </w:pPr>
      <w:r w:rsidRPr="00AD52E7">
        <w:rPr>
          <w:rFonts w:ascii="Times New Roman" w:eastAsia="Times New Roman" w:hAnsi="Times New Roman" w:cs="Times New Roman"/>
          <w:sz w:val="28"/>
          <w:szCs w:val="28"/>
          <w:lang w:eastAsia="ru-RU"/>
        </w:rPr>
        <w:t>данные баланса широко используются налоговыми служ</w:t>
      </w:r>
      <w:r w:rsidRPr="00AD52E7">
        <w:rPr>
          <w:rFonts w:ascii="Times New Roman" w:eastAsia="Times New Roman" w:hAnsi="Times New Roman" w:cs="Times New Roman"/>
          <w:sz w:val="28"/>
          <w:szCs w:val="28"/>
          <w:lang w:eastAsia="ru-RU"/>
        </w:rPr>
        <w:softHyphen/>
        <w:t>бами, кредитными учреждениями и органами государственного управления».</w:t>
      </w:r>
    </w:p>
    <w:p w:rsidR="00E17FE7" w:rsidRDefault="00E17FE7" w:rsidP="00E17FE7">
      <w:pPr>
        <w:tabs>
          <w:tab w:val="left" w:pos="836"/>
        </w:tabs>
        <w:spacing w:after="0" w:line="360" w:lineRule="auto"/>
        <w:ind w:left="20" w:right="4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Существует достаточное множество различных видов бухгалтерского баланса (см. таблицу 1.2.).</w:t>
      </w:r>
    </w:p>
    <w:p w:rsidR="00A036CD" w:rsidRPr="00A036CD" w:rsidRDefault="00E17FE7" w:rsidP="00E17FE7">
      <w:pPr>
        <w:tabs>
          <w:tab w:val="left" w:pos="836"/>
        </w:tabs>
        <w:spacing w:after="0" w:line="360" w:lineRule="auto"/>
        <w:ind w:left="20" w:right="40"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Таблица 1.2. - </w:t>
      </w:r>
      <w:bookmarkStart w:id="1" w:name="bookmark0"/>
      <w:r w:rsidR="00A036CD" w:rsidRPr="00E17FE7">
        <w:rPr>
          <w:rFonts w:ascii="Times New Roman" w:eastAsia="Times New Roman" w:hAnsi="Times New Roman" w:cs="Times New Roman"/>
          <w:bCs/>
          <w:sz w:val="31"/>
          <w:szCs w:val="31"/>
          <w:lang w:eastAsia="ru-RU"/>
        </w:rPr>
        <w:t>Классификация бухгалтерских балансов</w:t>
      </w:r>
      <w:bookmarkEnd w:id="1"/>
    </w:p>
    <w:tbl>
      <w:tblPr>
        <w:tblW w:w="0" w:type="auto"/>
        <w:tblInd w:w="5" w:type="dxa"/>
        <w:tblLayout w:type="fixed"/>
        <w:tblCellMar>
          <w:left w:w="0" w:type="dxa"/>
          <w:right w:w="0" w:type="dxa"/>
        </w:tblCellMar>
        <w:tblLook w:val="0000"/>
      </w:tblPr>
      <w:tblGrid>
        <w:gridCol w:w="2731"/>
        <w:gridCol w:w="6350"/>
      </w:tblGrid>
      <w:tr w:rsidR="00A036CD" w:rsidRPr="00A036CD" w:rsidTr="00A036CD">
        <w:trPr>
          <w:trHeight w:val="619"/>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302" w:lineRule="exact"/>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Классификационный признак</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40" w:lineRule="auto"/>
              <w:ind w:left="226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Виды балансов</w:t>
            </w:r>
          </w:p>
        </w:tc>
      </w:tr>
      <w:tr w:rsidR="00A036CD" w:rsidRPr="00A036CD" w:rsidTr="00A036CD">
        <w:trPr>
          <w:trHeight w:val="312"/>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40" w:lineRule="auto"/>
              <w:jc w:val="center"/>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1</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40" w:lineRule="auto"/>
              <w:ind w:left="310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2</w:t>
            </w:r>
          </w:p>
        </w:tc>
      </w:tr>
      <w:tr w:rsidR="00A036CD" w:rsidRPr="00A036CD" w:rsidTr="00A036CD">
        <w:trPr>
          <w:trHeight w:val="2126"/>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302" w:lineRule="exact"/>
              <w:ind w:left="4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lastRenderedPageBreak/>
              <w:t>По источникам со</w:t>
            </w:r>
            <w:r w:rsidRPr="00A036CD">
              <w:rPr>
                <w:rFonts w:ascii="Times New Roman" w:eastAsia="Times New Roman" w:hAnsi="Times New Roman" w:cs="Times New Roman"/>
                <w:sz w:val="27"/>
                <w:szCs w:val="27"/>
                <w:lang w:eastAsia="ru-RU"/>
              </w:rPr>
              <w:softHyphen/>
              <w:t>ставления</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Инвентарные балансы</w:t>
            </w:r>
            <w:r w:rsidRPr="00A036CD">
              <w:rPr>
                <w:rFonts w:ascii="Times New Roman" w:eastAsia="Times New Roman" w:hAnsi="Times New Roman" w:cs="Times New Roman"/>
                <w:sz w:val="27"/>
                <w:szCs w:val="27"/>
                <w:lang w:eastAsia="ru-RU"/>
              </w:rPr>
              <w:t xml:space="preserve"> составляются только на ос</w:t>
            </w:r>
            <w:r w:rsidRPr="00A036CD">
              <w:rPr>
                <w:rFonts w:ascii="Times New Roman" w:eastAsia="Times New Roman" w:hAnsi="Times New Roman" w:cs="Times New Roman"/>
                <w:sz w:val="27"/>
                <w:szCs w:val="27"/>
                <w:lang w:eastAsia="ru-RU"/>
              </w:rPr>
              <w:softHyphen/>
              <w:t>новании инвентаризации.</w:t>
            </w:r>
          </w:p>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Книжные балансы</w:t>
            </w:r>
            <w:r w:rsidRPr="00A036CD">
              <w:rPr>
                <w:rFonts w:ascii="Times New Roman" w:eastAsia="Times New Roman" w:hAnsi="Times New Roman" w:cs="Times New Roman"/>
                <w:sz w:val="27"/>
                <w:szCs w:val="27"/>
                <w:lang w:eastAsia="ru-RU"/>
              </w:rPr>
              <w:t xml:space="preserve"> составляются по данным Глав</w:t>
            </w:r>
            <w:r w:rsidRPr="00A036CD">
              <w:rPr>
                <w:rFonts w:ascii="Times New Roman" w:eastAsia="Times New Roman" w:hAnsi="Times New Roman" w:cs="Times New Roman"/>
                <w:sz w:val="27"/>
                <w:szCs w:val="27"/>
                <w:lang w:eastAsia="ru-RU"/>
              </w:rPr>
              <w:softHyphen/>
              <w:t>ной Книги.</w:t>
            </w:r>
          </w:p>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Актуарный баланс</w:t>
            </w:r>
            <w:r w:rsidRPr="00A036CD">
              <w:rPr>
                <w:rFonts w:ascii="Times New Roman" w:eastAsia="Times New Roman" w:hAnsi="Times New Roman" w:cs="Times New Roman"/>
                <w:sz w:val="27"/>
                <w:szCs w:val="27"/>
                <w:lang w:eastAsia="ru-RU"/>
              </w:rPr>
              <w:t xml:space="preserve"> составляется по данным, собран</w:t>
            </w:r>
            <w:r w:rsidRPr="00A036CD">
              <w:rPr>
                <w:rFonts w:ascii="Times New Roman" w:eastAsia="Times New Roman" w:hAnsi="Times New Roman" w:cs="Times New Roman"/>
                <w:sz w:val="27"/>
                <w:szCs w:val="27"/>
                <w:lang w:eastAsia="ru-RU"/>
              </w:rPr>
              <w:softHyphen/>
              <w:t>ным по статистике страховых, товарных и подобных им организаций.</w:t>
            </w:r>
          </w:p>
        </w:tc>
      </w:tr>
      <w:tr w:rsidR="00A036CD" w:rsidRPr="00A036CD" w:rsidTr="00E17FE7">
        <w:trPr>
          <w:trHeight w:val="5963"/>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A036CD">
            <w:pPr>
              <w:spacing w:after="0" w:line="298" w:lineRule="exact"/>
              <w:ind w:left="4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По срокам составле</w:t>
            </w:r>
            <w:r w:rsidRPr="00A036CD">
              <w:rPr>
                <w:rFonts w:ascii="Times New Roman" w:eastAsia="Times New Roman" w:hAnsi="Times New Roman" w:cs="Times New Roman"/>
                <w:sz w:val="27"/>
                <w:szCs w:val="27"/>
                <w:lang w:eastAsia="ru-RU"/>
              </w:rPr>
              <w:softHyphen/>
              <w:t>ния</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Вступительный баланс</w:t>
            </w:r>
            <w:r w:rsidRPr="00A036CD">
              <w:rPr>
                <w:rFonts w:ascii="Times New Roman" w:eastAsia="Times New Roman" w:hAnsi="Times New Roman" w:cs="Times New Roman"/>
                <w:sz w:val="27"/>
                <w:szCs w:val="27"/>
                <w:lang w:eastAsia="ru-RU"/>
              </w:rPr>
              <w:t xml:space="preserve"> составляют на момент воз</w:t>
            </w:r>
            <w:r w:rsidRPr="00A036CD">
              <w:rPr>
                <w:rFonts w:ascii="Times New Roman" w:eastAsia="Times New Roman" w:hAnsi="Times New Roman" w:cs="Times New Roman"/>
                <w:sz w:val="27"/>
                <w:szCs w:val="27"/>
                <w:lang w:eastAsia="ru-RU"/>
              </w:rPr>
              <w:softHyphen/>
              <w:t>никновения организации.</w:t>
            </w:r>
          </w:p>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Текущие балансы</w:t>
            </w:r>
            <w:r w:rsidRPr="00A036CD">
              <w:rPr>
                <w:rFonts w:ascii="Times New Roman" w:eastAsia="Times New Roman" w:hAnsi="Times New Roman" w:cs="Times New Roman"/>
                <w:sz w:val="27"/>
                <w:szCs w:val="27"/>
                <w:lang w:eastAsia="ru-RU"/>
              </w:rPr>
              <w:t xml:space="preserve"> составляются периодически в те</w:t>
            </w:r>
            <w:r w:rsidRPr="00A036CD">
              <w:rPr>
                <w:rFonts w:ascii="Times New Roman" w:eastAsia="Times New Roman" w:hAnsi="Times New Roman" w:cs="Times New Roman"/>
                <w:sz w:val="27"/>
                <w:szCs w:val="27"/>
                <w:lang w:eastAsia="ru-RU"/>
              </w:rPr>
              <w:softHyphen/>
              <w:t>чении всего времени существования организации. Подразделяю на начальные, промежуточные и за</w:t>
            </w:r>
            <w:r w:rsidRPr="00A036CD">
              <w:rPr>
                <w:rFonts w:ascii="Times New Roman" w:eastAsia="Times New Roman" w:hAnsi="Times New Roman" w:cs="Times New Roman"/>
                <w:sz w:val="27"/>
                <w:szCs w:val="27"/>
                <w:lang w:eastAsia="ru-RU"/>
              </w:rPr>
              <w:softHyphen/>
              <w:t>ключительные .</w:t>
            </w:r>
          </w:p>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Санируемые балансы</w:t>
            </w:r>
            <w:r w:rsidRPr="00A036CD">
              <w:rPr>
                <w:rFonts w:ascii="Times New Roman" w:eastAsia="Times New Roman" w:hAnsi="Times New Roman" w:cs="Times New Roman"/>
                <w:sz w:val="27"/>
                <w:szCs w:val="27"/>
                <w:lang w:eastAsia="ru-RU"/>
              </w:rPr>
              <w:t xml:space="preserve"> составляются в тех случаях, когда организация приближается к банкротству. Со</w:t>
            </w:r>
            <w:r w:rsidRPr="00A036CD">
              <w:rPr>
                <w:rFonts w:ascii="Times New Roman" w:eastAsia="Times New Roman" w:hAnsi="Times New Roman" w:cs="Times New Roman"/>
                <w:sz w:val="27"/>
                <w:szCs w:val="27"/>
                <w:lang w:eastAsia="ru-RU"/>
              </w:rPr>
              <w:softHyphen/>
              <w:t>ставляется с помощью аудитора еще до окончания отчетного периода с целью показать реальное поло</w:t>
            </w:r>
            <w:r w:rsidRPr="00A036CD">
              <w:rPr>
                <w:rFonts w:ascii="Times New Roman" w:eastAsia="Times New Roman" w:hAnsi="Times New Roman" w:cs="Times New Roman"/>
                <w:sz w:val="27"/>
                <w:szCs w:val="27"/>
                <w:lang w:eastAsia="ru-RU"/>
              </w:rPr>
              <w:softHyphen/>
              <w:t>жение дел.</w:t>
            </w:r>
          </w:p>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Ликвидационный баланс</w:t>
            </w:r>
            <w:r w:rsidRPr="00A036CD">
              <w:rPr>
                <w:rFonts w:ascii="Times New Roman" w:eastAsia="Times New Roman" w:hAnsi="Times New Roman" w:cs="Times New Roman"/>
                <w:sz w:val="27"/>
                <w:szCs w:val="27"/>
                <w:lang w:eastAsia="ru-RU"/>
              </w:rPr>
              <w:t xml:space="preserve"> формируют при ликвида</w:t>
            </w:r>
            <w:r w:rsidRPr="00A036CD">
              <w:rPr>
                <w:rFonts w:ascii="Times New Roman" w:eastAsia="Times New Roman" w:hAnsi="Times New Roman" w:cs="Times New Roman"/>
                <w:sz w:val="27"/>
                <w:szCs w:val="27"/>
                <w:lang w:eastAsia="ru-RU"/>
              </w:rPr>
              <w:softHyphen/>
              <w:t>ции организации.</w:t>
            </w:r>
          </w:p>
          <w:p w:rsidR="00A036CD"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Разделительный баланс</w:t>
            </w:r>
            <w:r w:rsidRPr="00A036CD">
              <w:rPr>
                <w:rFonts w:ascii="Times New Roman" w:eastAsia="Times New Roman" w:hAnsi="Times New Roman" w:cs="Times New Roman"/>
                <w:sz w:val="27"/>
                <w:szCs w:val="27"/>
                <w:lang w:eastAsia="ru-RU"/>
              </w:rPr>
              <w:t xml:space="preserve"> составляются в момент раз</w:t>
            </w:r>
            <w:r w:rsidRPr="00A036CD">
              <w:rPr>
                <w:rFonts w:ascii="Times New Roman" w:eastAsia="Times New Roman" w:hAnsi="Times New Roman" w:cs="Times New Roman"/>
                <w:sz w:val="27"/>
                <w:szCs w:val="27"/>
                <w:lang w:eastAsia="ru-RU"/>
              </w:rPr>
              <w:softHyphen/>
              <w:t>деления крупной организации на несколько более мелких структурных единиц.</w:t>
            </w:r>
          </w:p>
          <w:p w:rsidR="00E17FE7" w:rsidRPr="00A036CD" w:rsidRDefault="00A036CD"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Объединительный баланс</w:t>
            </w:r>
            <w:r w:rsidRPr="00A036CD">
              <w:rPr>
                <w:rFonts w:ascii="Times New Roman" w:eastAsia="Times New Roman" w:hAnsi="Times New Roman" w:cs="Times New Roman"/>
                <w:sz w:val="27"/>
                <w:szCs w:val="27"/>
                <w:lang w:eastAsia="ru-RU"/>
              </w:rPr>
              <w:t xml:space="preserve"> формируют при объеди</w:t>
            </w:r>
            <w:r w:rsidRPr="00A036CD">
              <w:rPr>
                <w:rFonts w:ascii="Times New Roman" w:eastAsia="Times New Roman" w:hAnsi="Times New Roman" w:cs="Times New Roman"/>
                <w:sz w:val="27"/>
                <w:szCs w:val="27"/>
                <w:lang w:eastAsia="ru-RU"/>
              </w:rPr>
              <w:softHyphen/>
              <w:t xml:space="preserve">нении (слиянии) нескольких организаций в одну или при присоединении одного или нескольких </w:t>
            </w:r>
            <w:r w:rsidR="00E17FE7">
              <w:rPr>
                <w:rFonts w:ascii="Times New Roman" w:eastAsia="Times New Roman" w:hAnsi="Times New Roman" w:cs="Times New Roman"/>
                <w:sz w:val="27"/>
                <w:szCs w:val="27"/>
                <w:lang w:eastAsia="ru-RU"/>
              </w:rPr>
              <w:t>струк</w:t>
            </w:r>
            <w:r w:rsidR="00E17FE7" w:rsidRPr="00E17FE7">
              <w:rPr>
                <w:rFonts w:ascii="Times New Roman" w:eastAsia="Times New Roman" w:hAnsi="Times New Roman" w:cs="Times New Roman"/>
                <w:sz w:val="27"/>
                <w:szCs w:val="27"/>
                <w:lang w:eastAsia="ru-RU"/>
              </w:rPr>
              <w:t>турных единиц к данной организации.</w:t>
            </w:r>
          </w:p>
        </w:tc>
      </w:tr>
      <w:tr w:rsidR="00E17FE7" w:rsidRPr="00A036CD" w:rsidTr="00E17FE7">
        <w:trPr>
          <w:trHeight w:val="320"/>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BC1414">
            <w:pPr>
              <w:spacing w:after="0" w:line="240" w:lineRule="auto"/>
              <w:ind w:left="4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По полноте</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Баланс-брутто</w:t>
            </w:r>
            <w:r w:rsidRPr="00A036CD">
              <w:rPr>
                <w:rFonts w:ascii="Times New Roman" w:eastAsia="Times New Roman" w:hAnsi="Times New Roman" w:cs="Times New Roman"/>
                <w:sz w:val="27"/>
                <w:szCs w:val="27"/>
                <w:lang w:eastAsia="ru-RU"/>
              </w:rPr>
              <w:t xml:space="preserve"> - это баланс, включающий в себя регулирующие статьи.</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Баланс-нетто</w:t>
            </w:r>
            <w:r w:rsidRPr="00A036CD">
              <w:rPr>
                <w:rFonts w:ascii="Times New Roman" w:eastAsia="Times New Roman" w:hAnsi="Times New Roman" w:cs="Times New Roman"/>
                <w:sz w:val="27"/>
                <w:szCs w:val="27"/>
                <w:lang w:eastAsia="ru-RU"/>
              </w:rPr>
              <w:t xml:space="preserve"> - это баланс, из которого исключены регулирующие статьи.</w:t>
            </w:r>
          </w:p>
        </w:tc>
      </w:tr>
      <w:tr w:rsidR="00E17FE7" w:rsidRPr="00A036CD" w:rsidTr="00E17FE7">
        <w:trPr>
          <w:trHeight w:val="125"/>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BC1414">
            <w:pPr>
              <w:spacing w:after="0" w:line="298" w:lineRule="exact"/>
              <w:ind w:left="2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По объему информа</w:t>
            </w:r>
            <w:r w:rsidRPr="00A036CD">
              <w:rPr>
                <w:rFonts w:ascii="Times New Roman" w:eastAsia="Times New Roman" w:hAnsi="Times New Roman" w:cs="Times New Roman"/>
                <w:sz w:val="27"/>
                <w:szCs w:val="27"/>
                <w:lang w:eastAsia="ru-RU"/>
              </w:rPr>
              <w:softHyphen/>
              <w:t>ции</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Единичный баланс</w:t>
            </w:r>
            <w:r w:rsidRPr="00A036CD">
              <w:rPr>
                <w:rFonts w:ascii="Times New Roman" w:eastAsia="Times New Roman" w:hAnsi="Times New Roman" w:cs="Times New Roman"/>
                <w:sz w:val="27"/>
                <w:szCs w:val="27"/>
                <w:lang w:eastAsia="ru-RU"/>
              </w:rPr>
              <w:t xml:space="preserve"> отражает деятельность только одной организации.</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Сводный баланс</w:t>
            </w:r>
            <w:r w:rsidRPr="00A036CD">
              <w:rPr>
                <w:rFonts w:ascii="Times New Roman" w:eastAsia="Times New Roman" w:hAnsi="Times New Roman" w:cs="Times New Roman"/>
                <w:sz w:val="27"/>
                <w:szCs w:val="27"/>
                <w:lang w:eastAsia="ru-RU"/>
              </w:rPr>
              <w:t xml:space="preserve"> агрегирует данные включаемых в него единичных балансов.</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Консолидируемые балансы</w:t>
            </w:r>
            <w:r w:rsidRPr="00A036CD">
              <w:rPr>
                <w:rFonts w:ascii="Times New Roman" w:eastAsia="Times New Roman" w:hAnsi="Times New Roman" w:cs="Times New Roman"/>
                <w:sz w:val="27"/>
                <w:szCs w:val="27"/>
                <w:lang w:eastAsia="ru-RU"/>
              </w:rPr>
              <w:t xml:space="preserve"> представляют собой объ</w:t>
            </w:r>
            <w:r w:rsidRPr="00A036CD">
              <w:rPr>
                <w:rFonts w:ascii="Times New Roman" w:eastAsia="Times New Roman" w:hAnsi="Times New Roman" w:cs="Times New Roman"/>
                <w:sz w:val="27"/>
                <w:szCs w:val="27"/>
                <w:lang w:eastAsia="ru-RU"/>
              </w:rPr>
              <w:softHyphen/>
              <w:t>единение балансов, юридически самостоятельных, но взаимосвязанных в экономическом и финансовом отношениях организаций.</w:t>
            </w:r>
          </w:p>
        </w:tc>
      </w:tr>
      <w:tr w:rsidR="00E17FE7" w:rsidRPr="00A036CD" w:rsidTr="00E17FE7">
        <w:trPr>
          <w:trHeight w:val="114"/>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BC1414">
            <w:pPr>
              <w:spacing w:after="0" w:line="240" w:lineRule="auto"/>
              <w:ind w:left="2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По реформированию</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Баланс считается реформированным,</w:t>
            </w:r>
            <w:r w:rsidRPr="00A036CD">
              <w:rPr>
                <w:rFonts w:ascii="Times New Roman" w:eastAsia="Times New Roman" w:hAnsi="Times New Roman" w:cs="Times New Roman"/>
                <w:sz w:val="27"/>
                <w:szCs w:val="27"/>
                <w:lang w:eastAsia="ru-RU"/>
              </w:rPr>
              <w:t xml:space="preserve"> когда при</w:t>
            </w:r>
            <w:r w:rsidRPr="00A036CD">
              <w:rPr>
                <w:rFonts w:ascii="Times New Roman" w:eastAsia="Times New Roman" w:hAnsi="Times New Roman" w:cs="Times New Roman"/>
                <w:sz w:val="27"/>
                <w:szCs w:val="27"/>
                <w:lang w:eastAsia="ru-RU"/>
              </w:rPr>
              <w:softHyphen/>
            </w:r>
            <w:r w:rsidRPr="00A036CD">
              <w:rPr>
                <w:rFonts w:ascii="Times New Roman" w:eastAsia="Times New Roman" w:hAnsi="Times New Roman" w:cs="Times New Roman"/>
                <w:sz w:val="27"/>
                <w:szCs w:val="27"/>
                <w:lang w:eastAsia="ru-RU"/>
              </w:rPr>
              <w:lastRenderedPageBreak/>
              <w:t>быль, полученная за данный отчетный период, уже распределена и в балансе отдельной строкой не по</w:t>
            </w:r>
            <w:r w:rsidRPr="00A036CD">
              <w:rPr>
                <w:rFonts w:ascii="Times New Roman" w:eastAsia="Times New Roman" w:hAnsi="Times New Roman" w:cs="Times New Roman"/>
                <w:sz w:val="27"/>
                <w:szCs w:val="27"/>
                <w:lang w:eastAsia="ru-RU"/>
              </w:rPr>
              <w:softHyphen/>
              <w:t>казывается.</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Нереформированным считается баланс,</w:t>
            </w:r>
            <w:r w:rsidRPr="00A036CD">
              <w:rPr>
                <w:rFonts w:ascii="Times New Roman" w:eastAsia="Times New Roman" w:hAnsi="Times New Roman" w:cs="Times New Roman"/>
                <w:sz w:val="27"/>
                <w:szCs w:val="27"/>
                <w:lang w:eastAsia="ru-RU"/>
              </w:rPr>
              <w:t xml:space="preserve"> когда при</w:t>
            </w:r>
            <w:r w:rsidRPr="00A036CD">
              <w:rPr>
                <w:rFonts w:ascii="Times New Roman" w:eastAsia="Times New Roman" w:hAnsi="Times New Roman" w:cs="Times New Roman"/>
                <w:sz w:val="27"/>
                <w:szCs w:val="27"/>
                <w:lang w:eastAsia="ru-RU"/>
              </w:rPr>
              <w:softHyphen/>
              <w:t>быль, полученная в отчетном периоде, еще не рас</w:t>
            </w:r>
            <w:r w:rsidRPr="00A036CD">
              <w:rPr>
                <w:rFonts w:ascii="Times New Roman" w:eastAsia="Times New Roman" w:hAnsi="Times New Roman" w:cs="Times New Roman"/>
                <w:sz w:val="27"/>
                <w:szCs w:val="27"/>
                <w:lang w:eastAsia="ru-RU"/>
              </w:rPr>
              <w:softHyphen/>
              <w:t>пределена и показывается в балансе отдельной ста</w:t>
            </w:r>
            <w:r w:rsidRPr="00A036CD">
              <w:rPr>
                <w:rFonts w:ascii="Times New Roman" w:eastAsia="Times New Roman" w:hAnsi="Times New Roman" w:cs="Times New Roman"/>
                <w:sz w:val="27"/>
                <w:szCs w:val="27"/>
                <w:lang w:eastAsia="ru-RU"/>
              </w:rPr>
              <w:softHyphen/>
              <w:t>тьей.</w:t>
            </w:r>
          </w:p>
        </w:tc>
      </w:tr>
      <w:tr w:rsidR="00E17FE7" w:rsidRPr="00A036CD" w:rsidTr="00E17FE7">
        <w:trPr>
          <w:trHeight w:val="172"/>
        </w:trPr>
        <w:tc>
          <w:tcPr>
            <w:tcW w:w="2731"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BC1414">
            <w:pPr>
              <w:spacing w:after="0" w:line="240" w:lineRule="auto"/>
              <w:ind w:left="20"/>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lastRenderedPageBreak/>
              <w:t>По формату</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Двусторонний: актив слева, пассив справа, иногда наоборот;</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27"/>
                <w:szCs w:val="27"/>
                <w:lang w:eastAsia="ru-RU"/>
              </w:rPr>
              <w:t>Односторонний - актив сверху, пассив под активом (возможен обратный порядок);</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Раздельный баланс</w:t>
            </w:r>
            <w:r w:rsidRPr="00A036CD">
              <w:rPr>
                <w:rFonts w:ascii="Times New Roman" w:eastAsia="Times New Roman" w:hAnsi="Times New Roman" w:cs="Times New Roman"/>
                <w:sz w:val="27"/>
                <w:szCs w:val="27"/>
                <w:lang w:eastAsia="ru-RU"/>
              </w:rPr>
              <w:t xml:space="preserve"> - по центру приводятся названия статей, а слева и справа от них указываются число</w:t>
            </w:r>
            <w:r w:rsidRPr="00A036CD">
              <w:rPr>
                <w:rFonts w:ascii="Times New Roman" w:eastAsia="Times New Roman" w:hAnsi="Times New Roman" w:cs="Times New Roman"/>
                <w:sz w:val="27"/>
                <w:szCs w:val="27"/>
                <w:lang w:eastAsia="ru-RU"/>
              </w:rPr>
              <w:softHyphen/>
              <w:t xml:space="preserve">вые значения актива и пассива; </w:t>
            </w:r>
            <w:r w:rsidRPr="00A036CD">
              <w:rPr>
                <w:rFonts w:ascii="Times New Roman" w:eastAsia="Times New Roman" w:hAnsi="Times New Roman" w:cs="Times New Roman"/>
                <w:i/>
                <w:iCs/>
                <w:sz w:val="27"/>
                <w:szCs w:val="27"/>
                <w:lang w:eastAsia="ru-RU"/>
              </w:rPr>
              <w:t>Сводный баланс</w:t>
            </w:r>
            <w:r w:rsidRPr="00A036CD">
              <w:rPr>
                <w:rFonts w:ascii="Times New Roman" w:eastAsia="Times New Roman" w:hAnsi="Times New Roman" w:cs="Times New Roman"/>
                <w:sz w:val="27"/>
                <w:szCs w:val="27"/>
                <w:lang w:eastAsia="ru-RU"/>
              </w:rPr>
              <w:t xml:space="preserve"> - слева приводятся названия статей, а справа, в двух колонках, перечисляются суммы, относящиеся к активу (первая колонка) и пассив (вторая колонка);</w:t>
            </w:r>
          </w:p>
          <w:p w:rsidR="00E17FE7" w:rsidRPr="00A036CD" w:rsidRDefault="00E17FE7" w:rsidP="002A1669">
            <w:pPr>
              <w:spacing w:after="0" w:line="302" w:lineRule="exact"/>
              <w:ind w:left="104"/>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i/>
                <w:iCs/>
                <w:sz w:val="27"/>
                <w:szCs w:val="27"/>
                <w:lang w:eastAsia="ru-RU"/>
              </w:rPr>
              <w:t>Шахматный баланс</w:t>
            </w:r>
            <w:r w:rsidRPr="00A036CD">
              <w:rPr>
                <w:rFonts w:ascii="Times New Roman" w:eastAsia="Times New Roman" w:hAnsi="Times New Roman" w:cs="Times New Roman"/>
                <w:sz w:val="27"/>
                <w:szCs w:val="27"/>
                <w:lang w:eastAsia="ru-RU"/>
              </w:rPr>
              <w:t xml:space="preserve"> - это матрица, по строкам ко</w:t>
            </w:r>
            <w:r w:rsidRPr="00A036CD">
              <w:rPr>
                <w:rFonts w:ascii="Times New Roman" w:eastAsia="Times New Roman" w:hAnsi="Times New Roman" w:cs="Times New Roman"/>
                <w:sz w:val="27"/>
                <w:szCs w:val="27"/>
                <w:lang w:eastAsia="ru-RU"/>
              </w:rPr>
              <w:softHyphen/>
              <w:t>торой перечисляются статьи актива, а по столбцам - статьи пассива (возможен обратный порядок).</w:t>
            </w:r>
          </w:p>
        </w:tc>
      </w:tr>
    </w:tbl>
    <w:p w:rsidR="00A036CD" w:rsidRPr="00A036CD" w:rsidRDefault="00A036CD" w:rsidP="00A036CD">
      <w:pPr>
        <w:spacing w:after="0" w:line="240" w:lineRule="auto"/>
        <w:rPr>
          <w:rFonts w:ascii="Times New Roman" w:eastAsia="Times New Roman" w:hAnsi="Times New Roman" w:cs="Times New Roman"/>
          <w:sz w:val="24"/>
          <w:szCs w:val="24"/>
          <w:lang w:eastAsia="ru-RU"/>
        </w:rPr>
      </w:pPr>
    </w:p>
    <w:p w:rsidR="00A036CD" w:rsidRPr="00A036CD" w:rsidRDefault="00A036CD" w:rsidP="001537A5">
      <w:pPr>
        <w:spacing w:after="0" w:line="360" w:lineRule="auto"/>
        <w:ind w:left="20" w:right="40" w:firstLine="689"/>
        <w:jc w:val="both"/>
        <w:rPr>
          <w:rFonts w:ascii="Times New Roman" w:eastAsia="Times New Roman" w:hAnsi="Times New Roman" w:cs="Times New Roman"/>
          <w:sz w:val="24"/>
          <w:szCs w:val="24"/>
          <w:lang w:eastAsia="ru-RU"/>
        </w:rPr>
      </w:pPr>
      <w:r w:rsidRPr="00A036CD">
        <w:rPr>
          <w:rFonts w:ascii="Times New Roman" w:eastAsia="Times New Roman" w:hAnsi="Times New Roman" w:cs="Times New Roman"/>
          <w:sz w:val="31"/>
          <w:szCs w:val="31"/>
          <w:lang w:eastAsia="ru-RU"/>
        </w:rPr>
        <w:t>Таким образом, существует множество видов балансов, ко</w:t>
      </w:r>
      <w:r w:rsidRPr="00A036CD">
        <w:rPr>
          <w:rFonts w:ascii="Times New Roman" w:eastAsia="Times New Roman" w:hAnsi="Times New Roman" w:cs="Times New Roman"/>
          <w:sz w:val="31"/>
          <w:szCs w:val="31"/>
          <w:lang w:eastAsia="ru-RU"/>
        </w:rPr>
        <w:softHyphen/>
        <w:t>торые различаются по ряду признаков.</w:t>
      </w:r>
    </w:p>
    <w:p w:rsidR="00613F23" w:rsidRPr="00613F23" w:rsidRDefault="00613F23" w:rsidP="001537A5">
      <w:pPr>
        <w:spacing w:after="0" w:line="360" w:lineRule="auto"/>
        <w:ind w:left="20" w:firstLine="689"/>
        <w:jc w:val="both"/>
        <w:rPr>
          <w:rFonts w:ascii="Times New Roman" w:eastAsia="Times New Roman" w:hAnsi="Times New Roman" w:cs="Times New Roman"/>
          <w:sz w:val="31"/>
          <w:szCs w:val="31"/>
          <w:lang w:eastAsia="ru-RU"/>
        </w:rPr>
      </w:pPr>
      <w:r w:rsidRPr="00613F23">
        <w:rPr>
          <w:rFonts w:ascii="Times New Roman" w:eastAsia="Times New Roman" w:hAnsi="Times New Roman" w:cs="Times New Roman"/>
          <w:sz w:val="31"/>
          <w:szCs w:val="31"/>
          <w:lang w:eastAsia="ru-RU"/>
        </w:rPr>
        <w:t>Баланс коммерческого банка - это бухгалтерский баланс, в котором отражается состояние собственных, привлеченных и одолженных средств банка, их размещение в кредитные и дру</w:t>
      </w:r>
      <w:r w:rsidR="00E17FE7">
        <w:rPr>
          <w:rFonts w:ascii="Times New Roman" w:eastAsia="Times New Roman" w:hAnsi="Times New Roman" w:cs="Times New Roman"/>
          <w:sz w:val="31"/>
          <w:szCs w:val="31"/>
          <w:lang w:eastAsia="ru-RU"/>
        </w:rPr>
        <w:t>гие активные операции</w:t>
      </w:r>
      <w:r w:rsidRPr="00613F23">
        <w:rPr>
          <w:rFonts w:ascii="Times New Roman" w:eastAsia="Times New Roman" w:hAnsi="Times New Roman" w:cs="Times New Roman"/>
          <w:sz w:val="31"/>
          <w:szCs w:val="31"/>
          <w:lang w:eastAsia="ru-RU"/>
        </w:rPr>
        <w:t>.</w:t>
      </w:r>
    </w:p>
    <w:p w:rsidR="00031051" w:rsidRDefault="00613F23" w:rsidP="001537A5">
      <w:pPr>
        <w:spacing w:after="0" w:line="360" w:lineRule="auto"/>
        <w:ind w:left="20" w:firstLine="689"/>
        <w:jc w:val="both"/>
        <w:rPr>
          <w:rFonts w:ascii="Times New Roman" w:eastAsia="Times New Roman" w:hAnsi="Times New Roman" w:cs="Times New Roman"/>
          <w:sz w:val="31"/>
          <w:szCs w:val="31"/>
          <w:lang w:eastAsia="ru-RU"/>
        </w:rPr>
      </w:pPr>
      <w:r w:rsidRPr="00613F23">
        <w:rPr>
          <w:rFonts w:ascii="Times New Roman" w:eastAsia="Times New Roman" w:hAnsi="Times New Roman" w:cs="Times New Roman"/>
          <w:sz w:val="31"/>
          <w:szCs w:val="31"/>
          <w:lang w:eastAsia="ru-RU"/>
        </w:rPr>
        <w:t>Банковские балансы являются коммерческой информацией и отвечают ее основным требованиям. В процессе построения банковских балансов используются принципы группировки операций по экономически однородным признакам.</w:t>
      </w:r>
    </w:p>
    <w:p w:rsidR="00613F23" w:rsidRPr="00613F23" w:rsidRDefault="00613F23" w:rsidP="001537A5">
      <w:pPr>
        <w:ind w:firstLine="709"/>
        <w:jc w:val="both"/>
        <w:rPr>
          <w:rFonts w:ascii="Times New Roman" w:hAnsi="Times New Roman" w:cs="Times New Roman"/>
          <w:b/>
          <w:sz w:val="28"/>
          <w:szCs w:val="28"/>
        </w:rPr>
      </w:pPr>
      <w:r w:rsidRPr="00613F23">
        <w:rPr>
          <w:rFonts w:ascii="Times New Roman" w:hAnsi="Times New Roman" w:cs="Times New Roman"/>
          <w:b/>
          <w:sz w:val="28"/>
          <w:szCs w:val="28"/>
        </w:rPr>
        <w:t xml:space="preserve">1.2. Техника формирования показателей бухгалтерского баланса банка </w:t>
      </w:r>
    </w:p>
    <w:p w:rsidR="002A1669" w:rsidRDefault="002A1669" w:rsidP="00364B4D">
      <w:pPr>
        <w:spacing w:after="0" w:line="360" w:lineRule="auto"/>
        <w:ind w:firstLine="709"/>
        <w:contextualSpacing/>
        <w:jc w:val="both"/>
        <w:rPr>
          <w:rFonts w:ascii="Times New Roman" w:eastAsia="Times New Roman" w:hAnsi="Times New Roman" w:cs="Times New Roman"/>
          <w:sz w:val="28"/>
          <w:szCs w:val="28"/>
          <w:lang w:eastAsia="ru-RU"/>
        </w:rPr>
      </w:pPr>
    </w:p>
    <w:p w:rsidR="00BB34A3" w:rsidRPr="00BB34A3" w:rsidRDefault="00BB34A3" w:rsidP="00364B4D">
      <w:pPr>
        <w:spacing w:after="0" w:line="360" w:lineRule="auto"/>
        <w:ind w:firstLine="709"/>
        <w:contextualSpacing/>
        <w:jc w:val="both"/>
        <w:rPr>
          <w:rFonts w:ascii="Times New Roman" w:eastAsia="Times New Roman" w:hAnsi="Times New Roman" w:cs="Times New Roman"/>
          <w:sz w:val="28"/>
          <w:szCs w:val="28"/>
          <w:lang w:eastAsia="ru-RU"/>
        </w:rPr>
      </w:pPr>
      <w:r w:rsidRPr="00BB34A3">
        <w:rPr>
          <w:rFonts w:ascii="Times New Roman" w:eastAsia="Times New Roman" w:hAnsi="Times New Roman" w:cs="Times New Roman"/>
          <w:sz w:val="28"/>
          <w:szCs w:val="28"/>
          <w:lang w:eastAsia="ru-RU"/>
        </w:rPr>
        <w:t>Баланс банка является основным документом бухгалтерского учета, отражающим остатки по всем счетам аналитического учета. Разбивка клиентов по видам деятельности, признаку резидентства, форме собственности производится путем введения дополнительных параметров к счетам, что позволяет избегать использования большого количества отдельных балансовых счетов. Последние сгруппированы в балансе банков по экономически однородным признакам учитываемых денежных средств и банковских операции. План счетов коммерческого банка состоит из десяти классов, и его структура выглядит следующим образом:</w:t>
      </w:r>
    </w:p>
    <w:p w:rsidR="00BB34A3" w:rsidRPr="00364B4D" w:rsidRDefault="00364B4D" w:rsidP="00364B4D">
      <w:pPr>
        <w:pStyle w:val="a4"/>
        <w:numPr>
          <w:ilvl w:val="0"/>
          <w:numId w:val="23"/>
        </w:numPr>
        <w:spacing w:after="120" w:line="360" w:lineRule="auto"/>
        <w:jc w:val="both"/>
        <w:textAlignment w:val="baseline"/>
        <w:rPr>
          <w:rFonts w:ascii="Times New Roman" w:eastAsia="Times New Roman" w:hAnsi="Times New Roman" w:cs="Times New Roman"/>
          <w:sz w:val="28"/>
          <w:szCs w:val="28"/>
          <w:lang w:eastAsia="ru-RU"/>
        </w:rPr>
      </w:pPr>
      <w:r w:rsidRPr="00364B4D">
        <w:rPr>
          <w:rFonts w:ascii="Times New Roman" w:eastAsia="Times New Roman" w:hAnsi="Times New Roman" w:cs="Times New Roman"/>
          <w:sz w:val="28"/>
          <w:szCs w:val="28"/>
          <w:lang w:eastAsia="ru-RU"/>
        </w:rPr>
        <w:t xml:space="preserve">- </w:t>
      </w:r>
      <w:r w:rsidR="00BB34A3" w:rsidRPr="00364B4D">
        <w:rPr>
          <w:rFonts w:ascii="Times New Roman" w:eastAsia="Times New Roman" w:hAnsi="Times New Roman" w:cs="Times New Roman"/>
          <w:sz w:val="28"/>
          <w:szCs w:val="28"/>
          <w:lang w:eastAsia="ru-RU"/>
        </w:rPr>
        <w:t>Балансовые счета</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денежные средства, драгоценные металлы и межбанковские операции.</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кредитные операции с клиентами.</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средства клиентов.</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ценные бумаги.</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долгосрочные финансовые вложения и основные средства.</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прочие активы и пассивы.</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собственный капитал банка, резервы на риски и платежи.</w:t>
      </w:r>
    </w:p>
    <w:p w:rsidR="00BB34A3" w:rsidRPr="00364B4D" w:rsidRDefault="00364B4D" w:rsidP="00364B4D">
      <w:pPr>
        <w:pStyle w:val="a4"/>
        <w:numPr>
          <w:ilvl w:val="0"/>
          <w:numId w:val="23"/>
        </w:numPr>
        <w:spacing w:after="120" w:line="360" w:lineRule="auto"/>
        <w:jc w:val="both"/>
        <w:textAlignment w:val="baseline"/>
        <w:rPr>
          <w:rFonts w:ascii="Times New Roman" w:eastAsia="Times New Roman" w:hAnsi="Times New Roman" w:cs="Times New Roman"/>
          <w:sz w:val="28"/>
          <w:szCs w:val="28"/>
          <w:lang w:eastAsia="ru-RU"/>
        </w:rPr>
      </w:pPr>
      <w:r w:rsidRPr="00364B4D">
        <w:rPr>
          <w:rFonts w:ascii="Times New Roman" w:eastAsia="Times New Roman" w:hAnsi="Times New Roman" w:cs="Times New Roman"/>
          <w:sz w:val="28"/>
          <w:szCs w:val="28"/>
          <w:lang w:eastAsia="ru-RU"/>
        </w:rPr>
        <w:t xml:space="preserve">- </w:t>
      </w:r>
      <w:r w:rsidR="00BB34A3" w:rsidRPr="00364B4D">
        <w:rPr>
          <w:rFonts w:ascii="Times New Roman" w:eastAsia="Times New Roman" w:hAnsi="Times New Roman" w:cs="Times New Roman"/>
          <w:sz w:val="28"/>
          <w:szCs w:val="28"/>
          <w:lang w:eastAsia="ru-RU"/>
        </w:rPr>
        <w:t>Счета доходов и расходов</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доходы банка.</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класс - расходы банка.</w:t>
      </w:r>
    </w:p>
    <w:p w:rsidR="00BB34A3" w:rsidRPr="00BB34A3" w:rsidRDefault="00364B4D" w:rsidP="00364B4D">
      <w:pPr>
        <w:spacing w:after="120" w:line="360" w:lineRule="auto"/>
        <w:ind w:left="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 </w:t>
      </w:r>
      <w:r w:rsidR="00BB34A3" w:rsidRPr="00BB34A3">
        <w:rPr>
          <w:rFonts w:ascii="Times New Roman" w:eastAsia="Times New Roman" w:hAnsi="Times New Roman" w:cs="Times New Roman"/>
          <w:sz w:val="28"/>
          <w:szCs w:val="28"/>
          <w:lang w:eastAsia="ru-RU"/>
        </w:rPr>
        <w:t>Внебалансовые счета</w:t>
      </w:r>
    </w:p>
    <w:p w:rsidR="00364B4D" w:rsidRDefault="00364B4D" w:rsidP="001537A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99 класс - внебалансовые счета. </w:t>
      </w:r>
    </w:p>
    <w:p w:rsidR="00BB34A3" w:rsidRPr="00BB34A3" w:rsidRDefault="00BB34A3" w:rsidP="001537A5">
      <w:pPr>
        <w:spacing w:after="0" w:line="360" w:lineRule="auto"/>
        <w:ind w:firstLine="709"/>
        <w:jc w:val="both"/>
        <w:rPr>
          <w:rFonts w:ascii="Times New Roman" w:eastAsia="Times New Roman" w:hAnsi="Times New Roman" w:cs="Times New Roman"/>
          <w:sz w:val="28"/>
          <w:szCs w:val="28"/>
          <w:lang w:eastAsia="ru-RU"/>
        </w:rPr>
      </w:pPr>
      <w:r w:rsidRPr="00BB34A3">
        <w:rPr>
          <w:rFonts w:ascii="Times New Roman" w:eastAsia="Times New Roman" w:hAnsi="Times New Roman" w:cs="Times New Roman"/>
          <w:sz w:val="28"/>
          <w:szCs w:val="28"/>
          <w:lang w:eastAsia="ru-RU"/>
        </w:rPr>
        <w:t>Каждый класс подразделяется на следующие группы счетов:</w:t>
      </w:r>
    </w:p>
    <w:p w:rsidR="00BB34A3" w:rsidRPr="00BB34A3" w:rsidRDefault="00364B4D" w:rsidP="00364B4D">
      <w:pPr>
        <w:spacing w:after="120" w:line="360" w:lineRule="auto"/>
        <w:ind w:left="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B34A3" w:rsidRPr="00BB34A3">
        <w:rPr>
          <w:rFonts w:ascii="Times New Roman" w:eastAsia="Times New Roman" w:hAnsi="Times New Roman" w:cs="Times New Roman"/>
          <w:sz w:val="28"/>
          <w:szCs w:val="28"/>
          <w:lang w:eastAsia="ru-RU"/>
        </w:rPr>
        <w:t>счета II порядка (двухзначные);</w:t>
      </w:r>
    </w:p>
    <w:p w:rsidR="00BB34A3" w:rsidRPr="00BB34A3" w:rsidRDefault="00364B4D" w:rsidP="00364B4D">
      <w:pPr>
        <w:spacing w:after="120" w:line="360" w:lineRule="auto"/>
        <w:ind w:left="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счета III порядка (трехзначные);</w:t>
      </w:r>
    </w:p>
    <w:p w:rsidR="00BB34A3" w:rsidRPr="00BB34A3" w:rsidRDefault="00364B4D" w:rsidP="00364B4D">
      <w:pPr>
        <w:spacing w:after="120" w:line="360" w:lineRule="auto"/>
        <w:ind w:left="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счета IV порядка (четырехзначные).</w:t>
      </w:r>
    </w:p>
    <w:p w:rsidR="00364B4D" w:rsidRDefault="00BB34A3" w:rsidP="001537A5">
      <w:pPr>
        <w:spacing w:after="0" w:line="360" w:lineRule="auto"/>
        <w:ind w:firstLine="709"/>
        <w:jc w:val="both"/>
        <w:rPr>
          <w:rFonts w:ascii="Times New Roman" w:eastAsia="Times New Roman" w:hAnsi="Times New Roman" w:cs="Times New Roman"/>
          <w:sz w:val="28"/>
          <w:szCs w:val="28"/>
          <w:lang w:eastAsia="ru-RU"/>
        </w:rPr>
      </w:pPr>
      <w:r w:rsidRPr="00BB34A3">
        <w:rPr>
          <w:rFonts w:ascii="Times New Roman" w:eastAsia="Times New Roman" w:hAnsi="Times New Roman" w:cs="Times New Roman"/>
          <w:sz w:val="28"/>
          <w:szCs w:val="28"/>
          <w:lang w:eastAsia="ru-RU"/>
        </w:rPr>
        <w:t xml:space="preserve">Данная классификация позволяет получать отчетность различной степени открытости. Синтетический учет осуществляется на уровне балансовых счетов II, III, IV порядка. </w:t>
      </w:r>
    </w:p>
    <w:p w:rsidR="00BB34A3" w:rsidRPr="00BB34A3" w:rsidRDefault="00BB34A3" w:rsidP="00364B4D">
      <w:pPr>
        <w:spacing w:after="0" w:line="360" w:lineRule="auto"/>
        <w:ind w:firstLine="709"/>
        <w:jc w:val="both"/>
        <w:rPr>
          <w:rFonts w:ascii="Times New Roman" w:eastAsia="Times New Roman" w:hAnsi="Times New Roman" w:cs="Times New Roman"/>
          <w:sz w:val="28"/>
          <w:szCs w:val="28"/>
          <w:lang w:eastAsia="ru-RU"/>
        </w:rPr>
      </w:pPr>
      <w:r w:rsidRPr="00BB34A3">
        <w:rPr>
          <w:rFonts w:ascii="Times New Roman" w:eastAsia="Times New Roman" w:hAnsi="Times New Roman" w:cs="Times New Roman"/>
          <w:sz w:val="28"/>
          <w:szCs w:val="28"/>
          <w:lang w:eastAsia="ru-RU"/>
        </w:rPr>
        <w:t>Аналитический учет всех операций производится на уровне лицевых счетов с использованием балансовых счетов IV порядка и атрибутов к ним. </w:t>
      </w:r>
      <w:r w:rsidRPr="00BB34A3">
        <w:rPr>
          <w:rFonts w:ascii="Times New Roman" w:eastAsia="Times New Roman" w:hAnsi="Times New Roman" w:cs="Times New Roman"/>
          <w:sz w:val="28"/>
          <w:szCs w:val="28"/>
          <w:lang w:eastAsia="ru-RU"/>
        </w:rPr>
        <w:br/>
        <w:t>Кроме этого, приводится классификация клиентов банка по плану счетов:</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Финансовые институты (Национальный банк, коммерческие банки, международные денежные организации (МВФ, ЕБРР, ВБ и др.));</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Небанковские финансовые учреждения (биржи, инвестиционные, приватизационные, пенсионные фонды, страховые учреждения, межбанковские объединения);</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Государственные и негосударственные субъекты хозяйствования;</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Предприятия без образования юридического лица;</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Физические лица;</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Общественные организации (профсоюзы, церкви, политические партии и т. д.);</w:t>
      </w:r>
    </w:p>
    <w:p w:rsidR="00BB34A3" w:rsidRPr="00BB34A3" w:rsidRDefault="00364B4D" w:rsidP="00364B4D">
      <w:pPr>
        <w:spacing w:after="12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34A3" w:rsidRPr="00BB34A3">
        <w:rPr>
          <w:rFonts w:ascii="Times New Roman" w:eastAsia="Times New Roman" w:hAnsi="Times New Roman" w:cs="Times New Roman"/>
          <w:sz w:val="28"/>
          <w:szCs w:val="28"/>
          <w:lang w:eastAsia="ru-RU"/>
        </w:rPr>
        <w:t>Государственные органы управления (Совет Министров, республиканские и местные органы управления).</w:t>
      </w:r>
    </w:p>
    <w:p w:rsidR="00364B4D" w:rsidRDefault="00BB34A3" w:rsidP="001537A5">
      <w:pPr>
        <w:spacing w:after="0" w:line="360" w:lineRule="auto"/>
        <w:ind w:firstLine="709"/>
        <w:jc w:val="both"/>
        <w:rPr>
          <w:rFonts w:ascii="Times New Roman" w:eastAsia="Times New Roman" w:hAnsi="Times New Roman" w:cs="Times New Roman"/>
          <w:sz w:val="28"/>
          <w:szCs w:val="28"/>
          <w:lang w:eastAsia="ru-RU"/>
        </w:rPr>
      </w:pPr>
      <w:r w:rsidRPr="00BB34A3">
        <w:rPr>
          <w:rFonts w:ascii="Times New Roman" w:eastAsia="Times New Roman" w:hAnsi="Times New Roman" w:cs="Times New Roman"/>
          <w:sz w:val="28"/>
          <w:szCs w:val="28"/>
          <w:lang w:eastAsia="ru-RU"/>
        </w:rPr>
        <w:t xml:space="preserve">При составлении такого баланса производится сальдирование по отдельным счетам: должны быть исключены все межфилиальные расчеты внутри банка. По исправленному балансу можно видеть фактическое наличие ресурсов и их размещение. </w:t>
      </w:r>
    </w:p>
    <w:p w:rsidR="00BB34A3" w:rsidRDefault="00BB34A3" w:rsidP="001537A5">
      <w:pPr>
        <w:spacing w:after="0" w:line="360" w:lineRule="auto"/>
        <w:ind w:firstLine="709"/>
        <w:jc w:val="both"/>
        <w:rPr>
          <w:rFonts w:ascii="Times New Roman" w:eastAsia="Times New Roman" w:hAnsi="Times New Roman" w:cs="Times New Roman"/>
          <w:sz w:val="28"/>
          <w:szCs w:val="28"/>
          <w:lang w:eastAsia="ru-RU"/>
        </w:rPr>
      </w:pPr>
      <w:r w:rsidRPr="00BB34A3">
        <w:rPr>
          <w:rFonts w:ascii="Times New Roman" w:eastAsia="Times New Roman" w:hAnsi="Times New Roman" w:cs="Times New Roman"/>
          <w:sz w:val="28"/>
          <w:szCs w:val="28"/>
          <w:lang w:eastAsia="ru-RU"/>
        </w:rPr>
        <w:lastRenderedPageBreak/>
        <w:t>Форма баланса должна публиковаться ежегодно, как утверждено Н</w:t>
      </w:r>
      <w:r w:rsidR="00364B4D">
        <w:rPr>
          <w:rFonts w:ascii="Times New Roman" w:eastAsia="Times New Roman" w:hAnsi="Times New Roman" w:cs="Times New Roman"/>
          <w:sz w:val="28"/>
          <w:szCs w:val="28"/>
          <w:lang w:eastAsia="ru-RU"/>
        </w:rPr>
        <w:t>ациональным банком на 01 января (см. таблицу 1.3.).</w:t>
      </w:r>
    </w:p>
    <w:p w:rsidR="00364B4D" w:rsidRPr="00BB34A3" w:rsidRDefault="00364B4D" w:rsidP="001537A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 – Форма баланса для коммерческого банка</w:t>
      </w:r>
    </w:p>
    <w:tbl>
      <w:tblPr>
        <w:tblStyle w:val="a3"/>
        <w:tblW w:w="9574" w:type="dxa"/>
        <w:jc w:val="center"/>
        <w:tblLook w:val="04A0"/>
      </w:tblPr>
      <w:tblGrid>
        <w:gridCol w:w="4188"/>
        <w:gridCol w:w="5386"/>
      </w:tblGrid>
      <w:tr w:rsidR="00BB34A3" w:rsidRPr="00BB34A3" w:rsidTr="00537C1D">
        <w:trPr>
          <w:jc w:val="center"/>
        </w:trPr>
        <w:tc>
          <w:tcPr>
            <w:tcW w:w="4188" w:type="dxa"/>
            <w:hideMark/>
          </w:tcPr>
          <w:p w:rsidR="00BB34A3" w:rsidRPr="00BB34A3" w:rsidRDefault="00BB34A3" w:rsidP="00364B4D">
            <w:pPr>
              <w:spacing w:line="360" w:lineRule="atLeast"/>
              <w:jc w:val="center"/>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t>АКТИВ</w:t>
            </w:r>
          </w:p>
        </w:tc>
        <w:tc>
          <w:tcPr>
            <w:tcW w:w="5386" w:type="dxa"/>
            <w:hideMark/>
          </w:tcPr>
          <w:p w:rsidR="00BB34A3" w:rsidRPr="00BB34A3" w:rsidRDefault="00BB34A3" w:rsidP="00364B4D">
            <w:pPr>
              <w:spacing w:line="360" w:lineRule="atLeast"/>
              <w:jc w:val="center"/>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t>ПАССИВ</w:t>
            </w:r>
          </w:p>
        </w:tc>
      </w:tr>
      <w:tr w:rsidR="00BB34A3" w:rsidRPr="00BB34A3" w:rsidTr="00537C1D">
        <w:trPr>
          <w:jc w:val="center"/>
        </w:trPr>
        <w:tc>
          <w:tcPr>
            <w:tcW w:w="4188" w:type="dxa"/>
            <w:hideMark/>
          </w:tcPr>
          <w:p w:rsidR="00BB34A3" w:rsidRPr="00BB34A3" w:rsidRDefault="00BB34A3" w:rsidP="00364B4D">
            <w:pPr>
              <w:numPr>
                <w:ilvl w:val="0"/>
                <w:numId w:val="10"/>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Касса и другие денежные средства</w:t>
            </w:r>
          </w:p>
          <w:p w:rsidR="00BB34A3" w:rsidRPr="00BB34A3" w:rsidRDefault="00BB34A3" w:rsidP="00364B4D">
            <w:pPr>
              <w:numPr>
                <w:ilvl w:val="0"/>
                <w:numId w:val="10"/>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Средства в национальном</w:t>
            </w:r>
            <w:r w:rsidR="00613F23">
              <w:rPr>
                <w:rFonts w:ascii="inherit" w:eastAsia="Times New Roman" w:hAnsi="inherit" w:cs="Arial"/>
                <w:color w:val="212121"/>
                <w:sz w:val="24"/>
                <w:szCs w:val="24"/>
                <w:lang w:eastAsia="ru-RU"/>
              </w:rPr>
              <w:t xml:space="preserve"> банке</w:t>
            </w:r>
          </w:p>
          <w:p w:rsidR="00BB34A3" w:rsidRPr="00BB34A3" w:rsidRDefault="00BB34A3" w:rsidP="00364B4D">
            <w:pPr>
              <w:numPr>
                <w:ilvl w:val="0"/>
                <w:numId w:val="11"/>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Средства в банках и кредитных учреждениях:</w:t>
            </w:r>
          </w:p>
          <w:p w:rsidR="00BB34A3" w:rsidRPr="00BB34A3" w:rsidRDefault="00BB34A3" w:rsidP="00364B4D">
            <w:pPr>
              <w:numPr>
                <w:ilvl w:val="0"/>
                <w:numId w:val="12"/>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у резидентов;</w:t>
            </w:r>
          </w:p>
          <w:p w:rsidR="00BB34A3" w:rsidRPr="00BB34A3" w:rsidRDefault="00BB34A3" w:rsidP="00364B4D">
            <w:pPr>
              <w:numPr>
                <w:ilvl w:val="0"/>
                <w:numId w:val="12"/>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у нерезидентов.</w:t>
            </w:r>
          </w:p>
          <w:p w:rsidR="00BB34A3" w:rsidRPr="00BB34A3" w:rsidRDefault="00BB34A3" w:rsidP="00364B4D">
            <w:pPr>
              <w:numPr>
                <w:ilvl w:val="0"/>
                <w:numId w:val="13"/>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Средства в ценных бумагах</w:t>
            </w:r>
          </w:p>
          <w:p w:rsidR="00BB34A3" w:rsidRPr="00BB34A3" w:rsidRDefault="00BB34A3" w:rsidP="00364B4D">
            <w:pPr>
              <w:numPr>
                <w:ilvl w:val="0"/>
                <w:numId w:val="14"/>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Кредиты клиентам, в том числе:</w:t>
            </w:r>
          </w:p>
          <w:p w:rsidR="00BB34A3" w:rsidRPr="00BB34A3" w:rsidRDefault="00BB34A3" w:rsidP="00364B4D">
            <w:pPr>
              <w:numPr>
                <w:ilvl w:val="0"/>
                <w:numId w:val="15"/>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просроченные;</w:t>
            </w:r>
          </w:p>
          <w:p w:rsidR="00BB34A3" w:rsidRPr="00BB34A3" w:rsidRDefault="00BB34A3" w:rsidP="00364B4D">
            <w:pPr>
              <w:numPr>
                <w:ilvl w:val="0"/>
                <w:numId w:val="15"/>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пролонгированные.</w:t>
            </w:r>
          </w:p>
          <w:p w:rsidR="00BB34A3" w:rsidRPr="00BB34A3" w:rsidRDefault="00BB34A3" w:rsidP="00364B4D">
            <w:pPr>
              <w:numPr>
                <w:ilvl w:val="0"/>
                <w:numId w:val="16"/>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Инвестиционный портфель банка</w:t>
            </w:r>
          </w:p>
          <w:p w:rsidR="00BB34A3" w:rsidRPr="00BB34A3" w:rsidRDefault="00BB34A3" w:rsidP="00364B4D">
            <w:pPr>
              <w:numPr>
                <w:ilvl w:val="0"/>
                <w:numId w:val="17"/>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Основные средства и нематериальные активы</w:t>
            </w:r>
          </w:p>
          <w:p w:rsidR="00BB34A3" w:rsidRPr="00BB34A3" w:rsidRDefault="00BB34A3" w:rsidP="00364B4D">
            <w:pPr>
              <w:numPr>
                <w:ilvl w:val="0"/>
                <w:numId w:val="18"/>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Прочие активы</w:t>
            </w:r>
          </w:p>
        </w:tc>
        <w:tc>
          <w:tcPr>
            <w:tcW w:w="5386" w:type="dxa"/>
            <w:hideMark/>
          </w:tcPr>
          <w:p w:rsidR="00BB34A3" w:rsidRPr="00BB34A3" w:rsidRDefault="00BB34A3" w:rsidP="00364B4D">
            <w:pPr>
              <w:numPr>
                <w:ilvl w:val="0"/>
                <w:numId w:val="19"/>
              </w:numPr>
              <w:spacing w:after="120"/>
              <w:ind w:left="0" w:right="1206"/>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Обязательства:</w:t>
            </w:r>
          </w:p>
          <w:p w:rsidR="00BB34A3" w:rsidRPr="00BB34A3" w:rsidRDefault="00BB34A3" w:rsidP="00364B4D">
            <w:pPr>
              <w:contextualSpacing/>
              <w:jc w:val="both"/>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br/>
              <w:t>а)              Средства национального </w:t>
            </w:r>
            <w:r w:rsidRPr="00BB34A3">
              <w:rPr>
                <w:rFonts w:ascii="inherit" w:eastAsia="Times New Roman" w:hAnsi="inherit" w:cs="Arial"/>
                <w:color w:val="212121"/>
                <w:sz w:val="20"/>
                <w:szCs w:val="20"/>
                <w:lang w:eastAsia="ru-RU"/>
              </w:rPr>
              <w:br/>
              <w:t>банка </w:t>
            </w:r>
            <w:r w:rsidRPr="00BB34A3">
              <w:rPr>
                <w:rFonts w:ascii="inherit" w:eastAsia="Times New Roman" w:hAnsi="inherit" w:cs="Arial"/>
                <w:color w:val="212121"/>
                <w:sz w:val="20"/>
                <w:szCs w:val="20"/>
                <w:lang w:eastAsia="ru-RU"/>
              </w:rPr>
              <w:br/>
              <w:t>б)              Средства банков и кредитных учреждений:</w:t>
            </w:r>
          </w:p>
          <w:p w:rsidR="00BB34A3" w:rsidRPr="00BB34A3" w:rsidRDefault="00BB34A3" w:rsidP="00364B4D">
            <w:pPr>
              <w:numPr>
                <w:ilvl w:val="0"/>
                <w:numId w:val="20"/>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резидентов;</w:t>
            </w:r>
          </w:p>
          <w:p w:rsidR="00BB34A3" w:rsidRPr="00BB34A3" w:rsidRDefault="00BB34A3" w:rsidP="00364B4D">
            <w:pPr>
              <w:numPr>
                <w:ilvl w:val="0"/>
                <w:numId w:val="20"/>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нерезидентов.</w:t>
            </w:r>
          </w:p>
          <w:p w:rsidR="00BB34A3" w:rsidRPr="00BB34A3" w:rsidRDefault="00BB34A3" w:rsidP="00364B4D">
            <w:pPr>
              <w:contextualSpacing/>
              <w:jc w:val="both"/>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br/>
              <w:t>в)              Средства клиентов:</w:t>
            </w:r>
          </w:p>
          <w:p w:rsidR="00BB34A3" w:rsidRPr="00BB34A3" w:rsidRDefault="00BB34A3" w:rsidP="00364B4D">
            <w:pPr>
              <w:numPr>
                <w:ilvl w:val="0"/>
                <w:numId w:val="21"/>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средства государственных банков;</w:t>
            </w:r>
          </w:p>
          <w:p w:rsidR="00BB34A3" w:rsidRPr="00BB34A3" w:rsidRDefault="00BB34A3" w:rsidP="00364B4D">
            <w:pPr>
              <w:numPr>
                <w:ilvl w:val="0"/>
                <w:numId w:val="21"/>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юридических лиц;</w:t>
            </w:r>
          </w:p>
          <w:p w:rsidR="00BB34A3" w:rsidRPr="00BB34A3" w:rsidRDefault="00BB34A3" w:rsidP="00364B4D">
            <w:pPr>
              <w:numPr>
                <w:ilvl w:val="0"/>
                <w:numId w:val="21"/>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физических лиц.</w:t>
            </w:r>
          </w:p>
          <w:p w:rsidR="00BB34A3" w:rsidRPr="00BB34A3" w:rsidRDefault="00BB34A3" w:rsidP="00364B4D">
            <w:pPr>
              <w:contextualSpacing/>
              <w:jc w:val="both"/>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br/>
              <w:t>г)              Выпущенные банком долговые обязательства; </w:t>
            </w:r>
            <w:r w:rsidRPr="00BB34A3">
              <w:rPr>
                <w:rFonts w:ascii="inherit" w:eastAsia="Times New Roman" w:hAnsi="inherit" w:cs="Arial"/>
                <w:color w:val="212121"/>
                <w:sz w:val="20"/>
                <w:szCs w:val="20"/>
                <w:lang w:eastAsia="ru-RU"/>
              </w:rPr>
              <w:br/>
              <w:t>д)              Прочие обязательства. </w:t>
            </w:r>
            <w:r w:rsidRPr="00BB34A3">
              <w:rPr>
                <w:rFonts w:ascii="inherit" w:eastAsia="Times New Roman" w:hAnsi="inherit" w:cs="Arial"/>
                <w:color w:val="212121"/>
                <w:sz w:val="20"/>
                <w:szCs w:val="20"/>
                <w:lang w:eastAsia="ru-RU"/>
              </w:rPr>
              <w:br/>
              <w:t>Всего обязательств</w:t>
            </w:r>
          </w:p>
          <w:p w:rsidR="00BB34A3" w:rsidRPr="00BB34A3" w:rsidRDefault="00BB34A3" w:rsidP="00364B4D">
            <w:pPr>
              <w:numPr>
                <w:ilvl w:val="0"/>
                <w:numId w:val="22"/>
              </w:numPr>
              <w:spacing w:after="120"/>
              <w:ind w:left="0"/>
              <w:contextualSpacing/>
              <w:jc w:val="both"/>
              <w:textAlignment w:val="baseline"/>
              <w:rPr>
                <w:rFonts w:ascii="inherit" w:eastAsia="Times New Roman" w:hAnsi="inherit" w:cs="Arial"/>
                <w:color w:val="212121"/>
                <w:sz w:val="24"/>
                <w:szCs w:val="24"/>
                <w:lang w:eastAsia="ru-RU"/>
              </w:rPr>
            </w:pPr>
            <w:r w:rsidRPr="00BB34A3">
              <w:rPr>
                <w:rFonts w:ascii="inherit" w:eastAsia="Times New Roman" w:hAnsi="inherit" w:cs="Arial"/>
                <w:color w:val="212121"/>
                <w:sz w:val="24"/>
                <w:szCs w:val="24"/>
                <w:lang w:eastAsia="ru-RU"/>
              </w:rPr>
              <w:t>Собственные средства:</w:t>
            </w:r>
          </w:p>
          <w:p w:rsidR="00BB34A3" w:rsidRPr="00BB34A3" w:rsidRDefault="00BB34A3" w:rsidP="00364B4D">
            <w:pPr>
              <w:contextualSpacing/>
              <w:jc w:val="both"/>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br/>
              <w:t>а)              уставный фонд; </w:t>
            </w:r>
            <w:r w:rsidRPr="00BB34A3">
              <w:rPr>
                <w:rFonts w:ascii="inherit" w:eastAsia="Times New Roman" w:hAnsi="inherit" w:cs="Arial"/>
                <w:color w:val="212121"/>
                <w:sz w:val="20"/>
                <w:szCs w:val="20"/>
                <w:lang w:eastAsia="ru-RU"/>
              </w:rPr>
              <w:br/>
              <w:t>б)              прочие фонды и собственные средства; </w:t>
            </w:r>
            <w:r w:rsidRPr="00BB34A3">
              <w:rPr>
                <w:rFonts w:ascii="inherit" w:eastAsia="Times New Roman" w:hAnsi="inherit" w:cs="Arial"/>
                <w:color w:val="212121"/>
                <w:sz w:val="20"/>
                <w:szCs w:val="20"/>
                <w:lang w:eastAsia="ru-RU"/>
              </w:rPr>
              <w:br/>
              <w:t>в)              нераспределенная прибыль. Всего собственных средств</w:t>
            </w:r>
          </w:p>
        </w:tc>
      </w:tr>
      <w:tr w:rsidR="00BB34A3" w:rsidRPr="00BB34A3" w:rsidTr="00537C1D">
        <w:trPr>
          <w:jc w:val="center"/>
        </w:trPr>
        <w:tc>
          <w:tcPr>
            <w:tcW w:w="4188" w:type="dxa"/>
            <w:hideMark/>
          </w:tcPr>
          <w:p w:rsidR="00BB34A3" w:rsidRPr="00BB34A3" w:rsidRDefault="00BB34A3" w:rsidP="00364B4D">
            <w:pPr>
              <w:contextualSpacing/>
              <w:jc w:val="both"/>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t>БАЛАНС</w:t>
            </w:r>
          </w:p>
        </w:tc>
        <w:tc>
          <w:tcPr>
            <w:tcW w:w="5386" w:type="dxa"/>
            <w:hideMark/>
          </w:tcPr>
          <w:p w:rsidR="00BB34A3" w:rsidRPr="00BB34A3" w:rsidRDefault="00BB34A3" w:rsidP="00364B4D">
            <w:pPr>
              <w:contextualSpacing/>
              <w:jc w:val="both"/>
              <w:rPr>
                <w:rFonts w:ascii="inherit" w:eastAsia="Times New Roman" w:hAnsi="inherit" w:cs="Arial"/>
                <w:color w:val="212121"/>
                <w:sz w:val="20"/>
                <w:szCs w:val="20"/>
                <w:lang w:eastAsia="ru-RU"/>
              </w:rPr>
            </w:pPr>
            <w:r w:rsidRPr="00BB34A3">
              <w:rPr>
                <w:rFonts w:ascii="inherit" w:eastAsia="Times New Roman" w:hAnsi="inherit" w:cs="Arial"/>
                <w:color w:val="212121"/>
                <w:sz w:val="20"/>
                <w:szCs w:val="20"/>
                <w:lang w:eastAsia="ru-RU"/>
              </w:rPr>
              <w:t>БАЛАНС</w:t>
            </w:r>
          </w:p>
        </w:tc>
      </w:tr>
    </w:tbl>
    <w:p w:rsidR="00364B4D" w:rsidRDefault="00364B4D" w:rsidP="00364B4D">
      <w:pPr>
        <w:spacing w:after="0" w:line="360" w:lineRule="auto"/>
        <w:ind w:firstLine="709"/>
        <w:jc w:val="both"/>
        <w:rPr>
          <w:rFonts w:ascii="Times New Roman" w:eastAsia="Times New Roman" w:hAnsi="Times New Roman" w:cs="Times New Roman"/>
          <w:sz w:val="28"/>
          <w:szCs w:val="28"/>
          <w:lang w:eastAsia="ru-RU"/>
        </w:rPr>
      </w:pPr>
    </w:p>
    <w:p w:rsidR="00031051" w:rsidRDefault="00364B4D" w:rsidP="00364B4D">
      <w:pPr>
        <w:spacing w:after="0" w:line="360" w:lineRule="auto"/>
        <w:ind w:firstLine="709"/>
        <w:jc w:val="both"/>
        <w:rPr>
          <w:rFonts w:ascii="Times New Roman" w:eastAsia="Times New Roman" w:hAnsi="Times New Roman" w:cs="Times New Roman"/>
          <w:sz w:val="31"/>
          <w:szCs w:val="31"/>
          <w:lang w:eastAsia="ru-RU"/>
        </w:rPr>
      </w:pPr>
      <w:r w:rsidRPr="00BB34A3">
        <w:rPr>
          <w:rFonts w:ascii="Times New Roman" w:eastAsia="Times New Roman" w:hAnsi="Times New Roman" w:cs="Times New Roman"/>
          <w:sz w:val="28"/>
          <w:szCs w:val="28"/>
          <w:lang w:eastAsia="ru-RU"/>
        </w:rPr>
        <w:t>Банки ежедневно составляют балансы: по филиалам, по головному банку, сводный. В них отражается в разрезе балансовых счетов обороты по дебету и кредиту, остатки по активу и пассиву. Для публикации в печати на основании годового баланса составляется баланс по укрупненным позициям, с таким расчетом, чтобы по активам можно было судить о наличии средств их размещении, а по пассивам - видеть обязательства банка и его собственные средства.</w:t>
      </w:r>
    </w:p>
    <w:p w:rsidR="00031051" w:rsidRPr="00364B4D" w:rsidRDefault="00031051" w:rsidP="00364B4D">
      <w:pPr>
        <w:spacing w:before="180" w:after="180" w:line="240" w:lineRule="auto"/>
        <w:ind w:firstLine="709"/>
        <w:jc w:val="both"/>
        <w:rPr>
          <w:rFonts w:ascii="Times New Roman" w:eastAsia="Times New Roman" w:hAnsi="Times New Roman" w:cs="Times New Roman"/>
          <w:b/>
          <w:sz w:val="31"/>
          <w:szCs w:val="31"/>
          <w:lang w:eastAsia="ru-RU"/>
        </w:rPr>
      </w:pPr>
    </w:p>
    <w:p w:rsidR="00613F23" w:rsidRPr="00364B4D" w:rsidRDefault="00613F23" w:rsidP="00364B4D">
      <w:pPr>
        <w:ind w:firstLine="709"/>
        <w:jc w:val="both"/>
        <w:rPr>
          <w:rFonts w:ascii="Times New Roman" w:hAnsi="Times New Roman" w:cs="Times New Roman"/>
          <w:b/>
          <w:sz w:val="28"/>
          <w:szCs w:val="28"/>
        </w:rPr>
      </w:pPr>
      <w:r w:rsidRPr="00364B4D">
        <w:rPr>
          <w:rFonts w:ascii="Times New Roman" w:hAnsi="Times New Roman" w:cs="Times New Roman"/>
          <w:b/>
          <w:sz w:val="28"/>
          <w:szCs w:val="28"/>
        </w:rPr>
        <w:lastRenderedPageBreak/>
        <w:t xml:space="preserve">1.3. Методика анализа финансовых показателей на базе бухгалтерского баланса банка </w:t>
      </w:r>
    </w:p>
    <w:p w:rsidR="00031051" w:rsidRDefault="00031051" w:rsidP="00613F23">
      <w:pPr>
        <w:spacing w:before="180" w:after="180" w:line="240" w:lineRule="auto"/>
        <w:rPr>
          <w:rFonts w:ascii="Times New Roman" w:eastAsia="Times New Roman" w:hAnsi="Times New Roman" w:cs="Times New Roman"/>
          <w:sz w:val="31"/>
          <w:szCs w:val="31"/>
          <w:lang w:eastAsia="ru-RU"/>
        </w:rPr>
      </w:pP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Банковский баланс является основным источником информации для экономического анализа. Он комплексно характеризует деятельность банка. Анализ баланса позволяет определить состояние ликвидности, доходности, а также степени риска при проведении отдельных банковских операций. Благодаря информации, извлеченной из баланса, можно выявить источник собственных и привлеченных средств, структуру их размещения на определенную дату или за определенный период. Поскольку экономический анализ деятельности коммерческих банков является одним из важнейших направлений его работы, то весьма важна разработка методики анализа банковской деятельности на основании «чтения» баланса.</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В настоящее время еще только начинают проводиться первые специальные исследования, посвященные комплексному анализу деятельности банков. В связи с этим отсутствует как таковая единая методика анализа банковского баланса. Подобное явление во многом объясняется тем, что в предшествующие годы необходимости в анализе эффективности работы банков не возникало. Собственные средства банков формировались только на уровне правлений, соответственно прибыль определялась на этом же уровне и практически полностью перечислялась в бюджет.</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 xml:space="preserve">К основным принципам построения баланса коммерческого банка можно отнести следующее: баланс должен быть легко читаем, предельно ясен, иметь экономически и логически обоснованные принципы группировки </w:t>
      </w:r>
      <w:r w:rsidRPr="0091775D">
        <w:rPr>
          <w:rFonts w:ascii="Times New Roman" w:eastAsia="Times New Roman" w:hAnsi="Times New Roman" w:cs="Times New Roman"/>
          <w:sz w:val="28"/>
          <w:szCs w:val="28"/>
          <w:lang w:eastAsia="ru-RU"/>
        </w:rPr>
        <w:lastRenderedPageBreak/>
        <w:t>стате</w:t>
      </w:r>
      <w:r w:rsidR="0091775D" w:rsidRPr="0091775D">
        <w:rPr>
          <w:rFonts w:ascii="Times New Roman" w:eastAsia="Times New Roman" w:hAnsi="Times New Roman" w:cs="Times New Roman"/>
          <w:sz w:val="28"/>
          <w:szCs w:val="28"/>
          <w:lang w:eastAsia="ru-RU"/>
        </w:rPr>
        <w:t>й. Он должен иметь унифицирован</w:t>
      </w:r>
      <w:r w:rsidRPr="0091775D">
        <w:rPr>
          <w:rFonts w:ascii="Times New Roman" w:eastAsia="Times New Roman" w:hAnsi="Times New Roman" w:cs="Times New Roman"/>
          <w:sz w:val="28"/>
          <w:szCs w:val="28"/>
          <w:lang w:eastAsia="ru-RU"/>
        </w:rPr>
        <w:t>ную схему построения для всех балансовых учреждений. При построении баланса необходимо обеспечить достоверность данных и наглядность их изображения. Степень детализации операций банка должна быть ограничена коммерческой тайной. В связи с этим в балансах обычно не выделяют сомнительные и убыточные операции, а также страховые резервы, используемые для их покрытия.</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Балансы коммерческих банков используются для анализа и управления их деятельностью, определения показателей их ликвидности, управления банковскими ресурсами, анализа банковского дохода. В рыночных условиях баланс коммерческого банка является средством не только бухгалтерской отчетности, но и коммерческой информации банковского менеджмента. Тем самым, баланс становится «рекламой» для потенциальных клиентов, стремящихся на профессиональном уровне разобраться в деятельности банка.</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Целью финансового анализа является обеспечение качественного управление развитием всех важнейших экономических и финансовых показателей жизнеспособности банка, таких, как структура его активов и пассивов; капитал и платежный оборот; прибыльность операций; риски портфеля финансовых ресурсов; внутрибанковское ценообразование и эффективность работы подразделений банка.</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Решение перечисленных выше и подобных им управленческих задач предполагает наличие соответствующего научно-методического инструментария, позволяющего анализировать и оценивать различные стороны деятельности банка. Существуют следующие методы финансового анализа баланса коммерческого банка:</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1.</w:t>
      </w:r>
      <w:r w:rsidRPr="0091775D">
        <w:rPr>
          <w:rFonts w:ascii="Times New Roman" w:eastAsia="Times New Roman" w:hAnsi="Times New Roman" w:cs="Times New Roman"/>
          <w:sz w:val="28"/>
          <w:szCs w:val="28"/>
          <w:lang w:eastAsia="ru-RU"/>
        </w:rPr>
        <w:tab/>
        <w:t>Капитальное уравнение баланса, которое гласит о том, что собственный капитал равен разнице между активами и платными пассивами. Данное уравнение целесообразно использовать для итоговой оценки того, насколько умело, эффективно банк управляет располагаемым совокупным капиталом с позиций приращения собственного капитала, выявляет и использует резервы повышения своей доходности.</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Финансовый анализ деятельности банка на основе данного уравнения позволяет определить качество управления совокупным капиталом банка с позиций приращения его собственного капитала. С этой целью баланс банка должен быть представлен определенным образом.</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2.</w:t>
      </w:r>
      <w:r w:rsidRPr="0091775D">
        <w:rPr>
          <w:rFonts w:ascii="Times New Roman" w:eastAsia="Times New Roman" w:hAnsi="Times New Roman" w:cs="Times New Roman"/>
          <w:sz w:val="28"/>
          <w:szCs w:val="28"/>
          <w:lang w:eastAsia="ru-RU"/>
        </w:rPr>
        <w:tab/>
        <w:t>Модифицированное балансовое уравнение, которое гласит о том, что активы равны пассивам. Главная цель анализа в соответствии с этой формулой - оперативно оценить, насколько эффективно банк использует имеющиеся в его распоряжении пассивы, соблюдает заданные пропорции (нормативы) оптимизации своего портфеля или отклоняется от таких пропорций.</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Главная цель анализа - выявить не показатели прибыльности и ликвидности банка, а квалифицированность использования имеющихся в его распоряжении пассивов путем определения степени сбалансированности между прибыльностью и ликвидностью и некоторых других сторон финансового состояния банка.</w:t>
      </w:r>
    </w:p>
    <w:p w:rsidR="00613F23"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 xml:space="preserve">В ходе анализа выясняется оптимальное соотношение прибыльности и ликвидности банка, определяется, соблюдает ли он в своих активных и пассивных операциях необходимую диверсификацию, рационально ли организовал управление портфелем. Подход основан на том, что разумно </w:t>
      </w:r>
      <w:r w:rsidRPr="0091775D">
        <w:rPr>
          <w:rFonts w:ascii="Times New Roman" w:eastAsia="Times New Roman" w:hAnsi="Times New Roman" w:cs="Times New Roman"/>
          <w:sz w:val="28"/>
          <w:szCs w:val="28"/>
          <w:lang w:eastAsia="ru-RU"/>
        </w:rPr>
        <w:lastRenderedPageBreak/>
        <w:t>управляемому банку необходимо соблюдать определенные соотношения в активах и пассивах и между ними, закреплять отдельные статьи пассивов за определенными статьями активов. Метод группировки позволяет путем систематизации данных баланса разобраться в сущности анализируемых явлений и процессов.</w:t>
      </w:r>
    </w:p>
    <w:p w:rsidR="00924358" w:rsidRPr="0091775D" w:rsidRDefault="00613F23"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3.</w:t>
      </w:r>
      <w:r w:rsidRPr="0091775D">
        <w:rPr>
          <w:rFonts w:ascii="Times New Roman" w:eastAsia="Times New Roman" w:hAnsi="Times New Roman" w:cs="Times New Roman"/>
          <w:sz w:val="28"/>
          <w:szCs w:val="28"/>
          <w:lang w:eastAsia="ru-RU"/>
        </w:rPr>
        <w:tab/>
        <w:t>Основное балансовое уравнение гласит о том, что активы равны сумме собственного капиталом и платных пассивов. В основе данного уравнения лежит принцип владения и распоряжения всеми активами, принадлежащими банку. Наиболее приемлемые</w:t>
      </w:r>
      <w:r w:rsidR="00924358" w:rsidRPr="0091775D">
        <w:rPr>
          <w:rFonts w:ascii="Times New Roman" w:eastAsia="Times New Roman" w:hAnsi="Times New Roman" w:cs="Times New Roman"/>
          <w:sz w:val="28"/>
          <w:szCs w:val="28"/>
          <w:lang w:eastAsia="ru-RU"/>
        </w:rPr>
        <w:t xml:space="preserve"> направления его использования - оценка деловой активности, ликвидности, финансовой устойчивости и эффективности управления банком, а также предварительный анализ, позволяющий решать, имеются ли у него возможности проведения определенных операций.</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В данном случае оценка финансового состояния банка основана на анализе сравнительного аналитического баланса и отчета о финансовых результатах банка. На основе сравнительного аналитического баланса оцениваются общее финансовое состояние банка и изменения такого состояния за анализируемые периоды, при этом, минимальное количество анализируемых периодов - три.</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4. Уравнение динамического бухгалтерского баланса представляет собой счет прибылей и убытков. На основе такого уравнения проводится факторный анализ прибыльности деятельности банка, то есть управление его финансовой результативностью.</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В зависимости от поставленной аналитической задачи следует выбирать ту модель уравнения, которая наилучшим образом отвечает решаемой задаче.</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Таким образом, рассмотрев возможности применения названных методов анализа, мы видим как можно рассмотреть и оценить деятельность коммерческого банка с разных сторон, проследить динамику развития, а также выявить негативные тенденции в развитии.</w:t>
      </w:r>
    </w:p>
    <w:p w:rsidR="00031051"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Бухгалтерский баланс, можно сказать, является «фотографией» финансового состояния коммерческого банка, где структурировано представлены данные со всех счетов бухгалтерского учета. Сравнивая бухгалтерские балансы за разные отчетные периоды, мы видим тенденцию и направление развития коммерческого банка. Анализируя конкретные статьи, мы можно определить ликвидность, платежеспособность, рентабельность коммерческого банка. Таким образом, методика анализа банковской деятельности на основании «чтения» баланса обеспечивает большую аналитичность информационной базы.</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Ликвидность и финансовая устойчивость являются основными показателями финансового состояния предприятий, которые характеризуют способность банков успешно осуществлять банковскую деятельность по привлечению свободных средств и кредитованию физических и юридических лиц, а также своевременно рассчитываться со своими обязательствами в установленные договором сроки. Для оценки уровня ликвидности производится сравнение ликвидных активов предприятия с обязательствами, по которым наступает срок возврата.</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Для оценки финансовой устойчивости производится сравнение финансовых ресурсов банков с имеющимися активами, способствующими обеспечению дальнейшего развития программы по развитию финансово-хозяйственной деятельности банков. Финансовая устойчивость - это такое состояние финансовых ресурсов предприятия, их наличие, распределение и использование, обеспечивающее развитие производства (и услуг), получение прибыли и при сохранении платежеспособности и кредитоспособности банков.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Финансовая устойчивость коммерческих банков характеризует финансовое состояние на длительный период. Если финансовое состояние может характеризовать состояние ликвидности, платежеспособности и уровень рентабельности банков на определенную дату, то банк можно считать финансово устойчивым, когда у него достаточное количество финансовых ресурсов (капитала), показатели финансового и экономического состояния в пределах установленных норм, не только на данный период, но и на более длительный период.</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Таким образом, для оценки финансовой устойчивости коммерческих банков необходимо изучить и определить: объем и структуру финансовых ресурсов (капитала банка), все показатели финансового состояния (уровень кредитоспособности, ликвидности, платежеспособности и рентабельности), а также экономическое состояние банков, в статике и динамике, т. е. на определенную дату и перспективу деятельности банка. Все это во многом зависит не только от работы самого банка, но и множества внешних и внутренних факторов.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Основным источником информации для оценки и управления ликвидностью и финансовой устойчивости банков является бухгалтерский баланс.</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В современных условиях кризиса банковской системы России, ужесточения конкуренции на рынке банковских услуг, а также увеличения банкротств банков, возникает потребность у работников системы и клиентов иметь достоверную информацию о финансовом состоянии банков, тенденциях изменения ликвидности и платежеспособности, а также причин и факторов, оказывающих влияние на их изменение.</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На основании данных приведенных в бухгалтерском балансе банков, осуществляя сравнение источников образования финансовых ресурсов, их размещение, структуры активов и обязательств, можно определить и проанализировать финансовое состояние банка, его ликвидность, платежеспособность и финансовую устойчивость.</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От состояния и структуры разделов и статей актива и пассива зависит уровень ликвидности, платежеспособности, финансовой устойчивости и конкурентоспособности банков, которые, в свою очередь, зависят от финансово-хозяйственной деятельности банков.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Для квалифицированного анализа финансового состояния банков необходимо владеть информационными данными, приведенными в разделах и статьях актива и пассива баланса, уметь читать и анализировать цифровые данные и, на их основе, определять уровень</w:t>
      </w:r>
      <w:r w:rsidR="00364B4D" w:rsidRPr="0091775D">
        <w:rPr>
          <w:rFonts w:ascii="Times New Roman" w:eastAsia="Times New Roman" w:hAnsi="Times New Roman" w:cs="Times New Roman"/>
          <w:sz w:val="28"/>
          <w:szCs w:val="28"/>
          <w:lang w:eastAsia="ru-RU"/>
        </w:rPr>
        <w:t xml:space="preserve"> финансового состояния: ликвид</w:t>
      </w:r>
      <w:r w:rsidRPr="0091775D">
        <w:rPr>
          <w:rFonts w:ascii="Times New Roman" w:eastAsia="Times New Roman" w:hAnsi="Times New Roman" w:cs="Times New Roman"/>
          <w:sz w:val="28"/>
          <w:szCs w:val="28"/>
          <w:lang w:eastAsia="ru-RU"/>
        </w:rPr>
        <w:t>ность, платежеспособность и финансовую устойчивость банка на определенную дату</w:t>
      </w:r>
      <w:r w:rsidR="00364B4D" w:rsidRPr="0091775D">
        <w:rPr>
          <w:rFonts w:ascii="Times New Roman" w:eastAsia="Times New Roman" w:hAnsi="Times New Roman" w:cs="Times New Roman"/>
          <w:sz w:val="28"/>
          <w:szCs w:val="28"/>
          <w:lang w:eastAsia="ru-RU"/>
        </w:rPr>
        <w:t>, а также динамику изменения</w:t>
      </w:r>
      <w:r w:rsidRPr="0091775D">
        <w:rPr>
          <w:rFonts w:ascii="Times New Roman" w:eastAsia="Times New Roman" w:hAnsi="Times New Roman" w:cs="Times New Roman"/>
          <w:sz w:val="28"/>
          <w:szCs w:val="28"/>
          <w:lang w:eastAsia="ru-RU"/>
        </w:rPr>
        <w:t>.</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Разделы и статьи бухгалтерского баланса банков сгруппированы следующим образом: в активе баланса по принципу понижающейся ликвидности, а разделы и статьи пассива баланса расположены по принципу уменьшающейся степени востребования средств.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В активе статьи и разделы также подразделяются по степени доходности, т. е. вначале статьи баланса, не приносящие доход - раздел «Высоколиквидные активы». Следующий раздел актива баланса «Доходные активы», т. е. статьи, приносящие доход путем предоставления кредитов юридическим и физическим лицам, приобретения ценных бумаг, вложения в капиталы различных предприятий и организаций.</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Статьи раздела «Доходные активы» менее ликвидны и относятся в большей степени к рискованным статьям, по сравнению со статьями раздела «Высоколиквидные активы».</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Активы, указываемые в разделе «Прочие активы», непосредственно не приносят доход, а участвуют в их образовании, путем создания условий для организации хозяйственной деятельности. Этот раздел объединяет стоимость имущества банков.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Разделы и статьи пассивы баланса банка отражают источники средств, которыми располагает банк, на определенный период, и направлены для формирования активов, которые, в свою очередь, используются в операционной деятельности для получения доходов и прибыли.</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Отражаемые в пассиве бухгалтерского баланса банков финансовые ресурсы образуются за счет двух источников средств, собственников (владельцев или акционеров) и заемных, т. е. вкладчиков, инвесторов и спонсоров.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Основным источником покрытия активов и операций по хозяйственной деятельности выступают привлекаемые банком краткосрочные и долгосрочные кредиты. Чем выше доля этих средств, в общей сумме капитала банка, тем больше возможность банков в кредитовании юридических и физических лиц и получении доходов.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Баланс коммерческого банка является не только средством отчетности и анализа, но и средством информации о коммерческой деятельности, уровня организации банковского менеджмента, а также для фактических и потенциальных клиентов, получения необходимой информации о финансовом состоянии банка.</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Следует также отметить, что в результате операционной (хозяйственной) деятельности банк за чет своих доходов покрывает все свои издержки, платит государству налоги, получает прибыль и осуществляет свои обязательства.</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Доходы банку приносят средства, находящиеся в активах банка, которые, в свою очередь, формируются за счет привлеченных и собственных источников средств. Наибольшая доля в общей сумме источников средств (пассив) банков</w:t>
      </w:r>
    </w:p>
    <w:p w:rsidR="00031051"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составляют привлеченные средства в виде обязательств по кредитам и выпущенным и реализованным ценным бумагам. Собственный капитал банков занимает незначительный удельный вес (менее 10 %) и, как правило, размещены в прочих активах, т. е. в объекты недвижимости и являются медленно оборачиваемыми средствами.</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 xml:space="preserve">Высоколиквидные активы - это денежные средства в наличной и безналичной форме на счетах банков, и средства, срок реализации которых </w:t>
      </w:r>
      <w:r w:rsidRPr="0091775D">
        <w:rPr>
          <w:rFonts w:ascii="Times New Roman" w:eastAsia="Times New Roman" w:hAnsi="Times New Roman" w:cs="Times New Roman"/>
          <w:sz w:val="28"/>
          <w:szCs w:val="28"/>
          <w:lang w:eastAsia="ru-RU"/>
        </w:rPr>
        <w:lastRenderedPageBreak/>
        <w:t>исчисляется днями. Эти активы еще называют абсолютно-ликвидными активами. Их доля должна соответствовать размеру для покрытия срочных обязательств, по которым наступает срок оплаты в ближайшие дни.</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Прочие активы - это стоимость различных видов имущества банков, и они относятся к трудно реализуемым активам. Как правило, их доля в общей сумме капитала банков не превышает 20 %.</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Объекты недвижимости, такие как здания и земельные участки, оборудования и сооружения, относятся к низко-ликвидным (трудно-ликвидным) активам, так как на их оформление купли-продажи и получения денежных средств уходит несколько недель и месяцев.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Баланс банка считается ликвидным, если его состояние позволяет за счет быстрой реализации средств по активу покрывать срочные обязательства по пассиву и, наоборот, не ликвидным, когда ликвидных активов, по которым наступает срок оплаты, недостаточно для покрытия обязательств, по которым наступает срок возврата.</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Финансовое состояние банков зависят от объема и структуры источников (статьи пассива) и вложенных (статьи актива) средств.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Разделы и статьи актива баланса банков характеризуют уровень финансового состояния следующим образом:</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1.</w:t>
      </w:r>
      <w:r w:rsidRPr="0091775D">
        <w:rPr>
          <w:rFonts w:ascii="Times New Roman" w:eastAsia="Times New Roman" w:hAnsi="Times New Roman" w:cs="Times New Roman"/>
          <w:sz w:val="28"/>
          <w:szCs w:val="28"/>
          <w:lang w:eastAsia="ru-RU"/>
        </w:rPr>
        <w:tab/>
        <w:t>Увеличение доли высоколиквидных активов способствует улучшению ликвидности банков на короткий период, что указывает на возможность рассчитаться со срочными обязательствами. Однако чрезмерный их рост может ухудшить финансовое состояние, так как деньги должны работать.</w:t>
      </w:r>
    </w:p>
    <w:p w:rsidR="00924358" w:rsidRPr="0091775D" w:rsidRDefault="00924358" w:rsidP="0091775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2.</w:t>
      </w:r>
      <w:r w:rsidRPr="0091775D">
        <w:rPr>
          <w:rFonts w:ascii="Times New Roman" w:eastAsia="Times New Roman" w:hAnsi="Times New Roman" w:cs="Times New Roman"/>
          <w:sz w:val="28"/>
          <w:szCs w:val="28"/>
          <w:lang w:eastAsia="ru-RU"/>
        </w:rPr>
        <w:tab/>
        <w:t>Сумма и доля высоколиквидных активов должна соответств</w:t>
      </w:r>
      <w:r w:rsidR="0091775D">
        <w:rPr>
          <w:rFonts w:ascii="Times New Roman" w:eastAsia="Times New Roman" w:hAnsi="Times New Roman" w:cs="Times New Roman"/>
          <w:sz w:val="28"/>
          <w:szCs w:val="28"/>
          <w:lang w:eastAsia="ru-RU"/>
        </w:rPr>
        <w:t xml:space="preserve">овать сумме и доли обязательств </w:t>
      </w:r>
      <w:r w:rsidRPr="0091775D">
        <w:rPr>
          <w:rFonts w:ascii="Times New Roman" w:eastAsia="Times New Roman" w:hAnsi="Times New Roman" w:cs="Times New Roman"/>
          <w:sz w:val="28"/>
          <w:szCs w:val="28"/>
          <w:lang w:eastAsia="ru-RU"/>
        </w:rPr>
        <w:t>по счетам средств банков, привлеченных по ЛОРО-счетам и межбанковским кредитам.</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3. Увеличение объемов и доли кредитов ИП и физическим лицам, при нестабильной экономики, как правило, может привести к увеличению неплатежей и ухудшению ликвидности и платежеспособности банков.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Статьи и разделы пассива баланса банков характеризуют объем привлеченных и собственных средств, которые оказывают влияние на формирование активов банков. Чем выше сумма и доля стабильных статей и разделов пассива, тем финансовое состояние банка устойчивое и уровень ликвидности выше.</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К стабильным статьям относятся собственные средства (капитал) банка, срочные счета юридических и физических лиц, выпущенные ценные бумаги, в виде выпущенных и реализованных облигаций, векселей, депозитные и сберегательные сертификаты.</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К менее стабильным статьям относятся ЛОРО-счета, межбанковские кредиты, текущие счета юридических и физических лиц.</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На основании данных бухгалтерского баланса можно также предусмотреть возможности риска ухудшения финансового состояния и ликвидности.</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По уровню рискованности все активы можно сгруппировать в четыре группы: высоко-рисковые, среднерисковые</w:t>
      </w:r>
      <w:r w:rsidR="0091775D">
        <w:rPr>
          <w:rFonts w:ascii="Times New Roman" w:eastAsia="Times New Roman" w:hAnsi="Times New Roman" w:cs="Times New Roman"/>
          <w:sz w:val="28"/>
          <w:szCs w:val="28"/>
          <w:lang w:eastAsia="ru-RU"/>
        </w:rPr>
        <w:t>, низкорисковые и безрисковые</w:t>
      </w:r>
      <w:r w:rsidRPr="0091775D">
        <w:rPr>
          <w:rFonts w:ascii="Times New Roman" w:eastAsia="Times New Roman" w:hAnsi="Times New Roman" w:cs="Times New Roman"/>
          <w:sz w:val="28"/>
          <w:szCs w:val="28"/>
          <w:lang w:eastAsia="ru-RU"/>
        </w:rPr>
        <w:t>.</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 xml:space="preserve">Высокая рискованность вложений означает, что вложенные средства имеют слабую способность к возврату. К высоко-рисковым активам относятся статьи актива кредитные вложения индивидуальным </w:t>
      </w:r>
      <w:r w:rsidRPr="0091775D">
        <w:rPr>
          <w:rFonts w:ascii="Times New Roman" w:eastAsia="Times New Roman" w:hAnsi="Times New Roman" w:cs="Times New Roman"/>
          <w:sz w:val="28"/>
          <w:szCs w:val="28"/>
          <w:lang w:eastAsia="ru-RU"/>
        </w:rPr>
        <w:lastRenderedPageBreak/>
        <w:t>предпринимателям, физическим</w:t>
      </w:r>
      <w:r w:rsidR="0091775D">
        <w:rPr>
          <w:rFonts w:ascii="Times New Roman" w:eastAsia="Times New Roman" w:hAnsi="Times New Roman" w:cs="Times New Roman"/>
          <w:sz w:val="28"/>
          <w:szCs w:val="28"/>
          <w:lang w:eastAsia="ru-RU"/>
        </w:rPr>
        <w:t xml:space="preserve"> лицам и просроченные кредиты</w:t>
      </w:r>
      <w:r w:rsidRPr="0091775D">
        <w:rPr>
          <w:rFonts w:ascii="Times New Roman" w:eastAsia="Times New Roman" w:hAnsi="Times New Roman" w:cs="Times New Roman"/>
          <w:sz w:val="28"/>
          <w:szCs w:val="28"/>
          <w:lang w:eastAsia="ru-RU"/>
        </w:rPr>
        <w:t>. Таким образом, чем выше доля в бухгалтерских активах банка кредитные вложения индивидуальным предпринимателям и физическим лицам, а также образовавшаяся просроченная задолженность, тем выше уровень риска возврата предоставленных средств, ухудшения финансового состояния и ликвидности банков.</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К среднерисковым активам относятся кредиты юридическим лицам. Низкорисковым - кредиты банкам и ценные бумаги. К безрисковым активам следует отнести высоколиквидные и прочие активы.</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Для оценки рискованности бухгалтерского баланса необходимо сравнить динамику уровня активов по этим группам за последние годы.</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В настоящее время уровень задолженности по просроченным кредитам ежегодно возрастает, что вызвано с кризисным явлением в экономике страны.</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Однако следует отметить, что на основании только данных бухгалтерского баланса банков, в отличие от балансов коммерческих предприятий, непосредственно рассчитать показатели ликвидности, по методике, рекомендованной Центробанком России, невозможно. Для этого необходимо дополнительно привлекать данные с расшифровкой высоколиквидных активов, доходных и прочих активов, сроков возврата обязательств по их видам.</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Пользуясь данными, приведенными в бухгалтерском балансе банков, можно дать только предварительную оценку финансового состояния предприятия, его кредитоспособность и риски ликвидности и платежеспособности.</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lastRenderedPageBreak/>
        <w:t>Так, например, кредиты банкам в бухгалтерском балансе показываются общей суммой на определенную дату. Но кредиты банков могут быть срочные, среднесрочные и долгосрочные. В расчет показателей ликвидности необходимо использовать кредиты по их видам, что нельзя определить по бухгалтерскому балансу банков. Тогда как по бухгалтерским балансам коммерческих предприятий можно определить финансовое состояние на определенную дату по таким показателям, как: уровень ликвидности, платежеспособности и финансовой устойч</w:t>
      </w:r>
      <w:r w:rsidR="0091775D">
        <w:rPr>
          <w:rFonts w:ascii="Times New Roman" w:eastAsia="Times New Roman" w:hAnsi="Times New Roman" w:cs="Times New Roman"/>
          <w:sz w:val="28"/>
          <w:szCs w:val="28"/>
          <w:lang w:eastAsia="ru-RU"/>
        </w:rPr>
        <w:t>ивости</w:t>
      </w:r>
      <w:r w:rsidRPr="0091775D">
        <w:rPr>
          <w:rFonts w:ascii="Times New Roman" w:eastAsia="Times New Roman" w:hAnsi="Times New Roman" w:cs="Times New Roman"/>
          <w:sz w:val="28"/>
          <w:szCs w:val="28"/>
          <w:lang w:eastAsia="ru-RU"/>
        </w:rPr>
        <w:t>.</w:t>
      </w:r>
    </w:p>
    <w:p w:rsidR="00924358" w:rsidRPr="0091775D" w:rsidRDefault="00924358" w:rsidP="00364B4D">
      <w:pPr>
        <w:spacing w:after="0" w:line="360" w:lineRule="auto"/>
        <w:ind w:firstLine="709"/>
        <w:jc w:val="both"/>
        <w:rPr>
          <w:rFonts w:ascii="Times New Roman" w:eastAsia="Times New Roman" w:hAnsi="Times New Roman" w:cs="Times New Roman"/>
          <w:sz w:val="28"/>
          <w:szCs w:val="28"/>
          <w:lang w:eastAsia="ru-RU"/>
        </w:rPr>
      </w:pPr>
      <w:r w:rsidRPr="0091775D">
        <w:rPr>
          <w:rFonts w:ascii="Times New Roman" w:eastAsia="Times New Roman" w:hAnsi="Times New Roman" w:cs="Times New Roman"/>
          <w:sz w:val="28"/>
          <w:szCs w:val="28"/>
          <w:lang w:eastAsia="ru-RU"/>
        </w:rPr>
        <w:t>Для оценки ликвидности и финансовой устойчивости банков, как показывает вышеизложенное, необходимо привлекать дополнительные данные отчетности и первичного учета, которые доступны только работникам банков и работникам, осуществляющих аудит банков. Инвесторы и клиенты банков не в состоянии произвести мониторинг и анализ финансового состояния банков.</w:t>
      </w:r>
    </w:p>
    <w:p w:rsidR="00031051" w:rsidRDefault="00031051" w:rsidP="00364B4D">
      <w:pPr>
        <w:spacing w:after="0" w:line="360" w:lineRule="auto"/>
        <w:ind w:firstLine="709"/>
        <w:jc w:val="both"/>
        <w:rPr>
          <w:rFonts w:ascii="Times New Roman" w:eastAsia="Times New Roman" w:hAnsi="Times New Roman" w:cs="Times New Roman"/>
          <w:sz w:val="31"/>
          <w:szCs w:val="31"/>
          <w:lang w:eastAsia="ru-RU"/>
        </w:rPr>
      </w:pPr>
    </w:p>
    <w:p w:rsidR="0091775D" w:rsidRDefault="0091775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537C1D" w:rsidRDefault="00537C1D" w:rsidP="00364B4D">
      <w:pPr>
        <w:spacing w:after="0" w:line="360" w:lineRule="auto"/>
        <w:ind w:firstLine="709"/>
        <w:jc w:val="both"/>
        <w:rPr>
          <w:rFonts w:ascii="Times New Roman" w:eastAsia="Times New Roman" w:hAnsi="Times New Roman" w:cs="Times New Roman"/>
          <w:sz w:val="31"/>
          <w:szCs w:val="31"/>
          <w:lang w:eastAsia="ru-RU"/>
        </w:rPr>
      </w:pPr>
    </w:p>
    <w:p w:rsidR="0091775D" w:rsidRPr="0091775D" w:rsidRDefault="0091775D" w:rsidP="0091775D">
      <w:pPr>
        <w:jc w:val="both"/>
        <w:rPr>
          <w:rFonts w:ascii="Times New Roman" w:hAnsi="Times New Roman" w:cs="Times New Roman"/>
          <w:b/>
          <w:sz w:val="28"/>
          <w:szCs w:val="28"/>
        </w:rPr>
      </w:pPr>
      <w:r w:rsidRPr="0091775D">
        <w:rPr>
          <w:rFonts w:ascii="Times New Roman" w:hAnsi="Times New Roman" w:cs="Times New Roman"/>
          <w:b/>
          <w:sz w:val="28"/>
          <w:szCs w:val="28"/>
        </w:rPr>
        <w:t xml:space="preserve">Глава 2. Анализ финансового состояния ПАО «Сбербанк России» на основе данных бухгалтерского баланса </w:t>
      </w:r>
    </w:p>
    <w:p w:rsidR="0091775D" w:rsidRPr="0091775D" w:rsidRDefault="0091775D" w:rsidP="0091775D">
      <w:pPr>
        <w:jc w:val="both"/>
        <w:rPr>
          <w:rFonts w:ascii="Times New Roman" w:hAnsi="Times New Roman" w:cs="Times New Roman"/>
          <w:b/>
          <w:sz w:val="28"/>
          <w:szCs w:val="28"/>
        </w:rPr>
      </w:pPr>
      <w:r w:rsidRPr="0091775D">
        <w:rPr>
          <w:rFonts w:ascii="Times New Roman" w:hAnsi="Times New Roman" w:cs="Times New Roman"/>
          <w:b/>
          <w:sz w:val="28"/>
          <w:szCs w:val="28"/>
        </w:rPr>
        <w:t xml:space="preserve">2.1. Организационно-экономическая характеристика ПАО «Сбербанк России» </w:t>
      </w:r>
    </w:p>
    <w:p w:rsidR="0091775D" w:rsidRDefault="0091775D" w:rsidP="00364B4D">
      <w:pPr>
        <w:spacing w:after="0" w:line="360" w:lineRule="auto"/>
        <w:ind w:firstLine="709"/>
        <w:jc w:val="both"/>
        <w:rPr>
          <w:rFonts w:ascii="Times New Roman" w:eastAsia="Times New Roman" w:hAnsi="Times New Roman" w:cs="Times New Roman"/>
          <w:sz w:val="31"/>
          <w:szCs w:val="31"/>
          <w:lang w:eastAsia="ru-RU"/>
        </w:rPr>
      </w:pPr>
    </w:p>
    <w:p w:rsidR="00BC1414"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ПАО «Сбербанк» был образован указом императора Николая I в виде Сберегательных касс, которые изначально функционировали как  маленькие учреждения с 20 сотрудниками в Москве и Санкт–Петербурге. </w:t>
      </w:r>
    </w:p>
    <w:p w:rsidR="00BC1414"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Уже в советскую эпоху сеть сберегательных касс была преобразована в систему Государственных трудовых сберегательных касс, затем в </w:t>
      </w:r>
      <w:r>
        <w:rPr>
          <w:rFonts w:ascii="Times New Roman" w:hAnsi="Times New Roman" w:cs="Times New Roman"/>
          <w:sz w:val="28"/>
          <w:szCs w:val="28"/>
        </w:rPr>
        <w:lastRenderedPageBreak/>
        <w:t xml:space="preserve">соответствии с экономическими реформами реорганизованы в современный универсальный банк, международную группу, известную практически всему миру. </w:t>
      </w:r>
    </w:p>
    <w:p w:rsidR="004F38ED" w:rsidRDefault="004F38ED" w:rsidP="004F38ED">
      <w:pPr>
        <w:spacing w:after="0" w:line="360" w:lineRule="auto"/>
        <w:ind w:firstLine="709"/>
        <w:jc w:val="both"/>
        <w:rPr>
          <w:rFonts w:ascii="Times New Roman" w:hAnsi="Times New Roman" w:cs="Times New Roman"/>
          <w:sz w:val="28"/>
          <w:szCs w:val="28"/>
        </w:rPr>
      </w:pPr>
      <w:r w:rsidRPr="004F38ED">
        <w:rPr>
          <w:rFonts w:ascii="Times New Roman" w:hAnsi="Times New Roman" w:cs="Times New Roman"/>
          <w:sz w:val="28"/>
          <w:szCs w:val="28"/>
        </w:rPr>
        <w:t>Cбербанк – крупнейший финансовый и</w:t>
      </w:r>
      <w:r>
        <w:rPr>
          <w:rFonts w:ascii="Times New Roman" w:hAnsi="Times New Roman" w:cs="Times New Roman"/>
          <w:sz w:val="28"/>
          <w:szCs w:val="28"/>
        </w:rPr>
        <w:t xml:space="preserve">нститут Центральной и Восточной </w:t>
      </w:r>
      <w:r w:rsidRPr="004F38ED">
        <w:rPr>
          <w:rFonts w:ascii="Times New Roman" w:hAnsi="Times New Roman" w:cs="Times New Roman"/>
          <w:sz w:val="28"/>
          <w:szCs w:val="28"/>
        </w:rPr>
        <w:t>Европы. Банк был основан в 1841 году и в 2016 году отметил свое 175-летие. Основным</w:t>
      </w:r>
      <w:r>
        <w:rPr>
          <w:rFonts w:ascii="Times New Roman" w:hAnsi="Times New Roman" w:cs="Times New Roman"/>
          <w:sz w:val="28"/>
          <w:szCs w:val="28"/>
        </w:rPr>
        <w:t xml:space="preserve"> видом деятельности банка</w:t>
      </w:r>
      <w:r w:rsidRPr="004F38ED">
        <w:rPr>
          <w:rFonts w:ascii="Times New Roman" w:hAnsi="Times New Roman" w:cs="Times New Roman"/>
          <w:sz w:val="28"/>
          <w:szCs w:val="28"/>
        </w:rPr>
        <w:t xml:space="preserve"> является предоставление финансовых услуг и сервисов</w:t>
      </w:r>
      <w:r>
        <w:rPr>
          <w:rFonts w:ascii="Times New Roman" w:hAnsi="Times New Roman" w:cs="Times New Roman"/>
          <w:sz w:val="28"/>
          <w:szCs w:val="28"/>
        </w:rPr>
        <w:t xml:space="preserve"> </w:t>
      </w:r>
      <w:r w:rsidRPr="004F38ED">
        <w:rPr>
          <w:rFonts w:ascii="Times New Roman" w:hAnsi="Times New Roman" w:cs="Times New Roman"/>
          <w:sz w:val="28"/>
          <w:szCs w:val="28"/>
        </w:rPr>
        <w:t>розничным и корпоративным клиентам во всех регион</w:t>
      </w:r>
      <w:r>
        <w:rPr>
          <w:rFonts w:ascii="Times New Roman" w:hAnsi="Times New Roman" w:cs="Times New Roman"/>
          <w:sz w:val="28"/>
          <w:szCs w:val="28"/>
        </w:rPr>
        <w:t xml:space="preserve">ах присутствия. География ПАО «Сбербанк» </w:t>
      </w:r>
      <w:r w:rsidRPr="004F38ED">
        <w:rPr>
          <w:rFonts w:ascii="Times New Roman" w:hAnsi="Times New Roman" w:cs="Times New Roman"/>
          <w:sz w:val="28"/>
          <w:szCs w:val="28"/>
        </w:rPr>
        <w:t>охватывает 22 страны, включая Российскую Федер</w:t>
      </w:r>
      <w:r>
        <w:rPr>
          <w:rFonts w:ascii="Times New Roman" w:hAnsi="Times New Roman" w:cs="Times New Roman"/>
          <w:sz w:val="28"/>
          <w:szCs w:val="28"/>
        </w:rPr>
        <w:t>ацию. Количество клиентов банка</w:t>
      </w:r>
      <w:r w:rsidRPr="004F38E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38ED">
        <w:rPr>
          <w:rFonts w:ascii="Times New Roman" w:hAnsi="Times New Roman" w:cs="Times New Roman"/>
          <w:sz w:val="28"/>
          <w:szCs w:val="28"/>
        </w:rPr>
        <w:t>145,6 млн.</w:t>
      </w:r>
    </w:p>
    <w:p w:rsidR="00BC1414"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этап развития ПАО «Сбербанк» представлен внедрением различных инновационных решений, новыми программами и прогрессивными технологиями. </w:t>
      </w:r>
    </w:p>
    <w:p w:rsidR="004F38ED" w:rsidRDefault="004F38ED" w:rsidP="004F38ED">
      <w:pPr>
        <w:spacing w:after="0" w:line="360" w:lineRule="auto"/>
        <w:ind w:firstLine="709"/>
        <w:jc w:val="both"/>
        <w:rPr>
          <w:rFonts w:ascii="Times New Roman" w:hAnsi="Times New Roman" w:cs="Times New Roman"/>
          <w:sz w:val="28"/>
          <w:szCs w:val="28"/>
        </w:rPr>
      </w:pPr>
      <w:r w:rsidRPr="004F38ED">
        <w:rPr>
          <w:rFonts w:ascii="Times New Roman" w:hAnsi="Times New Roman" w:cs="Times New Roman"/>
          <w:sz w:val="28"/>
          <w:szCs w:val="28"/>
        </w:rPr>
        <w:t>По состоянию на 31 декабр</w:t>
      </w:r>
      <w:r>
        <w:rPr>
          <w:rFonts w:ascii="Times New Roman" w:hAnsi="Times New Roman" w:cs="Times New Roman"/>
          <w:sz w:val="28"/>
          <w:szCs w:val="28"/>
        </w:rPr>
        <w:t xml:space="preserve">я 2016 года деятельность банка </w:t>
      </w:r>
      <w:r w:rsidRPr="004F38ED">
        <w:rPr>
          <w:rFonts w:ascii="Times New Roman" w:hAnsi="Times New Roman" w:cs="Times New Roman"/>
          <w:sz w:val="28"/>
          <w:szCs w:val="28"/>
        </w:rPr>
        <w:t>на территории Российской</w:t>
      </w:r>
      <w:r>
        <w:rPr>
          <w:rFonts w:ascii="Times New Roman" w:hAnsi="Times New Roman" w:cs="Times New Roman"/>
          <w:sz w:val="28"/>
          <w:szCs w:val="28"/>
        </w:rPr>
        <w:t xml:space="preserve"> Федерации осуществляется через </w:t>
      </w:r>
      <w:r w:rsidRPr="004F38ED">
        <w:rPr>
          <w:rFonts w:ascii="Times New Roman" w:hAnsi="Times New Roman" w:cs="Times New Roman"/>
          <w:sz w:val="28"/>
          <w:szCs w:val="28"/>
        </w:rPr>
        <w:t>ПАО Сбербанк, который имеет 14</w:t>
      </w:r>
      <w:r>
        <w:rPr>
          <w:rFonts w:ascii="Times New Roman" w:hAnsi="Times New Roman" w:cs="Times New Roman"/>
          <w:sz w:val="28"/>
          <w:szCs w:val="28"/>
        </w:rPr>
        <w:t xml:space="preserve"> территориальных банков, 79 от</w:t>
      </w:r>
      <w:r w:rsidRPr="004F38ED">
        <w:rPr>
          <w:rFonts w:ascii="Times New Roman" w:hAnsi="Times New Roman" w:cs="Times New Roman"/>
          <w:sz w:val="28"/>
          <w:szCs w:val="28"/>
        </w:rPr>
        <w:t>делений территориальных бан</w:t>
      </w:r>
      <w:r>
        <w:rPr>
          <w:rFonts w:ascii="Times New Roman" w:hAnsi="Times New Roman" w:cs="Times New Roman"/>
          <w:sz w:val="28"/>
          <w:szCs w:val="28"/>
        </w:rPr>
        <w:t xml:space="preserve">ков и 15 016 точек обслуживания </w:t>
      </w:r>
      <w:r w:rsidRPr="004F38ED">
        <w:rPr>
          <w:rFonts w:ascii="Times New Roman" w:hAnsi="Times New Roman" w:cs="Times New Roman"/>
          <w:sz w:val="28"/>
          <w:szCs w:val="28"/>
        </w:rPr>
        <w:t>клиентов, а также через основные</w:t>
      </w:r>
      <w:r>
        <w:rPr>
          <w:rFonts w:ascii="Times New Roman" w:hAnsi="Times New Roman" w:cs="Times New Roman"/>
          <w:sz w:val="28"/>
          <w:szCs w:val="28"/>
        </w:rPr>
        <w:t xml:space="preserve"> дочерние компании, расположен</w:t>
      </w:r>
      <w:r w:rsidRPr="004F38ED">
        <w:rPr>
          <w:rFonts w:ascii="Times New Roman" w:hAnsi="Times New Roman" w:cs="Times New Roman"/>
          <w:sz w:val="28"/>
          <w:szCs w:val="28"/>
        </w:rPr>
        <w:t>ные в Российской Федерации, – А</w:t>
      </w:r>
      <w:r>
        <w:rPr>
          <w:rFonts w:ascii="Times New Roman" w:hAnsi="Times New Roman" w:cs="Times New Roman"/>
          <w:sz w:val="28"/>
          <w:szCs w:val="28"/>
        </w:rPr>
        <w:t>О «Сбербанк Лизинг», ООО «Сбер</w:t>
      </w:r>
      <w:r w:rsidRPr="004F38ED">
        <w:rPr>
          <w:rFonts w:ascii="Times New Roman" w:hAnsi="Times New Roman" w:cs="Times New Roman"/>
          <w:sz w:val="28"/>
          <w:szCs w:val="28"/>
        </w:rPr>
        <w:t>банк Капитал», компании бывшей Г</w:t>
      </w:r>
      <w:r>
        <w:rPr>
          <w:rFonts w:ascii="Times New Roman" w:hAnsi="Times New Roman" w:cs="Times New Roman"/>
          <w:sz w:val="28"/>
          <w:szCs w:val="28"/>
        </w:rPr>
        <w:t xml:space="preserve">руппы компаний «Тройка Диалог», </w:t>
      </w:r>
      <w:r w:rsidRPr="004F38ED">
        <w:rPr>
          <w:rFonts w:ascii="Times New Roman" w:hAnsi="Times New Roman" w:cs="Times New Roman"/>
          <w:sz w:val="28"/>
          <w:szCs w:val="28"/>
        </w:rPr>
        <w:t xml:space="preserve">АО «НПФ Сбербанка», ООО Страховая </w:t>
      </w:r>
      <w:r>
        <w:rPr>
          <w:rFonts w:ascii="Times New Roman" w:hAnsi="Times New Roman" w:cs="Times New Roman"/>
          <w:sz w:val="28"/>
          <w:szCs w:val="28"/>
        </w:rPr>
        <w:t>компания «Сбербанк страхо</w:t>
      </w:r>
      <w:r w:rsidRPr="004F38ED">
        <w:rPr>
          <w:rFonts w:ascii="Times New Roman" w:hAnsi="Times New Roman" w:cs="Times New Roman"/>
          <w:sz w:val="28"/>
          <w:szCs w:val="28"/>
        </w:rPr>
        <w:t>вание жизни», ООО Страховая ком</w:t>
      </w:r>
      <w:r>
        <w:rPr>
          <w:rFonts w:ascii="Times New Roman" w:hAnsi="Times New Roman" w:cs="Times New Roman"/>
          <w:sz w:val="28"/>
          <w:szCs w:val="28"/>
        </w:rPr>
        <w:t xml:space="preserve">пания «Сбербанк страхование», </w:t>
      </w:r>
      <w:r w:rsidRPr="004F38ED">
        <w:rPr>
          <w:rFonts w:ascii="Times New Roman" w:hAnsi="Times New Roman" w:cs="Times New Roman"/>
          <w:sz w:val="28"/>
          <w:szCs w:val="28"/>
        </w:rPr>
        <w:t xml:space="preserve">ООО «Сбербанк Факторинг» и </w:t>
      </w:r>
      <w:r>
        <w:rPr>
          <w:rFonts w:ascii="Times New Roman" w:hAnsi="Times New Roman" w:cs="Times New Roman"/>
          <w:sz w:val="28"/>
          <w:szCs w:val="28"/>
        </w:rPr>
        <w:t xml:space="preserve">«Сетелем Банк» ООО (бывший «БНП </w:t>
      </w:r>
      <w:r w:rsidRPr="004F38ED">
        <w:rPr>
          <w:rFonts w:ascii="Times New Roman" w:hAnsi="Times New Roman" w:cs="Times New Roman"/>
          <w:sz w:val="28"/>
          <w:szCs w:val="28"/>
        </w:rPr>
        <w:t>Париба Восток» ООО). С 1 янва</w:t>
      </w:r>
      <w:r>
        <w:rPr>
          <w:rFonts w:ascii="Times New Roman" w:hAnsi="Times New Roman" w:cs="Times New Roman"/>
          <w:sz w:val="28"/>
          <w:szCs w:val="28"/>
        </w:rPr>
        <w:t xml:space="preserve">ря 2016 года Восточно-Сибирский </w:t>
      </w:r>
      <w:r w:rsidRPr="004F38ED">
        <w:rPr>
          <w:rFonts w:ascii="Times New Roman" w:hAnsi="Times New Roman" w:cs="Times New Roman"/>
          <w:sz w:val="28"/>
          <w:szCs w:val="28"/>
        </w:rPr>
        <w:t>территориальный банк был реор</w:t>
      </w:r>
      <w:r>
        <w:rPr>
          <w:rFonts w:ascii="Times New Roman" w:hAnsi="Times New Roman" w:cs="Times New Roman"/>
          <w:sz w:val="28"/>
          <w:szCs w:val="28"/>
        </w:rPr>
        <w:t>ганизован с передачей его фили</w:t>
      </w:r>
      <w:r w:rsidRPr="004F38ED">
        <w:rPr>
          <w:rFonts w:ascii="Times New Roman" w:hAnsi="Times New Roman" w:cs="Times New Roman"/>
          <w:sz w:val="28"/>
          <w:szCs w:val="28"/>
        </w:rPr>
        <w:t>альной сети в организационное подчинение Сиби</w:t>
      </w:r>
      <w:r>
        <w:rPr>
          <w:rFonts w:ascii="Times New Roman" w:hAnsi="Times New Roman" w:cs="Times New Roman"/>
          <w:sz w:val="28"/>
          <w:szCs w:val="28"/>
        </w:rPr>
        <w:t>рскому территори</w:t>
      </w:r>
      <w:r w:rsidRPr="004F38ED">
        <w:rPr>
          <w:rFonts w:ascii="Times New Roman" w:hAnsi="Times New Roman" w:cs="Times New Roman"/>
          <w:sz w:val="28"/>
          <w:szCs w:val="28"/>
        </w:rPr>
        <w:t>альному банку, тогда как Северо-</w:t>
      </w:r>
      <w:r>
        <w:rPr>
          <w:rFonts w:ascii="Times New Roman" w:hAnsi="Times New Roman" w:cs="Times New Roman"/>
          <w:sz w:val="28"/>
          <w:szCs w:val="28"/>
        </w:rPr>
        <w:t xml:space="preserve">Кавказский территориальный </w:t>
      </w:r>
      <w:r>
        <w:rPr>
          <w:rFonts w:ascii="Times New Roman" w:hAnsi="Times New Roman" w:cs="Times New Roman"/>
          <w:sz w:val="28"/>
          <w:szCs w:val="28"/>
        </w:rPr>
        <w:lastRenderedPageBreak/>
        <w:t xml:space="preserve">банк </w:t>
      </w:r>
      <w:r w:rsidRPr="004F38ED">
        <w:rPr>
          <w:rFonts w:ascii="Times New Roman" w:hAnsi="Times New Roman" w:cs="Times New Roman"/>
          <w:sz w:val="28"/>
          <w:szCs w:val="28"/>
        </w:rPr>
        <w:t>был реорганизован с передачей ег</w:t>
      </w:r>
      <w:r>
        <w:rPr>
          <w:rFonts w:ascii="Times New Roman" w:hAnsi="Times New Roman" w:cs="Times New Roman"/>
          <w:sz w:val="28"/>
          <w:szCs w:val="28"/>
        </w:rPr>
        <w:t>о филиальной сети в организаци</w:t>
      </w:r>
      <w:r w:rsidRPr="004F38ED">
        <w:rPr>
          <w:rFonts w:ascii="Times New Roman" w:hAnsi="Times New Roman" w:cs="Times New Roman"/>
          <w:sz w:val="28"/>
          <w:szCs w:val="28"/>
        </w:rPr>
        <w:t>онное подчинение Юго-Западному территориальному банку.</w:t>
      </w:r>
    </w:p>
    <w:p w:rsidR="004F38ED" w:rsidRPr="004F38ED" w:rsidRDefault="004F38ED" w:rsidP="004F38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Группы за пределами Российской Федерации осуществляется через дочерние банки, расположенные </w:t>
      </w:r>
      <w:r w:rsidRPr="004F38ED">
        <w:rPr>
          <w:rFonts w:ascii="Times New Roman" w:hAnsi="Times New Roman" w:cs="Times New Roman"/>
          <w:sz w:val="28"/>
          <w:szCs w:val="28"/>
        </w:rPr>
        <w:t>н</w:t>
      </w:r>
      <w:r>
        <w:rPr>
          <w:rFonts w:ascii="Times New Roman" w:hAnsi="Times New Roman" w:cs="Times New Roman"/>
          <w:sz w:val="28"/>
          <w:szCs w:val="28"/>
        </w:rPr>
        <w:t xml:space="preserve">а Украине, в Турции, Республике Беларусь, Казахстане, Австрии, Швейцарии и прочих странах Центральной и Восточной </w:t>
      </w:r>
      <w:r w:rsidRPr="004F38ED">
        <w:rPr>
          <w:rFonts w:ascii="Times New Roman" w:hAnsi="Times New Roman" w:cs="Times New Roman"/>
          <w:sz w:val="28"/>
          <w:szCs w:val="28"/>
        </w:rPr>
        <w:t>Е</w:t>
      </w:r>
      <w:r>
        <w:rPr>
          <w:rFonts w:ascii="Times New Roman" w:hAnsi="Times New Roman" w:cs="Times New Roman"/>
          <w:sz w:val="28"/>
          <w:szCs w:val="28"/>
        </w:rPr>
        <w:t xml:space="preserve">вропы, а также через филиал в Индии, представительства в Германии и Китае и компании бывшей Группы компаний «Тройка Диалог», расположенные в США, Великобритании, </w:t>
      </w:r>
      <w:r w:rsidRPr="004F38ED">
        <w:rPr>
          <w:rFonts w:ascii="Times New Roman" w:hAnsi="Times New Roman" w:cs="Times New Roman"/>
          <w:sz w:val="28"/>
          <w:szCs w:val="28"/>
        </w:rPr>
        <w:t>на Кипре и в ряде других стран.</w:t>
      </w:r>
    </w:p>
    <w:p w:rsidR="004F38ED" w:rsidRDefault="004F38ED" w:rsidP="004F38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клиентов банка за пределами России достигло </w:t>
      </w:r>
      <w:r w:rsidRPr="004F38ED">
        <w:rPr>
          <w:rFonts w:ascii="Times New Roman" w:hAnsi="Times New Roman" w:cs="Times New Roman"/>
          <w:sz w:val="28"/>
          <w:szCs w:val="28"/>
        </w:rPr>
        <w:t>14,</w:t>
      </w:r>
      <w:r>
        <w:rPr>
          <w:rFonts w:ascii="Times New Roman" w:hAnsi="Times New Roman" w:cs="Times New Roman"/>
          <w:sz w:val="28"/>
          <w:szCs w:val="28"/>
        </w:rPr>
        <w:t>8 млн человек. Доля международного бизнеса составляет 14 % активов Группы по данным управ</w:t>
      </w:r>
      <w:r w:rsidRPr="004F38ED">
        <w:rPr>
          <w:rFonts w:ascii="Times New Roman" w:hAnsi="Times New Roman" w:cs="Times New Roman"/>
          <w:sz w:val="28"/>
          <w:szCs w:val="28"/>
        </w:rPr>
        <w:t>ленческой отчетности.</w:t>
      </w:r>
    </w:p>
    <w:p w:rsidR="00BC1414" w:rsidRPr="00B301D9"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ПАО «Сбербанк» на сегодняшний момент представлена следующими направлениями: </w:t>
      </w:r>
    </w:p>
    <w:p w:rsidR="00BC1414" w:rsidRPr="00587D40" w:rsidRDefault="00BC1414" w:rsidP="00BC1414">
      <w:pPr>
        <w:spacing w:after="0" w:line="360" w:lineRule="auto"/>
        <w:ind w:firstLine="709"/>
        <w:rPr>
          <w:rFonts w:ascii="Times New Roman" w:hAnsi="Times New Roman" w:cs="Times New Roman"/>
          <w:sz w:val="28"/>
          <w:szCs w:val="28"/>
        </w:rPr>
      </w:pPr>
      <w:r w:rsidRPr="00587D40">
        <w:rPr>
          <w:rFonts w:ascii="Times New Roman" w:hAnsi="Times New Roman" w:cs="Times New Roman"/>
          <w:sz w:val="28"/>
          <w:szCs w:val="28"/>
        </w:rPr>
        <w:t xml:space="preserve">1 – операции с корпоративными клиентами: </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обслуживание расчетных и текущих счетов;</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открытие депозитов;</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предоставление финансирования;</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выдача гарантий;</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обслуживание экспортно</w:t>
      </w:r>
      <w:r>
        <w:rPr>
          <w:rFonts w:ascii="Times New Roman" w:hAnsi="Times New Roman" w:cs="Times New Roman"/>
          <w:sz w:val="28"/>
          <w:szCs w:val="28"/>
        </w:rPr>
        <w:t>–</w:t>
      </w:r>
      <w:r w:rsidRPr="00587D40">
        <w:rPr>
          <w:rFonts w:ascii="Times New Roman" w:hAnsi="Times New Roman" w:cs="Times New Roman"/>
          <w:sz w:val="28"/>
          <w:szCs w:val="28"/>
        </w:rPr>
        <w:t>импортных операций;</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инкассация;</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конверсионные услуг;</w:t>
      </w:r>
    </w:p>
    <w:p w:rsidR="00BC1414" w:rsidRPr="00587D40" w:rsidRDefault="00BC1414" w:rsidP="00BC1414">
      <w:pPr>
        <w:spacing w:after="0" w:line="360" w:lineRule="auto"/>
        <w:ind w:left="284" w:firstLine="709"/>
        <w:rPr>
          <w:rFonts w:ascii="Times New Roman" w:hAnsi="Times New Roman" w:cs="Times New Roman"/>
          <w:sz w:val="28"/>
          <w:szCs w:val="28"/>
        </w:rPr>
      </w:pPr>
      <w:r>
        <w:rPr>
          <w:rFonts w:ascii="Times New Roman" w:hAnsi="Times New Roman" w:cs="Times New Roman"/>
          <w:sz w:val="28"/>
          <w:szCs w:val="28"/>
        </w:rPr>
        <w:t>–</w:t>
      </w:r>
      <w:r w:rsidRPr="00587D40">
        <w:rPr>
          <w:rFonts w:ascii="Times New Roman" w:hAnsi="Times New Roman" w:cs="Times New Roman"/>
          <w:sz w:val="28"/>
          <w:szCs w:val="28"/>
        </w:rPr>
        <w:t xml:space="preserve"> денежные переводы в пользу юридических лиц и др.</w:t>
      </w:r>
    </w:p>
    <w:p w:rsidR="00BC1414" w:rsidRPr="00587D40" w:rsidRDefault="00BC1414" w:rsidP="00BC1414">
      <w:pPr>
        <w:spacing w:after="0" w:line="360" w:lineRule="auto"/>
        <w:ind w:firstLine="709"/>
        <w:rPr>
          <w:rFonts w:ascii="Times New Roman" w:hAnsi="Times New Roman" w:cs="Times New Roman"/>
          <w:color w:val="000000"/>
          <w:sz w:val="28"/>
          <w:szCs w:val="28"/>
        </w:rPr>
      </w:pPr>
      <w:r w:rsidRPr="00587D40">
        <w:rPr>
          <w:rFonts w:ascii="Times New Roman" w:hAnsi="Times New Roman" w:cs="Times New Roman"/>
          <w:color w:val="000000"/>
          <w:sz w:val="28"/>
          <w:szCs w:val="28"/>
        </w:rPr>
        <w:t xml:space="preserve">2 </w:t>
      </w: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операции с розничными клиентами: </w:t>
      </w:r>
    </w:p>
    <w:p w:rsidR="00BC1414" w:rsidRPr="00587D40" w:rsidRDefault="00BC1414" w:rsidP="00BC1414">
      <w:pPr>
        <w:spacing w:after="0" w:line="360" w:lineRule="auto"/>
        <w:ind w:left="284"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принятие средств во вклады и ценные бумаги;</w:t>
      </w:r>
    </w:p>
    <w:p w:rsidR="00BC1414" w:rsidRPr="00587D40" w:rsidRDefault="00BC1414" w:rsidP="00BC1414">
      <w:pPr>
        <w:spacing w:after="0" w:line="360" w:lineRule="auto"/>
        <w:ind w:left="284"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587D40">
        <w:rPr>
          <w:rFonts w:ascii="Times New Roman" w:hAnsi="Times New Roman" w:cs="Times New Roman"/>
          <w:color w:val="000000"/>
          <w:sz w:val="28"/>
          <w:szCs w:val="28"/>
        </w:rPr>
        <w:t xml:space="preserve"> кредитование;</w:t>
      </w:r>
    </w:p>
    <w:p w:rsidR="00BC1414" w:rsidRPr="00587D40" w:rsidRDefault="00BC1414" w:rsidP="00BC1414">
      <w:pPr>
        <w:spacing w:after="0" w:line="360" w:lineRule="auto"/>
        <w:ind w:left="284"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обслуживание банковских карт;</w:t>
      </w:r>
    </w:p>
    <w:p w:rsidR="00BC1414" w:rsidRPr="00587D40" w:rsidRDefault="00BC1414" w:rsidP="00BC1414">
      <w:pPr>
        <w:spacing w:after="0" w:line="360" w:lineRule="auto"/>
        <w:ind w:left="284"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операции с драгоценными металлами;</w:t>
      </w:r>
    </w:p>
    <w:p w:rsidR="00BC1414" w:rsidRPr="00587D40" w:rsidRDefault="00BC1414" w:rsidP="00BC1414">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купля</w:t>
      </w: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продажа иностранной валюты;</w:t>
      </w:r>
    </w:p>
    <w:p w:rsidR="00BC1414" w:rsidRPr="00587D40" w:rsidRDefault="00BC1414" w:rsidP="00BC1414">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платежи, денежные переводы, хранение ценностей и др.</w:t>
      </w:r>
    </w:p>
    <w:p w:rsidR="00BC1414" w:rsidRPr="00587D40" w:rsidRDefault="00BC1414" w:rsidP="00BC1414">
      <w:pPr>
        <w:spacing w:after="0" w:line="360" w:lineRule="auto"/>
        <w:ind w:firstLine="709"/>
        <w:rPr>
          <w:rFonts w:ascii="Times New Roman" w:hAnsi="Times New Roman" w:cs="Times New Roman"/>
          <w:color w:val="000000"/>
          <w:sz w:val="28"/>
          <w:szCs w:val="28"/>
        </w:rPr>
      </w:pPr>
      <w:r w:rsidRPr="00587D40">
        <w:rPr>
          <w:rFonts w:ascii="Times New Roman" w:hAnsi="Times New Roman" w:cs="Times New Roman"/>
          <w:color w:val="000000"/>
          <w:sz w:val="28"/>
          <w:szCs w:val="28"/>
        </w:rPr>
        <w:t xml:space="preserve">3 </w:t>
      </w: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Операции на финансовых рынках: </w:t>
      </w:r>
    </w:p>
    <w:p w:rsidR="00BC1414" w:rsidRPr="00587D40" w:rsidRDefault="00BC1414" w:rsidP="00BC1414">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с ценными бумагами, производными финансовыми инструментами, иностранной валютой; </w:t>
      </w:r>
    </w:p>
    <w:p w:rsidR="00BC1414" w:rsidRDefault="00BC1414" w:rsidP="00BC1414">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w:t>
      </w:r>
      <w:r w:rsidRPr="00587D40">
        <w:rPr>
          <w:rFonts w:ascii="Times New Roman" w:hAnsi="Times New Roman" w:cs="Times New Roman"/>
          <w:color w:val="000000"/>
          <w:sz w:val="28"/>
          <w:szCs w:val="28"/>
        </w:rPr>
        <w:t xml:space="preserve"> размещение и привлечение средств на межбанковском рынке и рынках капитала и др.</w:t>
      </w:r>
    </w:p>
    <w:p w:rsidR="00BC1414" w:rsidRDefault="00BC1414" w:rsidP="00BC1414">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Рассмотрим организационную структуру управления ПАО «Сбербанк» (см. рисунок 2.1.).</w:t>
      </w:r>
    </w:p>
    <w:p w:rsidR="00BC1414" w:rsidRDefault="00BC1414" w:rsidP="00BC1414">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933440" cy="48304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4830445"/>
                    </a:xfrm>
                    <a:prstGeom prst="rect">
                      <a:avLst/>
                    </a:prstGeom>
                    <a:noFill/>
                    <a:ln>
                      <a:noFill/>
                    </a:ln>
                  </pic:spPr>
                </pic:pic>
              </a:graphicData>
            </a:graphic>
          </wp:inline>
        </w:drawing>
      </w:r>
    </w:p>
    <w:p w:rsidR="00BC1414" w:rsidRDefault="00BC1414" w:rsidP="00104888">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2.1. - </w:t>
      </w:r>
      <w:r w:rsidR="00104888">
        <w:rPr>
          <w:rFonts w:ascii="Times New Roman" w:hAnsi="Times New Roman" w:cs="Times New Roman"/>
          <w:color w:val="000000"/>
          <w:sz w:val="28"/>
          <w:szCs w:val="28"/>
        </w:rPr>
        <w:t>О</w:t>
      </w:r>
      <w:r w:rsidR="00104888" w:rsidRPr="00104888">
        <w:rPr>
          <w:rFonts w:ascii="Times New Roman" w:hAnsi="Times New Roman" w:cs="Times New Roman"/>
          <w:color w:val="000000"/>
          <w:sz w:val="28"/>
          <w:szCs w:val="28"/>
        </w:rPr>
        <w:t>рганизационн</w:t>
      </w:r>
      <w:r w:rsidR="00104888">
        <w:rPr>
          <w:rFonts w:ascii="Times New Roman" w:hAnsi="Times New Roman" w:cs="Times New Roman"/>
          <w:color w:val="000000"/>
          <w:sz w:val="28"/>
          <w:szCs w:val="28"/>
        </w:rPr>
        <w:t>ая структура</w:t>
      </w:r>
      <w:r w:rsidR="00104888" w:rsidRPr="00104888">
        <w:rPr>
          <w:rFonts w:ascii="Times New Roman" w:hAnsi="Times New Roman" w:cs="Times New Roman"/>
          <w:color w:val="000000"/>
          <w:sz w:val="28"/>
          <w:szCs w:val="28"/>
        </w:rPr>
        <w:t xml:space="preserve"> управления ПАО «Сбербанк»</w:t>
      </w:r>
    </w:p>
    <w:p w:rsidR="00BC1414" w:rsidRDefault="00BC1414" w:rsidP="00BC1414">
      <w:pPr>
        <w:spacing w:after="0" w:line="360" w:lineRule="auto"/>
        <w:ind w:firstLine="709"/>
        <w:rPr>
          <w:rFonts w:ascii="Times New Roman" w:hAnsi="Times New Roman" w:cs="Times New Roman"/>
          <w:color w:val="000000"/>
          <w:sz w:val="28"/>
          <w:szCs w:val="28"/>
        </w:rPr>
      </w:pPr>
    </w:p>
    <w:p w:rsidR="00104888" w:rsidRP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Эффективность работы Наб</w:t>
      </w:r>
      <w:r>
        <w:rPr>
          <w:rFonts w:ascii="Times New Roman" w:hAnsi="Times New Roman" w:cs="Times New Roman"/>
          <w:sz w:val="28"/>
          <w:szCs w:val="28"/>
        </w:rPr>
        <w:t xml:space="preserve">людательного совета достигается </w:t>
      </w:r>
      <w:r w:rsidRPr="00104888">
        <w:rPr>
          <w:rFonts w:ascii="Times New Roman" w:hAnsi="Times New Roman" w:cs="Times New Roman"/>
          <w:sz w:val="28"/>
          <w:szCs w:val="28"/>
        </w:rPr>
        <w:t xml:space="preserve">за счет сбалансированности </w:t>
      </w:r>
      <w:r>
        <w:rPr>
          <w:rFonts w:ascii="Times New Roman" w:hAnsi="Times New Roman" w:cs="Times New Roman"/>
          <w:sz w:val="28"/>
          <w:szCs w:val="28"/>
        </w:rPr>
        <w:t xml:space="preserve">состава и его скоординированной </w:t>
      </w:r>
      <w:r w:rsidRPr="00104888">
        <w:rPr>
          <w:rFonts w:ascii="Times New Roman" w:hAnsi="Times New Roman" w:cs="Times New Roman"/>
          <w:sz w:val="28"/>
          <w:szCs w:val="28"/>
        </w:rPr>
        <w:t>работы. В состав Наблюдательного совета входят лица, и</w:t>
      </w:r>
      <w:r>
        <w:rPr>
          <w:rFonts w:ascii="Times New Roman" w:hAnsi="Times New Roman" w:cs="Times New Roman"/>
          <w:sz w:val="28"/>
          <w:szCs w:val="28"/>
        </w:rPr>
        <w:t xml:space="preserve">меющие </w:t>
      </w:r>
      <w:r w:rsidRPr="00104888">
        <w:rPr>
          <w:rFonts w:ascii="Times New Roman" w:hAnsi="Times New Roman" w:cs="Times New Roman"/>
          <w:sz w:val="28"/>
          <w:szCs w:val="28"/>
        </w:rPr>
        <w:t>разный возраст, гендерную</w:t>
      </w:r>
      <w:r>
        <w:rPr>
          <w:rFonts w:ascii="Times New Roman" w:hAnsi="Times New Roman" w:cs="Times New Roman"/>
          <w:sz w:val="28"/>
          <w:szCs w:val="28"/>
        </w:rPr>
        <w:t xml:space="preserve"> и национальную принадлежность, </w:t>
      </w:r>
      <w:r w:rsidRPr="00104888">
        <w:rPr>
          <w:rFonts w:ascii="Times New Roman" w:hAnsi="Times New Roman" w:cs="Times New Roman"/>
          <w:sz w:val="28"/>
          <w:szCs w:val="28"/>
        </w:rPr>
        <w:t>обладающие знаниями и комп</w:t>
      </w:r>
      <w:r>
        <w:rPr>
          <w:rFonts w:ascii="Times New Roman" w:hAnsi="Times New Roman" w:cs="Times New Roman"/>
          <w:sz w:val="28"/>
          <w:szCs w:val="28"/>
        </w:rPr>
        <w:t xml:space="preserve">етенциями, пониманием специфики </w:t>
      </w:r>
      <w:r w:rsidRPr="00104888">
        <w:rPr>
          <w:rFonts w:ascii="Times New Roman" w:hAnsi="Times New Roman" w:cs="Times New Roman"/>
          <w:sz w:val="28"/>
          <w:szCs w:val="28"/>
        </w:rPr>
        <w:t>международных рынков и зару</w:t>
      </w:r>
      <w:r>
        <w:rPr>
          <w:rFonts w:ascii="Times New Roman" w:hAnsi="Times New Roman" w:cs="Times New Roman"/>
          <w:sz w:val="28"/>
          <w:szCs w:val="28"/>
        </w:rPr>
        <w:t xml:space="preserve">бежных культур </w:t>
      </w:r>
      <w:r>
        <w:rPr>
          <w:rFonts w:ascii="Times New Roman" w:hAnsi="Times New Roman" w:cs="Times New Roman"/>
          <w:sz w:val="28"/>
          <w:szCs w:val="28"/>
        </w:rPr>
        <w:lastRenderedPageBreak/>
        <w:t xml:space="preserve">ведения бизнеса, </w:t>
      </w:r>
      <w:r w:rsidRPr="00104888">
        <w:rPr>
          <w:rFonts w:ascii="Times New Roman" w:hAnsi="Times New Roman" w:cs="Times New Roman"/>
          <w:sz w:val="28"/>
          <w:szCs w:val="28"/>
        </w:rPr>
        <w:t>необходимыми для эффективного выполнения задач и функций</w:t>
      </w:r>
    </w:p>
    <w:p w:rsid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Наблюдательного совета и реше</w:t>
      </w:r>
      <w:r>
        <w:rPr>
          <w:rFonts w:ascii="Times New Roman" w:hAnsi="Times New Roman" w:cs="Times New Roman"/>
          <w:sz w:val="28"/>
          <w:szCs w:val="28"/>
        </w:rPr>
        <w:t xml:space="preserve">ния долгосрочных стратегических задач развития Сбербанка. </w:t>
      </w:r>
      <w:r w:rsidRPr="00104888">
        <w:rPr>
          <w:rFonts w:ascii="Times New Roman" w:hAnsi="Times New Roman" w:cs="Times New Roman"/>
          <w:sz w:val="28"/>
          <w:szCs w:val="28"/>
        </w:rPr>
        <w:t xml:space="preserve">Состав Наблюдательного совета </w:t>
      </w:r>
      <w:r>
        <w:rPr>
          <w:rFonts w:ascii="Times New Roman" w:hAnsi="Times New Roman" w:cs="Times New Roman"/>
          <w:sz w:val="28"/>
          <w:szCs w:val="28"/>
        </w:rPr>
        <w:t xml:space="preserve">является сбалансированным также </w:t>
      </w:r>
      <w:r w:rsidRPr="00104888">
        <w:rPr>
          <w:rFonts w:ascii="Times New Roman" w:hAnsi="Times New Roman" w:cs="Times New Roman"/>
          <w:sz w:val="28"/>
          <w:szCs w:val="28"/>
        </w:rPr>
        <w:t>с точки зрения учета интересо</w:t>
      </w:r>
      <w:r>
        <w:rPr>
          <w:rFonts w:ascii="Times New Roman" w:hAnsi="Times New Roman" w:cs="Times New Roman"/>
          <w:sz w:val="28"/>
          <w:szCs w:val="28"/>
        </w:rPr>
        <w:t xml:space="preserve">в всех акционеров и ограничения </w:t>
      </w:r>
      <w:r w:rsidRPr="00104888">
        <w:rPr>
          <w:rFonts w:ascii="Times New Roman" w:hAnsi="Times New Roman" w:cs="Times New Roman"/>
          <w:sz w:val="28"/>
          <w:szCs w:val="28"/>
        </w:rPr>
        <w:t>доминирующего влияния пре</w:t>
      </w:r>
      <w:r>
        <w:rPr>
          <w:rFonts w:ascii="Times New Roman" w:hAnsi="Times New Roman" w:cs="Times New Roman"/>
          <w:sz w:val="28"/>
          <w:szCs w:val="28"/>
        </w:rPr>
        <w:t xml:space="preserve">дставителей основного акционера </w:t>
      </w:r>
      <w:r w:rsidRPr="00104888">
        <w:rPr>
          <w:rFonts w:ascii="Times New Roman" w:hAnsi="Times New Roman" w:cs="Times New Roman"/>
          <w:sz w:val="28"/>
          <w:szCs w:val="28"/>
        </w:rPr>
        <w:t>на принимаемые Наблюдательным советом решения.</w:t>
      </w:r>
    </w:p>
    <w:p w:rsid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Для предварительного рассмот</w:t>
      </w:r>
      <w:r>
        <w:rPr>
          <w:rFonts w:ascii="Times New Roman" w:hAnsi="Times New Roman" w:cs="Times New Roman"/>
          <w:sz w:val="28"/>
          <w:szCs w:val="28"/>
        </w:rPr>
        <w:t xml:space="preserve">рения наиболее важных вопросов, </w:t>
      </w:r>
      <w:r w:rsidRPr="00104888">
        <w:rPr>
          <w:rFonts w:ascii="Times New Roman" w:hAnsi="Times New Roman" w:cs="Times New Roman"/>
          <w:sz w:val="28"/>
          <w:szCs w:val="28"/>
        </w:rPr>
        <w:t>относящихся к компетенции Наблюдат</w:t>
      </w:r>
      <w:r>
        <w:rPr>
          <w:rFonts w:ascii="Times New Roman" w:hAnsi="Times New Roman" w:cs="Times New Roman"/>
          <w:sz w:val="28"/>
          <w:szCs w:val="28"/>
        </w:rPr>
        <w:t xml:space="preserve">ельного совета, и подготовки </w:t>
      </w:r>
      <w:r w:rsidRPr="00104888">
        <w:rPr>
          <w:rFonts w:ascii="Times New Roman" w:hAnsi="Times New Roman" w:cs="Times New Roman"/>
          <w:sz w:val="28"/>
          <w:szCs w:val="28"/>
        </w:rPr>
        <w:t>рекомендаций для принятия решени</w:t>
      </w:r>
      <w:r>
        <w:rPr>
          <w:rFonts w:ascii="Times New Roman" w:hAnsi="Times New Roman" w:cs="Times New Roman"/>
          <w:sz w:val="28"/>
          <w:szCs w:val="28"/>
        </w:rPr>
        <w:t xml:space="preserve">й по таким вопросам в структуре </w:t>
      </w:r>
      <w:r w:rsidRPr="00104888">
        <w:rPr>
          <w:rFonts w:ascii="Times New Roman" w:hAnsi="Times New Roman" w:cs="Times New Roman"/>
          <w:sz w:val="28"/>
          <w:szCs w:val="28"/>
        </w:rPr>
        <w:t>Наблюдательного совета создано че</w:t>
      </w:r>
      <w:r>
        <w:rPr>
          <w:rFonts w:ascii="Times New Roman" w:hAnsi="Times New Roman" w:cs="Times New Roman"/>
          <w:sz w:val="28"/>
          <w:szCs w:val="28"/>
        </w:rPr>
        <w:t>тыре Комитета: Комитет по ауди</w:t>
      </w:r>
      <w:r w:rsidRPr="00104888">
        <w:rPr>
          <w:rFonts w:ascii="Times New Roman" w:hAnsi="Times New Roman" w:cs="Times New Roman"/>
          <w:sz w:val="28"/>
          <w:szCs w:val="28"/>
        </w:rPr>
        <w:t>ту, Комитет по кадрам и вознагражде</w:t>
      </w:r>
      <w:r>
        <w:rPr>
          <w:rFonts w:ascii="Times New Roman" w:hAnsi="Times New Roman" w:cs="Times New Roman"/>
          <w:sz w:val="28"/>
          <w:szCs w:val="28"/>
        </w:rPr>
        <w:t>ниям, Комитет по стратегическо</w:t>
      </w:r>
      <w:r w:rsidRPr="00104888">
        <w:rPr>
          <w:rFonts w:ascii="Times New Roman" w:hAnsi="Times New Roman" w:cs="Times New Roman"/>
          <w:sz w:val="28"/>
          <w:szCs w:val="28"/>
        </w:rPr>
        <w:t>му планированию и Комитет по уп</w:t>
      </w:r>
      <w:r>
        <w:rPr>
          <w:rFonts w:ascii="Times New Roman" w:hAnsi="Times New Roman" w:cs="Times New Roman"/>
          <w:sz w:val="28"/>
          <w:szCs w:val="28"/>
        </w:rPr>
        <w:t xml:space="preserve">равлению рисками. </w:t>
      </w:r>
      <w:r w:rsidRPr="00104888">
        <w:rPr>
          <w:rFonts w:ascii="Times New Roman" w:hAnsi="Times New Roman" w:cs="Times New Roman"/>
          <w:sz w:val="28"/>
          <w:szCs w:val="28"/>
        </w:rPr>
        <w:t>Комитеты в своей деятельности под</w:t>
      </w:r>
      <w:r>
        <w:rPr>
          <w:rFonts w:ascii="Times New Roman" w:hAnsi="Times New Roman" w:cs="Times New Roman"/>
          <w:sz w:val="28"/>
          <w:szCs w:val="28"/>
        </w:rPr>
        <w:t xml:space="preserve">отчетны Наблюдательному совету. </w:t>
      </w:r>
      <w:r w:rsidRPr="00104888">
        <w:rPr>
          <w:rFonts w:ascii="Times New Roman" w:hAnsi="Times New Roman" w:cs="Times New Roman"/>
          <w:sz w:val="28"/>
          <w:szCs w:val="28"/>
        </w:rPr>
        <w:t>Председатели Комитетов пред</w:t>
      </w:r>
      <w:r>
        <w:rPr>
          <w:rFonts w:ascii="Times New Roman" w:hAnsi="Times New Roman" w:cs="Times New Roman"/>
          <w:sz w:val="28"/>
          <w:szCs w:val="28"/>
        </w:rPr>
        <w:t xml:space="preserve">ставляют Наблюдательному совету </w:t>
      </w:r>
      <w:r w:rsidRPr="00104888">
        <w:rPr>
          <w:rFonts w:ascii="Times New Roman" w:hAnsi="Times New Roman" w:cs="Times New Roman"/>
          <w:sz w:val="28"/>
          <w:szCs w:val="28"/>
        </w:rPr>
        <w:t>Отчеты о проделанной работе возг</w:t>
      </w:r>
      <w:r>
        <w:rPr>
          <w:rFonts w:ascii="Times New Roman" w:hAnsi="Times New Roman" w:cs="Times New Roman"/>
          <w:sz w:val="28"/>
          <w:szCs w:val="28"/>
        </w:rPr>
        <w:t>лавляемых ими Комитетов, содер</w:t>
      </w:r>
      <w:r w:rsidRPr="00104888">
        <w:rPr>
          <w:rFonts w:ascii="Times New Roman" w:hAnsi="Times New Roman" w:cs="Times New Roman"/>
          <w:sz w:val="28"/>
          <w:szCs w:val="28"/>
        </w:rPr>
        <w:t>жанию рассмотренных вопросов и принятых решениях.</w:t>
      </w:r>
    </w:p>
    <w:p w:rsid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В целях обеспечения эффективн</w:t>
      </w:r>
      <w:r>
        <w:rPr>
          <w:rFonts w:ascii="Times New Roman" w:hAnsi="Times New Roman" w:cs="Times New Roman"/>
          <w:sz w:val="28"/>
          <w:szCs w:val="28"/>
        </w:rPr>
        <w:t>ости принимаемых решений и под</w:t>
      </w:r>
      <w:r w:rsidRPr="00104888">
        <w:rPr>
          <w:rFonts w:ascii="Times New Roman" w:hAnsi="Times New Roman" w:cs="Times New Roman"/>
          <w:sz w:val="28"/>
          <w:szCs w:val="28"/>
        </w:rPr>
        <w:t>держания баланса интересов разл</w:t>
      </w:r>
      <w:r>
        <w:rPr>
          <w:rFonts w:ascii="Times New Roman" w:hAnsi="Times New Roman" w:cs="Times New Roman"/>
          <w:sz w:val="28"/>
          <w:szCs w:val="28"/>
        </w:rPr>
        <w:t xml:space="preserve">ичных групп акционеров в состав </w:t>
      </w:r>
      <w:r w:rsidRPr="00104888">
        <w:rPr>
          <w:rFonts w:ascii="Times New Roman" w:hAnsi="Times New Roman" w:cs="Times New Roman"/>
          <w:sz w:val="28"/>
          <w:szCs w:val="28"/>
        </w:rPr>
        <w:t>Наблюдательного совет</w:t>
      </w:r>
      <w:r>
        <w:rPr>
          <w:rFonts w:ascii="Times New Roman" w:hAnsi="Times New Roman" w:cs="Times New Roman"/>
          <w:sz w:val="28"/>
          <w:szCs w:val="28"/>
        </w:rPr>
        <w:t xml:space="preserve">а входят независимые директора. </w:t>
      </w:r>
      <w:r w:rsidRPr="00104888">
        <w:rPr>
          <w:rFonts w:ascii="Times New Roman" w:hAnsi="Times New Roman" w:cs="Times New Roman"/>
          <w:sz w:val="28"/>
          <w:szCs w:val="28"/>
        </w:rPr>
        <w:t>Из 14 членов Наблюдательного с</w:t>
      </w:r>
      <w:r>
        <w:rPr>
          <w:rFonts w:ascii="Times New Roman" w:hAnsi="Times New Roman" w:cs="Times New Roman"/>
          <w:sz w:val="28"/>
          <w:szCs w:val="28"/>
        </w:rPr>
        <w:t xml:space="preserve">овета шесть директоров являются </w:t>
      </w:r>
      <w:r w:rsidRPr="00104888">
        <w:rPr>
          <w:rFonts w:ascii="Times New Roman" w:hAnsi="Times New Roman" w:cs="Times New Roman"/>
          <w:sz w:val="28"/>
          <w:szCs w:val="28"/>
        </w:rPr>
        <w:t>независимыми.</w:t>
      </w:r>
    </w:p>
    <w:p w:rsidR="00104888" w:rsidRP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В ходе проведения Наблюдательн</w:t>
      </w:r>
      <w:r>
        <w:rPr>
          <w:rFonts w:ascii="Times New Roman" w:hAnsi="Times New Roman" w:cs="Times New Roman"/>
          <w:sz w:val="28"/>
          <w:szCs w:val="28"/>
        </w:rPr>
        <w:t xml:space="preserve">ым советом оценки независимости </w:t>
      </w:r>
      <w:r w:rsidRPr="00104888">
        <w:rPr>
          <w:rFonts w:ascii="Times New Roman" w:hAnsi="Times New Roman" w:cs="Times New Roman"/>
          <w:sz w:val="28"/>
          <w:szCs w:val="28"/>
        </w:rPr>
        <w:t>членов Совета пять из шести дире</w:t>
      </w:r>
      <w:r>
        <w:rPr>
          <w:rFonts w:ascii="Times New Roman" w:hAnsi="Times New Roman" w:cs="Times New Roman"/>
          <w:sz w:val="28"/>
          <w:szCs w:val="28"/>
        </w:rPr>
        <w:t>кторов признаны полностью соот</w:t>
      </w:r>
      <w:r w:rsidRPr="00104888">
        <w:rPr>
          <w:rFonts w:ascii="Times New Roman" w:hAnsi="Times New Roman" w:cs="Times New Roman"/>
          <w:sz w:val="28"/>
          <w:szCs w:val="28"/>
        </w:rPr>
        <w:t>ветствующими критериям незави</w:t>
      </w:r>
      <w:r>
        <w:rPr>
          <w:rFonts w:ascii="Times New Roman" w:hAnsi="Times New Roman" w:cs="Times New Roman"/>
          <w:sz w:val="28"/>
          <w:szCs w:val="28"/>
        </w:rPr>
        <w:t xml:space="preserve">симости, определенными Кодексом </w:t>
      </w:r>
      <w:r w:rsidRPr="00104888">
        <w:rPr>
          <w:rFonts w:ascii="Times New Roman" w:hAnsi="Times New Roman" w:cs="Times New Roman"/>
          <w:sz w:val="28"/>
          <w:szCs w:val="28"/>
        </w:rPr>
        <w:t>корпоративного управления Банка России и Правилами листинга</w:t>
      </w:r>
      <w:r>
        <w:rPr>
          <w:rFonts w:ascii="Times New Roman" w:hAnsi="Times New Roman" w:cs="Times New Roman"/>
          <w:sz w:val="28"/>
          <w:szCs w:val="28"/>
        </w:rPr>
        <w:t xml:space="preserve"> </w:t>
      </w:r>
      <w:r w:rsidRPr="00104888">
        <w:rPr>
          <w:rFonts w:ascii="Times New Roman" w:hAnsi="Times New Roman" w:cs="Times New Roman"/>
          <w:sz w:val="28"/>
          <w:szCs w:val="28"/>
        </w:rPr>
        <w:lastRenderedPageBreak/>
        <w:t>Московской биржи; один дир</w:t>
      </w:r>
      <w:r>
        <w:rPr>
          <w:rFonts w:ascii="Times New Roman" w:hAnsi="Times New Roman" w:cs="Times New Roman"/>
          <w:sz w:val="28"/>
          <w:szCs w:val="28"/>
        </w:rPr>
        <w:t xml:space="preserve">ектор, имея формальные критерии </w:t>
      </w:r>
      <w:r w:rsidRPr="00104888">
        <w:rPr>
          <w:rFonts w:ascii="Times New Roman" w:hAnsi="Times New Roman" w:cs="Times New Roman"/>
          <w:sz w:val="28"/>
          <w:szCs w:val="28"/>
        </w:rPr>
        <w:t>связанности со Сбербанком и Р</w:t>
      </w:r>
      <w:r>
        <w:rPr>
          <w:rFonts w:ascii="Times New Roman" w:hAnsi="Times New Roman" w:cs="Times New Roman"/>
          <w:sz w:val="28"/>
          <w:szCs w:val="28"/>
        </w:rPr>
        <w:t xml:space="preserve">оссийской Федерацией, также был </w:t>
      </w:r>
      <w:r w:rsidRPr="00104888">
        <w:rPr>
          <w:rFonts w:ascii="Times New Roman" w:hAnsi="Times New Roman" w:cs="Times New Roman"/>
          <w:sz w:val="28"/>
          <w:szCs w:val="28"/>
        </w:rPr>
        <w:t>признан независимым в силу несущ</w:t>
      </w:r>
      <w:r>
        <w:rPr>
          <w:rFonts w:ascii="Times New Roman" w:hAnsi="Times New Roman" w:cs="Times New Roman"/>
          <w:sz w:val="28"/>
          <w:szCs w:val="28"/>
        </w:rPr>
        <w:t>ественности связанности по ука</w:t>
      </w:r>
      <w:r w:rsidRPr="00104888">
        <w:rPr>
          <w:rFonts w:ascii="Times New Roman" w:hAnsi="Times New Roman" w:cs="Times New Roman"/>
          <w:sz w:val="28"/>
          <w:szCs w:val="28"/>
        </w:rPr>
        <w:t>занным критериям и способности</w:t>
      </w:r>
      <w:r>
        <w:rPr>
          <w:rFonts w:ascii="Times New Roman" w:hAnsi="Times New Roman" w:cs="Times New Roman"/>
          <w:sz w:val="28"/>
          <w:szCs w:val="28"/>
        </w:rPr>
        <w:t xml:space="preserve"> директора действовать добросо</w:t>
      </w:r>
      <w:r w:rsidRPr="00104888">
        <w:rPr>
          <w:rFonts w:ascii="Times New Roman" w:hAnsi="Times New Roman" w:cs="Times New Roman"/>
          <w:sz w:val="28"/>
          <w:szCs w:val="28"/>
        </w:rPr>
        <w:t>вестно и разумно в интересах Сбербанка и его акционеров.</w:t>
      </w:r>
    </w:p>
    <w:p w:rsidR="00104888" w:rsidRP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Из числа независимых директор</w:t>
      </w:r>
      <w:r>
        <w:rPr>
          <w:rFonts w:ascii="Times New Roman" w:hAnsi="Times New Roman" w:cs="Times New Roman"/>
          <w:sz w:val="28"/>
          <w:szCs w:val="28"/>
        </w:rPr>
        <w:t xml:space="preserve">ов избирается старший независимый директор. </w:t>
      </w:r>
      <w:r w:rsidRPr="00104888">
        <w:rPr>
          <w:rFonts w:ascii="Times New Roman" w:hAnsi="Times New Roman" w:cs="Times New Roman"/>
          <w:sz w:val="28"/>
          <w:szCs w:val="28"/>
        </w:rPr>
        <w:t>Об оценке деят</w:t>
      </w:r>
      <w:r>
        <w:rPr>
          <w:rFonts w:ascii="Times New Roman" w:hAnsi="Times New Roman" w:cs="Times New Roman"/>
          <w:sz w:val="28"/>
          <w:szCs w:val="28"/>
        </w:rPr>
        <w:t xml:space="preserve">ельности Наблюдательного совета </w:t>
      </w:r>
      <w:r w:rsidRPr="00104888">
        <w:rPr>
          <w:rFonts w:ascii="Times New Roman" w:hAnsi="Times New Roman" w:cs="Times New Roman"/>
          <w:sz w:val="28"/>
          <w:szCs w:val="28"/>
        </w:rPr>
        <w:t>Начиная с 2012 года с целью выявлен</w:t>
      </w:r>
      <w:r>
        <w:rPr>
          <w:rFonts w:ascii="Times New Roman" w:hAnsi="Times New Roman" w:cs="Times New Roman"/>
          <w:sz w:val="28"/>
          <w:szCs w:val="28"/>
        </w:rPr>
        <w:t>ия дополнительных фокусов в ра</w:t>
      </w:r>
      <w:r w:rsidRPr="00104888">
        <w:rPr>
          <w:rFonts w:ascii="Times New Roman" w:hAnsi="Times New Roman" w:cs="Times New Roman"/>
          <w:sz w:val="28"/>
          <w:szCs w:val="28"/>
        </w:rPr>
        <w:t xml:space="preserve">боте Наблюдательного совета и его </w:t>
      </w:r>
      <w:r>
        <w:rPr>
          <w:rFonts w:ascii="Times New Roman" w:hAnsi="Times New Roman" w:cs="Times New Roman"/>
          <w:sz w:val="28"/>
          <w:szCs w:val="28"/>
        </w:rPr>
        <w:t xml:space="preserve">Комитетов, определения областей </w:t>
      </w:r>
      <w:r w:rsidRPr="00104888">
        <w:rPr>
          <w:rFonts w:ascii="Times New Roman" w:hAnsi="Times New Roman" w:cs="Times New Roman"/>
          <w:sz w:val="28"/>
          <w:szCs w:val="28"/>
        </w:rPr>
        <w:t>для улучшения и развития в Сберба</w:t>
      </w:r>
      <w:r>
        <w:rPr>
          <w:rFonts w:ascii="Times New Roman" w:hAnsi="Times New Roman" w:cs="Times New Roman"/>
          <w:sz w:val="28"/>
          <w:szCs w:val="28"/>
        </w:rPr>
        <w:t>нке сложилась практика проведе</w:t>
      </w:r>
      <w:r w:rsidRPr="00104888">
        <w:rPr>
          <w:rFonts w:ascii="Times New Roman" w:hAnsi="Times New Roman" w:cs="Times New Roman"/>
          <w:sz w:val="28"/>
          <w:szCs w:val="28"/>
        </w:rPr>
        <w:t>ния оценки деятельности Наблюдательного совета и его Комитетов.</w:t>
      </w:r>
    </w:p>
    <w:p w:rsidR="00104888" w:rsidRDefault="00104888" w:rsidP="00104888">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Внешняя оценка деятельности Наблюдательного совета с привлечением независимого консультанта</w:t>
      </w:r>
      <w:r>
        <w:rPr>
          <w:rFonts w:ascii="Times New Roman" w:hAnsi="Times New Roman" w:cs="Times New Roman"/>
          <w:sz w:val="28"/>
          <w:szCs w:val="28"/>
        </w:rPr>
        <w:t xml:space="preserve"> проводится не реже одного раза </w:t>
      </w:r>
      <w:r w:rsidRPr="00104888">
        <w:rPr>
          <w:rFonts w:ascii="Times New Roman" w:hAnsi="Times New Roman" w:cs="Times New Roman"/>
          <w:sz w:val="28"/>
          <w:szCs w:val="28"/>
        </w:rPr>
        <w:t>в три года, а в остальное врем</w:t>
      </w:r>
      <w:r>
        <w:rPr>
          <w:rFonts w:ascii="Times New Roman" w:hAnsi="Times New Roman" w:cs="Times New Roman"/>
          <w:sz w:val="28"/>
          <w:szCs w:val="28"/>
        </w:rPr>
        <w:t xml:space="preserve">я Наблюдательный совет проводит </w:t>
      </w:r>
      <w:r w:rsidRPr="00104888">
        <w:rPr>
          <w:rFonts w:ascii="Times New Roman" w:hAnsi="Times New Roman" w:cs="Times New Roman"/>
          <w:sz w:val="28"/>
          <w:szCs w:val="28"/>
        </w:rPr>
        <w:t>ежегодную самостоятельную оцен</w:t>
      </w:r>
      <w:r>
        <w:rPr>
          <w:rFonts w:ascii="Times New Roman" w:hAnsi="Times New Roman" w:cs="Times New Roman"/>
          <w:sz w:val="28"/>
          <w:szCs w:val="28"/>
        </w:rPr>
        <w:t xml:space="preserve">ку качества своей работы (через анкетирование). </w:t>
      </w:r>
      <w:r w:rsidRPr="00104888">
        <w:rPr>
          <w:rFonts w:ascii="Times New Roman" w:hAnsi="Times New Roman" w:cs="Times New Roman"/>
          <w:sz w:val="28"/>
          <w:szCs w:val="28"/>
        </w:rPr>
        <w:t>Результаты проведенной оценки (самооценки) рассматри</w:t>
      </w:r>
      <w:r>
        <w:rPr>
          <w:rFonts w:ascii="Times New Roman" w:hAnsi="Times New Roman" w:cs="Times New Roman"/>
          <w:sz w:val="28"/>
          <w:szCs w:val="28"/>
        </w:rPr>
        <w:t xml:space="preserve">ваются </w:t>
      </w:r>
      <w:r w:rsidRPr="00104888">
        <w:rPr>
          <w:rFonts w:ascii="Times New Roman" w:hAnsi="Times New Roman" w:cs="Times New Roman"/>
          <w:sz w:val="28"/>
          <w:szCs w:val="28"/>
        </w:rPr>
        <w:t>на очном заседании Наблюдательного совета.</w:t>
      </w:r>
    </w:p>
    <w:p w:rsidR="00BC1414"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 долю ПАО «Сбербанк» на </w:t>
      </w:r>
      <w:r w:rsidRPr="001B37C7">
        <w:rPr>
          <w:rFonts w:ascii="Times New Roman" w:hAnsi="Times New Roman" w:cs="Times New Roman"/>
          <w:sz w:val="28"/>
          <w:szCs w:val="28"/>
        </w:rPr>
        <w:t>основных с</w:t>
      </w:r>
      <w:r>
        <w:rPr>
          <w:rFonts w:ascii="Times New Roman" w:hAnsi="Times New Roman" w:cs="Times New Roman"/>
          <w:sz w:val="28"/>
          <w:szCs w:val="28"/>
        </w:rPr>
        <w:t>егментах фи</w:t>
      </w:r>
      <w:r w:rsidR="00104888">
        <w:rPr>
          <w:rFonts w:ascii="Times New Roman" w:hAnsi="Times New Roman" w:cs="Times New Roman"/>
          <w:sz w:val="28"/>
          <w:szCs w:val="28"/>
        </w:rPr>
        <w:t>нансового рынка (см. таблицу 2.1</w:t>
      </w:r>
      <w:r>
        <w:rPr>
          <w:rFonts w:ascii="Times New Roman" w:hAnsi="Times New Roman" w:cs="Times New Roman"/>
          <w:sz w:val="28"/>
          <w:szCs w:val="28"/>
        </w:rPr>
        <w:t>.)</w:t>
      </w:r>
    </w:p>
    <w:p w:rsidR="00BC1414" w:rsidRPr="00104888" w:rsidRDefault="00104888" w:rsidP="001048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2.1. -</w:t>
      </w:r>
      <w:r w:rsidRPr="00104888">
        <w:rPr>
          <w:rFonts w:ascii="Times New Roman" w:hAnsi="Times New Roman" w:cs="Times New Roman"/>
          <w:sz w:val="28"/>
          <w:szCs w:val="28"/>
        </w:rPr>
        <w:t xml:space="preserve"> </w:t>
      </w:r>
      <w:r w:rsidR="00BC1414" w:rsidRPr="00104888">
        <w:rPr>
          <w:rFonts w:ascii="Times New Roman" w:hAnsi="Times New Roman" w:cs="Times New Roman"/>
          <w:sz w:val="28"/>
          <w:szCs w:val="28"/>
        </w:rPr>
        <w:t>Доля ПАО «Сбербанк» на основных сегментах финансового рынка по итогам 201</w:t>
      </w:r>
      <w:r w:rsidRPr="00104888">
        <w:rPr>
          <w:rFonts w:ascii="Times New Roman" w:hAnsi="Times New Roman" w:cs="Times New Roman"/>
          <w:sz w:val="28"/>
          <w:szCs w:val="28"/>
        </w:rPr>
        <w:t>6</w:t>
      </w:r>
      <w:r w:rsidR="00BC1414" w:rsidRPr="00104888">
        <w:rPr>
          <w:rFonts w:ascii="Times New Roman" w:hAnsi="Times New Roman" w:cs="Times New Roman"/>
          <w:sz w:val="28"/>
          <w:szCs w:val="28"/>
        </w:rPr>
        <w:t xml:space="preserve"> года</w:t>
      </w:r>
    </w:p>
    <w:tbl>
      <w:tblPr>
        <w:tblW w:w="6366" w:type="dxa"/>
        <w:jc w:val="center"/>
        <w:tblInd w:w="-1213" w:type="dxa"/>
        <w:tblLook w:val="04A0"/>
      </w:tblPr>
      <w:tblGrid>
        <w:gridCol w:w="5046"/>
        <w:gridCol w:w="1320"/>
      </w:tblGrid>
      <w:tr w:rsidR="00BC1414" w:rsidRPr="00104888" w:rsidTr="00BC1414">
        <w:trPr>
          <w:trHeight w:val="300"/>
          <w:jc w:val="center"/>
        </w:trPr>
        <w:tc>
          <w:tcPr>
            <w:tcW w:w="50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b/>
                <w:color w:val="000000"/>
                <w:sz w:val="24"/>
                <w:szCs w:val="24"/>
                <w:lang w:eastAsia="ru-RU"/>
              </w:rPr>
            </w:pPr>
            <w:r w:rsidRPr="00104888">
              <w:rPr>
                <w:rFonts w:ascii="Times New Roman" w:eastAsia="Times New Roman" w:hAnsi="Times New Roman" w:cs="Times New Roman"/>
                <w:b/>
                <w:color w:val="000000"/>
                <w:sz w:val="24"/>
                <w:szCs w:val="24"/>
                <w:lang w:eastAsia="ru-RU"/>
              </w:rPr>
              <w:t>Показатель</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4" w:rsidRPr="00104888" w:rsidRDefault="00104888" w:rsidP="00BC1414">
            <w:pPr>
              <w:spacing w:after="0" w:line="240" w:lineRule="auto"/>
              <w:jc w:val="center"/>
              <w:rPr>
                <w:rFonts w:ascii="Times New Roman" w:eastAsia="Times New Roman" w:hAnsi="Times New Roman" w:cs="Times New Roman"/>
                <w:b/>
                <w:color w:val="000000"/>
                <w:sz w:val="24"/>
                <w:szCs w:val="24"/>
                <w:lang w:eastAsia="ru-RU"/>
              </w:rPr>
            </w:pPr>
            <w:r w:rsidRPr="00104888">
              <w:rPr>
                <w:rFonts w:ascii="Times New Roman" w:eastAsia="Times New Roman" w:hAnsi="Times New Roman" w:cs="Times New Roman"/>
                <w:b/>
                <w:color w:val="000000"/>
                <w:sz w:val="24"/>
                <w:szCs w:val="24"/>
                <w:lang w:eastAsia="ru-RU"/>
              </w:rPr>
              <w:t>2016</w:t>
            </w:r>
            <w:r w:rsidR="00BC1414" w:rsidRPr="00104888">
              <w:rPr>
                <w:rFonts w:ascii="Times New Roman" w:eastAsia="Times New Roman" w:hAnsi="Times New Roman" w:cs="Times New Roman"/>
                <w:b/>
                <w:color w:val="000000"/>
                <w:sz w:val="24"/>
                <w:szCs w:val="24"/>
                <w:lang w:eastAsia="ru-RU"/>
              </w:rPr>
              <w:t xml:space="preserve"> г. </w:t>
            </w:r>
          </w:p>
        </w:tc>
      </w:tr>
      <w:tr w:rsidR="00BC1414" w:rsidRPr="00104888" w:rsidTr="00BC1414">
        <w:trPr>
          <w:trHeight w:val="300"/>
          <w:jc w:val="center"/>
        </w:trPr>
        <w:tc>
          <w:tcPr>
            <w:tcW w:w="5046" w:type="dxa"/>
            <w:vMerge/>
            <w:tcBorders>
              <w:top w:val="single" w:sz="4" w:space="0" w:color="auto"/>
              <w:left w:val="single" w:sz="4" w:space="0" w:color="auto"/>
              <w:bottom w:val="single" w:sz="4" w:space="0" w:color="auto"/>
              <w:right w:val="single" w:sz="4" w:space="0" w:color="auto"/>
            </w:tcBorders>
            <w:vAlign w:val="center"/>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p>
        </w:tc>
      </w:tr>
      <w:tr w:rsidR="00BC1414" w:rsidRPr="00104888" w:rsidTr="00BC1414">
        <w:trPr>
          <w:trHeight w:val="300"/>
          <w:jc w:val="center"/>
        </w:trPr>
        <w:tc>
          <w:tcPr>
            <w:tcW w:w="5046" w:type="dxa"/>
            <w:tcBorders>
              <w:top w:val="nil"/>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Активы</w:t>
            </w:r>
          </w:p>
        </w:tc>
        <w:tc>
          <w:tcPr>
            <w:tcW w:w="1320" w:type="dxa"/>
            <w:tcBorders>
              <w:top w:val="nil"/>
              <w:left w:val="nil"/>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28,7</w:t>
            </w:r>
          </w:p>
        </w:tc>
      </w:tr>
      <w:tr w:rsidR="00BC1414" w:rsidRPr="00104888" w:rsidTr="00BC1414">
        <w:trPr>
          <w:trHeight w:val="300"/>
          <w:jc w:val="center"/>
        </w:trPr>
        <w:tc>
          <w:tcPr>
            <w:tcW w:w="5046" w:type="dxa"/>
            <w:tcBorders>
              <w:top w:val="nil"/>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Кредиты корпоративным клиентам</w:t>
            </w:r>
          </w:p>
        </w:tc>
        <w:tc>
          <w:tcPr>
            <w:tcW w:w="1320" w:type="dxa"/>
            <w:tcBorders>
              <w:top w:val="nil"/>
              <w:left w:val="nil"/>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32,2</w:t>
            </w:r>
          </w:p>
        </w:tc>
      </w:tr>
      <w:tr w:rsidR="00BC1414" w:rsidRPr="00104888" w:rsidTr="00BC1414">
        <w:trPr>
          <w:trHeight w:val="300"/>
          <w:jc w:val="center"/>
        </w:trPr>
        <w:tc>
          <w:tcPr>
            <w:tcW w:w="5046" w:type="dxa"/>
            <w:tcBorders>
              <w:top w:val="nil"/>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Кредиты частным клиентам</w:t>
            </w:r>
          </w:p>
        </w:tc>
        <w:tc>
          <w:tcPr>
            <w:tcW w:w="1320" w:type="dxa"/>
            <w:tcBorders>
              <w:top w:val="nil"/>
              <w:left w:val="nil"/>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38,7</w:t>
            </w:r>
          </w:p>
        </w:tc>
      </w:tr>
      <w:tr w:rsidR="00BC1414" w:rsidRPr="00104888" w:rsidTr="00BC1414">
        <w:trPr>
          <w:trHeight w:val="300"/>
          <w:jc w:val="center"/>
        </w:trPr>
        <w:tc>
          <w:tcPr>
            <w:tcW w:w="5046" w:type="dxa"/>
            <w:tcBorders>
              <w:top w:val="nil"/>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Средства корпоративных клиентов</w:t>
            </w:r>
          </w:p>
        </w:tc>
        <w:tc>
          <w:tcPr>
            <w:tcW w:w="1320" w:type="dxa"/>
            <w:tcBorders>
              <w:top w:val="nil"/>
              <w:left w:val="nil"/>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25</w:t>
            </w:r>
          </w:p>
        </w:tc>
      </w:tr>
      <w:tr w:rsidR="00BC1414" w:rsidRPr="00104888" w:rsidTr="00BC1414">
        <w:trPr>
          <w:trHeight w:val="300"/>
          <w:jc w:val="center"/>
        </w:trPr>
        <w:tc>
          <w:tcPr>
            <w:tcW w:w="5046" w:type="dxa"/>
            <w:tcBorders>
              <w:top w:val="nil"/>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Прибыль до налогов из прибыли</w:t>
            </w:r>
          </w:p>
        </w:tc>
        <w:tc>
          <w:tcPr>
            <w:tcW w:w="1320" w:type="dxa"/>
            <w:tcBorders>
              <w:top w:val="nil"/>
              <w:left w:val="nil"/>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146,8</w:t>
            </w:r>
          </w:p>
        </w:tc>
      </w:tr>
      <w:tr w:rsidR="00BC1414" w:rsidRPr="00104888" w:rsidTr="00BC1414">
        <w:trPr>
          <w:trHeight w:val="300"/>
          <w:jc w:val="center"/>
        </w:trPr>
        <w:tc>
          <w:tcPr>
            <w:tcW w:w="5046" w:type="dxa"/>
            <w:tcBorders>
              <w:top w:val="nil"/>
              <w:left w:val="single" w:sz="4" w:space="0" w:color="auto"/>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lastRenderedPageBreak/>
              <w:t>Капитал</w:t>
            </w:r>
          </w:p>
        </w:tc>
        <w:tc>
          <w:tcPr>
            <w:tcW w:w="1320" w:type="dxa"/>
            <w:tcBorders>
              <w:top w:val="nil"/>
              <w:left w:val="nil"/>
              <w:bottom w:val="single" w:sz="4" w:space="0" w:color="auto"/>
              <w:right w:val="single" w:sz="4" w:space="0" w:color="auto"/>
            </w:tcBorders>
            <w:shd w:val="clear" w:color="auto" w:fill="auto"/>
            <w:noWrap/>
            <w:vAlign w:val="bottom"/>
            <w:hideMark/>
          </w:tcPr>
          <w:p w:rsidR="00BC1414" w:rsidRPr="00104888" w:rsidRDefault="00BC1414" w:rsidP="00BC1414">
            <w:pPr>
              <w:spacing w:after="0" w:line="240" w:lineRule="auto"/>
              <w:jc w:val="center"/>
              <w:rPr>
                <w:rFonts w:ascii="Times New Roman" w:eastAsia="Times New Roman" w:hAnsi="Times New Roman" w:cs="Times New Roman"/>
                <w:color w:val="000000"/>
                <w:sz w:val="24"/>
                <w:szCs w:val="24"/>
                <w:lang w:eastAsia="ru-RU"/>
              </w:rPr>
            </w:pPr>
            <w:r w:rsidRPr="00104888">
              <w:rPr>
                <w:rFonts w:ascii="Times New Roman" w:eastAsia="Times New Roman" w:hAnsi="Times New Roman" w:cs="Times New Roman"/>
                <w:color w:val="000000"/>
                <w:sz w:val="24"/>
                <w:szCs w:val="24"/>
                <w:lang w:eastAsia="ru-RU"/>
              </w:rPr>
              <w:t>29,7</w:t>
            </w:r>
          </w:p>
        </w:tc>
      </w:tr>
    </w:tbl>
    <w:p w:rsidR="00BC1414" w:rsidRDefault="00BC1414" w:rsidP="00BC1414">
      <w:pPr>
        <w:spacing w:after="0" w:line="360" w:lineRule="auto"/>
        <w:ind w:firstLine="709"/>
        <w:jc w:val="both"/>
        <w:rPr>
          <w:rFonts w:ascii="Times New Roman" w:hAnsi="Times New Roman" w:cs="Times New Roman"/>
          <w:sz w:val="28"/>
          <w:szCs w:val="28"/>
        </w:rPr>
      </w:pPr>
    </w:p>
    <w:p w:rsidR="00BC1414" w:rsidRPr="00104888" w:rsidRDefault="00BC1414" w:rsidP="00BC1414">
      <w:pPr>
        <w:spacing w:after="0" w:line="360" w:lineRule="auto"/>
        <w:ind w:firstLine="709"/>
        <w:jc w:val="both"/>
        <w:rPr>
          <w:rFonts w:ascii="Times New Roman" w:hAnsi="Times New Roman" w:cs="Times New Roman"/>
          <w:sz w:val="28"/>
          <w:szCs w:val="28"/>
        </w:rPr>
      </w:pPr>
      <w:r w:rsidRPr="00104888">
        <w:rPr>
          <w:rFonts w:ascii="Times New Roman" w:hAnsi="Times New Roman" w:cs="Times New Roman"/>
          <w:sz w:val="28"/>
          <w:szCs w:val="28"/>
        </w:rPr>
        <w:t>К</w:t>
      </w:r>
      <w:r w:rsidR="00104888" w:rsidRPr="00104888">
        <w:rPr>
          <w:rFonts w:ascii="Times New Roman" w:hAnsi="Times New Roman" w:cs="Times New Roman"/>
          <w:sz w:val="28"/>
          <w:szCs w:val="28"/>
        </w:rPr>
        <w:t>ак показывают данные таблица 2.1</w:t>
      </w:r>
      <w:r w:rsidRPr="00104888">
        <w:rPr>
          <w:rFonts w:ascii="Times New Roman" w:hAnsi="Times New Roman" w:cs="Times New Roman"/>
          <w:sz w:val="28"/>
          <w:szCs w:val="28"/>
        </w:rPr>
        <w:t xml:space="preserve">., ПАО «Сбербанк» занимает значительную долю на финансовом рынке – по всем показателям отмечено более трети сегмента рынка. </w:t>
      </w:r>
    </w:p>
    <w:p w:rsidR="00BC1414"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объект исследования – ПАО «Сбербанк» является достаточно динамично развивающимся субъектом на финансовом рынке, демонстрируя рост финансовых активов, расширение предлагаемых услуг и новые направления деятельности. </w:t>
      </w:r>
    </w:p>
    <w:p w:rsidR="00BC1414" w:rsidRDefault="00BC1414" w:rsidP="00BC14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в</w:t>
      </w:r>
      <w:r w:rsidRPr="00D50FE2">
        <w:rPr>
          <w:rFonts w:ascii="Times New Roman" w:hAnsi="Times New Roman" w:cs="Times New Roman"/>
          <w:sz w:val="28"/>
          <w:szCs w:val="28"/>
        </w:rPr>
        <w:t xml:space="preserve">ажнейшими направлениями работы Сбербанка в области безопасности </w:t>
      </w:r>
      <w:r>
        <w:rPr>
          <w:rFonts w:ascii="Times New Roman" w:hAnsi="Times New Roman" w:cs="Times New Roman"/>
          <w:sz w:val="28"/>
          <w:szCs w:val="28"/>
        </w:rPr>
        <w:t xml:space="preserve"> так же остаются: </w:t>
      </w:r>
      <w:r w:rsidRPr="00D50FE2">
        <w:rPr>
          <w:rFonts w:ascii="Times New Roman" w:hAnsi="Times New Roman" w:cs="Times New Roman"/>
          <w:sz w:val="28"/>
          <w:szCs w:val="28"/>
        </w:rPr>
        <w:t>обеспечение информационной безопасности, противодействие преступным</w:t>
      </w:r>
      <w:r w:rsidR="00104888">
        <w:rPr>
          <w:rFonts w:ascii="Times New Roman" w:hAnsi="Times New Roman" w:cs="Times New Roman"/>
          <w:sz w:val="28"/>
          <w:szCs w:val="28"/>
        </w:rPr>
        <w:t xml:space="preserve"> </w:t>
      </w:r>
      <w:r w:rsidRPr="00D50FE2">
        <w:rPr>
          <w:rFonts w:ascii="Times New Roman" w:hAnsi="Times New Roman" w:cs="Times New Roman"/>
          <w:sz w:val="28"/>
          <w:szCs w:val="28"/>
        </w:rPr>
        <w:t>посягательствам на устройства самообслуживания, противодействие мошенничеству с</w:t>
      </w:r>
      <w:r w:rsidR="00104888">
        <w:rPr>
          <w:rFonts w:ascii="Times New Roman" w:hAnsi="Times New Roman" w:cs="Times New Roman"/>
          <w:sz w:val="28"/>
          <w:szCs w:val="28"/>
        </w:rPr>
        <w:t xml:space="preserve"> </w:t>
      </w:r>
      <w:r w:rsidRPr="00D50FE2">
        <w:rPr>
          <w:rFonts w:ascii="Times New Roman" w:hAnsi="Times New Roman" w:cs="Times New Roman"/>
          <w:sz w:val="28"/>
          <w:szCs w:val="28"/>
        </w:rPr>
        <w:t>использованием поддельных документов, обеспечение физической охраны объектов</w:t>
      </w:r>
      <w:r>
        <w:rPr>
          <w:rFonts w:ascii="Times New Roman" w:hAnsi="Times New Roman" w:cs="Times New Roman"/>
          <w:sz w:val="28"/>
          <w:szCs w:val="28"/>
        </w:rPr>
        <w:t xml:space="preserve"> б</w:t>
      </w:r>
      <w:r w:rsidRPr="00D50FE2">
        <w:rPr>
          <w:rFonts w:ascii="Times New Roman" w:hAnsi="Times New Roman" w:cs="Times New Roman"/>
          <w:sz w:val="28"/>
          <w:szCs w:val="28"/>
        </w:rPr>
        <w:t>анка</w:t>
      </w:r>
      <w:r>
        <w:rPr>
          <w:rFonts w:ascii="Times New Roman" w:hAnsi="Times New Roman" w:cs="Times New Roman"/>
          <w:sz w:val="28"/>
          <w:szCs w:val="28"/>
        </w:rPr>
        <w:t xml:space="preserve">, что является наиболее актуальным на современном этапе развития информационных технологий. </w:t>
      </w:r>
    </w:p>
    <w:p w:rsidR="00BC1414" w:rsidRDefault="00BC1414" w:rsidP="00BC1414">
      <w:pPr>
        <w:spacing w:after="0" w:line="360" w:lineRule="auto"/>
        <w:ind w:firstLine="709"/>
        <w:rPr>
          <w:rFonts w:ascii="Times New Roman" w:hAnsi="Times New Roman" w:cs="Times New Roman"/>
          <w:color w:val="000000"/>
          <w:sz w:val="28"/>
          <w:szCs w:val="28"/>
        </w:rPr>
      </w:pPr>
    </w:p>
    <w:p w:rsidR="009E4D17" w:rsidRDefault="009E4D17" w:rsidP="00BC1414">
      <w:pPr>
        <w:spacing w:after="0" w:line="360" w:lineRule="auto"/>
        <w:ind w:firstLine="709"/>
        <w:rPr>
          <w:rFonts w:ascii="Times New Roman" w:hAnsi="Times New Roman" w:cs="Times New Roman"/>
          <w:color w:val="000000"/>
          <w:sz w:val="28"/>
          <w:szCs w:val="28"/>
        </w:rPr>
      </w:pPr>
    </w:p>
    <w:p w:rsidR="009E4D17" w:rsidRPr="009E4D17" w:rsidRDefault="009E4D17" w:rsidP="009E4D17">
      <w:pPr>
        <w:ind w:firstLine="709"/>
        <w:rPr>
          <w:rFonts w:ascii="Times New Roman" w:hAnsi="Times New Roman" w:cs="Times New Roman"/>
          <w:b/>
          <w:sz w:val="28"/>
          <w:szCs w:val="28"/>
        </w:rPr>
      </w:pPr>
      <w:r w:rsidRPr="009E4D17">
        <w:rPr>
          <w:rFonts w:ascii="Times New Roman" w:hAnsi="Times New Roman" w:cs="Times New Roman"/>
          <w:b/>
          <w:sz w:val="28"/>
          <w:szCs w:val="28"/>
        </w:rPr>
        <w:t xml:space="preserve">2.2. Техника формирования показателей баланса банка </w:t>
      </w:r>
    </w:p>
    <w:p w:rsidR="00BC1414" w:rsidRDefault="00BC1414" w:rsidP="00BC1414">
      <w:pPr>
        <w:spacing w:after="0" w:line="360" w:lineRule="auto"/>
        <w:ind w:firstLine="709"/>
        <w:rPr>
          <w:rFonts w:ascii="Times New Roman" w:hAnsi="Times New Roman" w:cs="Times New Roman"/>
          <w:color w:val="000000"/>
          <w:sz w:val="28"/>
          <w:szCs w:val="28"/>
        </w:rPr>
      </w:pPr>
    </w:p>
    <w:p w:rsidR="00B4126F" w:rsidRDefault="00B4126F" w:rsidP="009E4D17">
      <w:pPr>
        <w:spacing w:after="0" w:line="360" w:lineRule="auto"/>
        <w:ind w:firstLine="709"/>
        <w:jc w:val="both"/>
        <w:rPr>
          <w:rFonts w:ascii="Times New Roman" w:hAnsi="Times New Roman" w:cs="Times New Roman"/>
          <w:color w:val="000000"/>
          <w:sz w:val="28"/>
          <w:szCs w:val="28"/>
        </w:rPr>
      </w:pPr>
      <w:r w:rsidRPr="00B4126F">
        <w:rPr>
          <w:rFonts w:ascii="Times New Roman" w:hAnsi="Times New Roman" w:cs="Times New Roman"/>
          <w:color w:val="000000"/>
          <w:sz w:val="28"/>
          <w:szCs w:val="28"/>
        </w:rPr>
        <w:t>ПАО «Сбербанк России» предоставляет финансовую отчетность по российским стандартам бухгалтерского учета и по международным стандартам финансовой отчетности. Аудиторскую проверку финансовой отчетности банка в соответствии с российскими правилами и международными стандартами финансово</w:t>
      </w:r>
      <w:r w:rsidR="00537C1D">
        <w:rPr>
          <w:rFonts w:ascii="Times New Roman" w:hAnsi="Times New Roman" w:cs="Times New Roman"/>
          <w:color w:val="000000"/>
          <w:sz w:val="28"/>
          <w:szCs w:val="28"/>
        </w:rPr>
        <w:t>й отчетности с 2009 года по 2016</w:t>
      </w:r>
      <w:r w:rsidRPr="00B4126F">
        <w:rPr>
          <w:rFonts w:ascii="Times New Roman" w:hAnsi="Times New Roman" w:cs="Times New Roman"/>
          <w:color w:val="000000"/>
          <w:sz w:val="28"/>
          <w:szCs w:val="28"/>
        </w:rPr>
        <w:t xml:space="preserve"> </w:t>
      </w:r>
      <w:r w:rsidRPr="00B4126F">
        <w:rPr>
          <w:rFonts w:ascii="Times New Roman" w:hAnsi="Times New Roman" w:cs="Times New Roman"/>
          <w:color w:val="000000"/>
          <w:sz w:val="28"/>
          <w:szCs w:val="28"/>
        </w:rPr>
        <w:lastRenderedPageBreak/>
        <w:t xml:space="preserve">год проводили аудиторские организации ЗАО «Эрнст энд Янг Внешаудит» и ООО </w:t>
      </w:r>
      <w:r w:rsidR="00537C1D">
        <w:rPr>
          <w:rFonts w:ascii="Times New Roman" w:hAnsi="Times New Roman" w:cs="Times New Roman"/>
          <w:color w:val="000000"/>
          <w:sz w:val="28"/>
          <w:szCs w:val="28"/>
        </w:rPr>
        <w:t xml:space="preserve">«Эрнст энд Янг». </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 xml:space="preserve">Баланс </w:t>
      </w:r>
      <w:r w:rsidR="001F01D7">
        <w:rPr>
          <w:rFonts w:ascii="Times New Roman" w:hAnsi="Times New Roman" w:cs="Times New Roman"/>
          <w:color w:val="000000"/>
          <w:sz w:val="28"/>
          <w:szCs w:val="28"/>
        </w:rPr>
        <w:t xml:space="preserve">ПАО «Сбербанк» </w:t>
      </w:r>
      <w:r w:rsidRPr="009E4D17">
        <w:rPr>
          <w:rFonts w:ascii="Times New Roman" w:hAnsi="Times New Roman" w:cs="Times New Roman"/>
          <w:color w:val="000000"/>
          <w:sz w:val="28"/>
          <w:szCs w:val="28"/>
        </w:rPr>
        <w:t xml:space="preserve">по форме 0409806 формируется по данным оборотной ведомости по счетам бухгалтерского учета кредитной организации (форма 0409101) и позволяет получать достоверную информацию об активах и пассивах </w:t>
      </w:r>
      <w:r w:rsidR="001F01D7" w:rsidRPr="001F01D7">
        <w:rPr>
          <w:rFonts w:ascii="Times New Roman" w:hAnsi="Times New Roman" w:cs="Times New Roman"/>
          <w:color w:val="000000"/>
          <w:sz w:val="28"/>
          <w:szCs w:val="28"/>
        </w:rPr>
        <w:t xml:space="preserve">ПАО «Сбербанк» </w:t>
      </w:r>
      <w:r w:rsidRPr="009E4D17">
        <w:rPr>
          <w:rFonts w:ascii="Times New Roman" w:hAnsi="Times New Roman" w:cs="Times New Roman"/>
          <w:color w:val="000000"/>
          <w:sz w:val="28"/>
          <w:szCs w:val="28"/>
        </w:rPr>
        <w:t>на ежемесячной основе.</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Данные строк Отчета рассчитываются в соответствии с Разработочной таблицей для составления бухгалтерского баланса (публикуемая форма), приведенной в Указании Банка России от 24.11.2016 года № 4212-У. При этом используются корректировки, обусловленных отсутствием доступа сторонних аналитиков к форме 0409110 «Расшифровки отдельных показателей деятельности кредитной организации» и данным аналитического учета кредитной организации.</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 xml:space="preserve">На структуру активов </w:t>
      </w:r>
      <w:r w:rsidR="001F01D7" w:rsidRPr="001F01D7">
        <w:rPr>
          <w:rFonts w:ascii="Times New Roman" w:hAnsi="Times New Roman" w:cs="Times New Roman"/>
          <w:color w:val="000000"/>
          <w:sz w:val="28"/>
          <w:szCs w:val="28"/>
        </w:rPr>
        <w:t xml:space="preserve">ПАО «Сбербанк» </w:t>
      </w:r>
      <w:r w:rsidR="001F01D7">
        <w:rPr>
          <w:rFonts w:ascii="Times New Roman" w:hAnsi="Times New Roman" w:cs="Times New Roman"/>
          <w:color w:val="000000"/>
          <w:sz w:val="28"/>
          <w:szCs w:val="28"/>
        </w:rPr>
        <w:t xml:space="preserve"> </w:t>
      </w:r>
      <w:r w:rsidRPr="009E4D17">
        <w:rPr>
          <w:rFonts w:ascii="Times New Roman" w:hAnsi="Times New Roman" w:cs="Times New Roman"/>
          <w:color w:val="000000"/>
          <w:sz w:val="28"/>
          <w:szCs w:val="28"/>
        </w:rPr>
        <w:t>существенное влияние оказывает следующая корректировка:</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Согласно применяемой методике статья «Прочие активы» в полном объеме включает остатки на счетах 47404, 47408, 47423, 60312. Это ведет к заметному увеличению статьи «Прочие активы» и незначительному уменьшению статьи «Чистая ссудная задолженность» по сравнению с данными, официально публикуемыми кредитными организациями.</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В целом разница между валютой баланса</w:t>
      </w:r>
      <w:r w:rsidR="001F01D7">
        <w:rPr>
          <w:rFonts w:ascii="Times New Roman" w:hAnsi="Times New Roman" w:cs="Times New Roman"/>
          <w:color w:val="000000"/>
          <w:sz w:val="28"/>
          <w:szCs w:val="28"/>
        </w:rPr>
        <w:t xml:space="preserve"> </w:t>
      </w:r>
      <w:r w:rsidR="001F01D7" w:rsidRPr="001F01D7">
        <w:rPr>
          <w:rFonts w:ascii="Times New Roman" w:hAnsi="Times New Roman" w:cs="Times New Roman"/>
          <w:color w:val="000000"/>
          <w:sz w:val="28"/>
          <w:szCs w:val="28"/>
        </w:rPr>
        <w:t>ПАО «Сбербанк»</w:t>
      </w:r>
      <w:r w:rsidRPr="009E4D17">
        <w:rPr>
          <w:rFonts w:ascii="Times New Roman" w:hAnsi="Times New Roman" w:cs="Times New Roman"/>
          <w:color w:val="000000"/>
          <w:sz w:val="28"/>
          <w:szCs w:val="28"/>
        </w:rPr>
        <w:t>, рассчитанной по методике сервиса, и валютой баланса, представленной в официальной отчетности кредитных организаций, составляет менее 5%, для большинства банков расхождение менее 1%.</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lastRenderedPageBreak/>
        <w:t>Имеющее место не</w:t>
      </w:r>
      <w:r w:rsidR="001F01D7">
        <w:rPr>
          <w:rFonts w:ascii="Times New Roman" w:hAnsi="Times New Roman" w:cs="Times New Roman"/>
          <w:color w:val="000000"/>
          <w:sz w:val="28"/>
          <w:szCs w:val="28"/>
        </w:rPr>
        <w:t xml:space="preserve"> </w:t>
      </w:r>
      <w:r w:rsidRPr="009E4D17">
        <w:rPr>
          <w:rFonts w:ascii="Times New Roman" w:hAnsi="Times New Roman" w:cs="Times New Roman"/>
          <w:color w:val="000000"/>
          <w:sz w:val="28"/>
          <w:szCs w:val="28"/>
        </w:rPr>
        <w:t>существенное расхождение объясняется следующим:</w:t>
      </w:r>
    </w:p>
    <w:p w:rsidR="00537C1D"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 xml:space="preserve">Статья баланса «Прочие активы», рассчитанная по методике сервиса «Риск-мониторинг» не уменьшается на резервы по прочим активам. </w:t>
      </w:r>
    </w:p>
    <w:p w:rsidR="009E4D17" w:rsidRPr="009E4D17"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Резервы по прочим активам (остатки на счетах 30607, 47425, 60324) в полном объеме отражены в статье пассива «Резервы на возможные потери по условным обязательствам кредитного характера и прочим возможным потерям».</w:t>
      </w:r>
    </w:p>
    <w:p w:rsidR="00BC1414" w:rsidRDefault="009E4D17" w:rsidP="009E4D17">
      <w:pPr>
        <w:spacing w:after="0" w:line="360" w:lineRule="auto"/>
        <w:ind w:firstLine="709"/>
        <w:jc w:val="both"/>
        <w:rPr>
          <w:rFonts w:ascii="Times New Roman" w:hAnsi="Times New Roman" w:cs="Times New Roman"/>
          <w:color w:val="000000"/>
          <w:sz w:val="28"/>
          <w:szCs w:val="28"/>
        </w:rPr>
      </w:pPr>
      <w:r w:rsidRPr="009E4D17">
        <w:rPr>
          <w:rFonts w:ascii="Times New Roman" w:hAnsi="Times New Roman" w:cs="Times New Roman"/>
          <w:color w:val="000000"/>
          <w:sz w:val="28"/>
          <w:szCs w:val="28"/>
        </w:rPr>
        <w:t xml:space="preserve">Прочие корректировки не ведут к существенному расхождению между данными Баланса </w:t>
      </w:r>
      <w:r w:rsidR="001F01D7" w:rsidRPr="001F01D7">
        <w:rPr>
          <w:rFonts w:ascii="Times New Roman" w:hAnsi="Times New Roman" w:cs="Times New Roman"/>
          <w:color w:val="000000"/>
          <w:sz w:val="28"/>
          <w:szCs w:val="28"/>
        </w:rPr>
        <w:t xml:space="preserve">ПАО «Сбербанк» </w:t>
      </w:r>
      <w:r w:rsidRPr="009E4D17">
        <w:rPr>
          <w:rFonts w:ascii="Times New Roman" w:hAnsi="Times New Roman" w:cs="Times New Roman"/>
          <w:color w:val="000000"/>
          <w:sz w:val="28"/>
          <w:szCs w:val="28"/>
        </w:rPr>
        <w:t>по форме 0409806 и официальной отчетностью кредитных организаций.</w:t>
      </w:r>
    </w:p>
    <w:p w:rsidR="00537C1D" w:rsidRDefault="00537C1D" w:rsidP="009E4D17">
      <w:pPr>
        <w:spacing w:after="0" w:line="360" w:lineRule="auto"/>
        <w:ind w:firstLine="709"/>
        <w:jc w:val="both"/>
        <w:rPr>
          <w:rFonts w:ascii="Times New Roman" w:hAnsi="Times New Roman" w:cs="Times New Roman"/>
          <w:color w:val="000000"/>
          <w:sz w:val="28"/>
          <w:szCs w:val="28"/>
        </w:rPr>
      </w:pPr>
    </w:p>
    <w:p w:rsidR="00104888" w:rsidRPr="00537C1D" w:rsidRDefault="00104888" w:rsidP="00537C1D">
      <w:pPr>
        <w:pStyle w:val="a4"/>
        <w:numPr>
          <w:ilvl w:val="1"/>
          <w:numId w:val="23"/>
        </w:numPr>
        <w:rPr>
          <w:rFonts w:ascii="Times New Roman" w:hAnsi="Times New Roman" w:cs="Times New Roman"/>
          <w:b/>
          <w:sz w:val="28"/>
          <w:szCs w:val="28"/>
        </w:rPr>
      </w:pPr>
      <w:r w:rsidRPr="00537C1D">
        <w:rPr>
          <w:rFonts w:ascii="Times New Roman" w:hAnsi="Times New Roman" w:cs="Times New Roman"/>
          <w:b/>
          <w:sz w:val="28"/>
          <w:szCs w:val="28"/>
        </w:rPr>
        <w:t xml:space="preserve">Анализ финансового состояния банка </w:t>
      </w:r>
    </w:p>
    <w:p w:rsidR="00537C1D" w:rsidRPr="00537C1D" w:rsidRDefault="00537C1D" w:rsidP="00537C1D">
      <w:pPr>
        <w:pStyle w:val="a4"/>
        <w:ind w:left="1429"/>
        <w:rPr>
          <w:rFonts w:ascii="Times New Roman" w:hAnsi="Times New Roman" w:cs="Times New Roman"/>
          <w:b/>
          <w:sz w:val="28"/>
          <w:szCs w:val="28"/>
        </w:rPr>
      </w:pPr>
    </w:p>
    <w:p w:rsidR="00BC1414" w:rsidRDefault="00BC1414" w:rsidP="00BC1414">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Проанализируем финансовое положение ПАО «Сбербанк» за с 201</w:t>
      </w:r>
      <w:r w:rsidR="00537C1D">
        <w:rPr>
          <w:rFonts w:ascii="Times New Roman" w:hAnsi="Times New Roman" w:cs="Times New Roman"/>
          <w:color w:val="000000"/>
          <w:sz w:val="28"/>
          <w:szCs w:val="28"/>
        </w:rPr>
        <w:t>4 по 2016</w:t>
      </w:r>
      <w:r>
        <w:rPr>
          <w:rFonts w:ascii="Times New Roman" w:hAnsi="Times New Roman" w:cs="Times New Roman"/>
          <w:color w:val="000000"/>
          <w:sz w:val="28"/>
          <w:szCs w:val="28"/>
        </w:rPr>
        <w:t xml:space="preserve"> гг. </w:t>
      </w:r>
      <w:r w:rsidR="00537C1D">
        <w:rPr>
          <w:rFonts w:ascii="Times New Roman" w:hAnsi="Times New Roman" w:cs="Times New Roman"/>
          <w:color w:val="000000"/>
          <w:sz w:val="28"/>
          <w:szCs w:val="28"/>
        </w:rPr>
        <w:t xml:space="preserve"> посредством анализа динамики и структуры актива и пассива ПАО «Сбербанк». </w:t>
      </w:r>
    </w:p>
    <w:p w:rsidR="00BC1414" w:rsidRDefault="00537C1D" w:rsidP="00537C1D">
      <w:pPr>
        <w:spacing w:after="0" w:line="360" w:lineRule="auto"/>
        <w:ind w:firstLine="709"/>
        <w:rPr>
          <w:rFonts w:ascii="Verdana" w:hAnsi="Verdana" w:cs="Times New Roman"/>
          <w:b/>
          <w:color w:val="000000"/>
          <w:sz w:val="24"/>
          <w:szCs w:val="28"/>
        </w:rPr>
      </w:pPr>
      <w:r>
        <w:rPr>
          <w:rFonts w:ascii="Times New Roman" w:hAnsi="Times New Roman" w:cs="Times New Roman"/>
          <w:color w:val="000000"/>
          <w:sz w:val="28"/>
          <w:szCs w:val="28"/>
        </w:rPr>
        <w:t>Таблица 2</w:t>
      </w:r>
      <w:r w:rsidRPr="00537C1D">
        <w:rPr>
          <w:rFonts w:ascii="Times New Roman" w:hAnsi="Times New Roman" w:cs="Times New Roman"/>
          <w:color w:val="000000"/>
          <w:sz w:val="28"/>
          <w:szCs w:val="28"/>
        </w:rPr>
        <w:t xml:space="preserve">.2. -  </w:t>
      </w:r>
      <w:r w:rsidR="00BC1414" w:rsidRPr="00537C1D">
        <w:rPr>
          <w:rFonts w:ascii="Times New Roman" w:hAnsi="Times New Roman" w:cs="Times New Roman"/>
          <w:color w:val="000000"/>
          <w:sz w:val="28"/>
          <w:szCs w:val="28"/>
        </w:rPr>
        <w:t>Динамка активов ПАО «Сбербанк», млрд. руб</w:t>
      </w:r>
    </w:p>
    <w:tbl>
      <w:tblPr>
        <w:tblW w:w="8960" w:type="dxa"/>
        <w:jc w:val="center"/>
        <w:tblInd w:w="93" w:type="dxa"/>
        <w:tblLook w:val="04A0"/>
      </w:tblPr>
      <w:tblGrid>
        <w:gridCol w:w="3620"/>
        <w:gridCol w:w="1040"/>
        <w:gridCol w:w="1040"/>
        <w:gridCol w:w="980"/>
        <w:gridCol w:w="1140"/>
        <w:gridCol w:w="1140"/>
      </w:tblGrid>
      <w:tr w:rsidR="00EF1306" w:rsidRPr="00EF1306" w:rsidTr="00537C1D">
        <w:trPr>
          <w:trHeight w:val="570"/>
          <w:jc w:val="center"/>
        </w:trPr>
        <w:tc>
          <w:tcPr>
            <w:tcW w:w="3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Показатель</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2014 г.</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 xml:space="preserve">2015 г. </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2016 г.</w:t>
            </w:r>
          </w:p>
        </w:tc>
        <w:tc>
          <w:tcPr>
            <w:tcW w:w="2280" w:type="dxa"/>
            <w:gridSpan w:val="2"/>
            <w:tcBorders>
              <w:top w:val="single" w:sz="4" w:space="0" w:color="auto"/>
              <w:left w:val="nil"/>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Отклонение 2016 года от</w:t>
            </w:r>
          </w:p>
        </w:tc>
      </w:tr>
      <w:tr w:rsidR="00EF1306" w:rsidRPr="00EF1306" w:rsidTr="00537C1D">
        <w:trPr>
          <w:trHeight w:val="315"/>
          <w:jc w:val="center"/>
        </w:trPr>
        <w:tc>
          <w:tcPr>
            <w:tcW w:w="3620" w:type="dxa"/>
            <w:vMerge/>
            <w:tcBorders>
              <w:top w:val="single" w:sz="4" w:space="0" w:color="auto"/>
              <w:left w:val="single" w:sz="4" w:space="0" w:color="auto"/>
              <w:bottom w:val="single" w:sz="4" w:space="0" w:color="auto"/>
              <w:right w:val="single" w:sz="4" w:space="0" w:color="auto"/>
            </w:tcBorders>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2014 г.</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2015 г.</w:t>
            </w:r>
          </w:p>
        </w:tc>
      </w:tr>
      <w:tr w:rsidR="00EF1306" w:rsidRPr="00EF1306" w:rsidTr="00537C1D">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Денежные средства</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1241</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733</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615</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49,56</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83,90</w:t>
            </w:r>
          </w:p>
        </w:tc>
      </w:tr>
      <w:tr w:rsidR="00EF1306" w:rsidRPr="00EF1306" w:rsidTr="00537C1D">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Средства в Банке России</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370</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587</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967</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261,35</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164,74</w:t>
            </w:r>
          </w:p>
        </w:tc>
      </w:tr>
      <w:tr w:rsidR="00EF1306" w:rsidRPr="00EF1306" w:rsidTr="00537C1D">
        <w:trPr>
          <w:trHeight w:val="63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Средства в кредитных организациях</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356</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356</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348</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97,75</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97,75</w:t>
            </w:r>
          </w:p>
        </w:tc>
      </w:tr>
      <w:tr w:rsidR="00EF1306" w:rsidRPr="00EF1306" w:rsidTr="00537C1D">
        <w:trPr>
          <w:trHeight w:val="63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Чистые вложения в ценные бумаги для продажи</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1745</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2316</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2270</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130,09</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98,01</w:t>
            </w:r>
          </w:p>
        </w:tc>
      </w:tr>
      <w:tr w:rsidR="00EF1306" w:rsidRPr="00EF1306" w:rsidTr="00537C1D">
        <w:trPr>
          <w:trHeight w:val="94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lastRenderedPageBreak/>
              <w:t>Чистые вложения в ценные бумаги, удерживаемые до погашения</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366</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436</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456</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124,59</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104,59</w:t>
            </w:r>
          </w:p>
        </w:tc>
      </w:tr>
      <w:tr w:rsidR="00EF1306" w:rsidRPr="00EF1306" w:rsidTr="00537C1D">
        <w:trPr>
          <w:trHeight w:val="126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Финансовые активы, оцениваемые по справедливой стоимости через прибыль или убыток</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826</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406</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141</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17,07</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34,73</w:t>
            </w:r>
          </w:p>
        </w:tc>
      </w:tr>
      <w:tr w:rsidR="00EF1306" w:rsidRPr="00EF1306" w:rsidTr="00537C1D">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Чистая ссудная задолженность</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15889</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16870</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16222</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102,10</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96,16</w:t>
            </w:r>
          </w:p>
        </w:tc>
      </w:tr>
      <w:tr w:rsidR="00EF1306" w:rsidRPr="00EF1306" w:rsidTr="00537C1D">
        <w:trPr>
          <w:trHeight w:val="63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Основные средства, материальные запасы</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479</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477</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469</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97,91</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98,32</w:t>
            </w:r>
          </w:p>
        </w:tc>
      </w:tr>
      <w:tr w:rsidR="00EF1306" w:rsidRPr="00EF1306" w:rsidTr="00537C1D">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 xml:space="preserve">Прочие активы </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475</w:t>
            </w:r>
          </w:p>
        </w:tc>
        <w:tc>
          <w:tcPr>
            <w:tcW w:w="10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526</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217</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45,68</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41,25</w:t>
            </w:r>
          </w:p>
        </w:tc>
      </w:tr>
      <w:tr w:rsidR="00EF1306" w:rsidRPr="00EF1306" w:rsidTr="00537C1D">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АКТИВЫ</w:t>
            </w:r>
          </w:p>
        </w:tc>
        <w:tc>
          <w:tcPr>
            <w:tcW w:w="1040" w:type="dxa"/>
            <w:tcBorders>
              <w:top w:val="nil"/>
              <w:left w:val="nil"/>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21747</w:t>
            </w:r>
          </w:p>
        </w:tc>
        <w:tc>
          <w:tcPr>
            <w:tcW w:w="1040" w:type="dxa"/>
            <w:tcBorders>
              <w:top w:val="nil"/>
              <w:left w:val="nil"/>
              <w:bottom w:val="single" w:sz="4" w:space="0" w:color="auto"/>
              <w:right w:val="single" w:sz="4" w:space="0" w:color="auto"/>
            </w:tcBorders>
            <w:shd w:val="clear" w:color="auto" w:fill="auto"/>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22707</w:t>
            </w:r>
          </w:p>
        </w:tc>
        <w:tc>
          <w:tcPr>
            <w:tcW w:w="98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21721</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99,88</w:t>
            </w:r>
          </w:p>
        </w:tc>
        <w:tc>
          <w:tcPr>
            <w:tcW w:w="1140" w:type="dxa"/>
            <w:tcBorders>
              <w:top w:val="nil"/>
              <w:left w:val="nil"/>
              <w:bottom w:val="single" w:sz="4" w:space="0" w:color="auto"/>
              <w:right w:val="single" w:sz="4" w:space="0" w:color="auto"/>
            </w:tcBorders>
            <w:shd w:val="clear" w:color="auto" w:fill="auto"/>
            <w:noWrap/>
            <w:vAlign w:val="center"/>
            <w:hideMark/>
          </w:tcPr>
          <w:p w:rsidR="00EF1306" w:rsidRPr="00EF1306" w:rsidRDefault="00EF1306" w:rsidP="00EF1306">
            <w:pPr>
              <w:spacing w:after="0" w:line="240" w:lineRule="auto"/>
              <w:jc w:val="center"/>
              <w:rPr>
                <w:rFonts w:ascii="Times New Roman" w:eastAsia="Times New Roman" w:hAnsi="Times New Roman" w:cs="Times New Roman"/>
                <w:color w:val="000000"/>
                <w:sz w:val="24"/>
                <w:szCs w:val="24"/>
                <w:lang w:eastAsia="ru-RU"/>
              </w:rPr>
            </w:pPr>
            <w:r w:rsidRPr="00EF1306">
              <w:rPr>
                <w:rFonts w:ascii="Times New Roman" w:eastAsia="Times New Roman" w:hAnsi="Times New Roman" w:cs="Times New Roman"/>
                <w:color w:val="000000"/>
                <w:sz w:val="24"/>
                <w:szCs w:val="24"/>
                <w:lang w:eastAsia="ru-RU"/>
              </w:rPr>
              <w:t>95,66</w:t>
            </w:r>
          </w:p>
        </w:tc>
      </w:tr>
    </w:tbl>
    <w:p w:rsidR="00EF1306" w:rsidRDefault="00EF1306" w:rsidP="00BC1414">
      <w:pPr>
        <w:spacing w:after="0" w:line="360" w:lineRule="auto"/>
        <w:ind w:firstLine="709"/>
        <w:jc w:val="center"/>
        <w:rPr>
          <w:rFonts w:ascii="Verdana" w:hAnsi="Verdana" w:cs="Times New Roman"/>
          <w:b/>
          <w:color w:val="000000"/>
          <w:sz w:val="24"/>
          <w:szCs w:val="28"/>
        </w:rPr>
      </w:pPr>
    </w:p>
    <w:p w:rsidR="006E64A3" w:rsidRDefault="006E64A3" w:rsidP="00B340C4">
      <w:pPr>
        <w:spacing w:after="0" w:line="360" w:lineRule="auto"/>
        <w:ind w:firstLine="709"/>
        <w:jc w:val="both"/>
        <w:rPr>
          <w:rFonts w:ascii="Times New Roman" w:hAnsi="Times New Roman" w:cs="Times New Roman"/>
          <w:bCs/>
          <w:iCs/>
          <w:color w:val="000000"/>
          <w:sz w:val="28"/>
          <w:szCs w:val="28"/>
        </w:rPr>
      </w:pPr>
      <w:r w:rsidRPr="006E64A3">
        <w:rPr>
          <w:rFonts w:ascii="Times New Roman" w:hAnsi="Times New Roman" w:cs="Times New Roman"/>
          <w:bCs/>
          <w:iCs/>
          <w:color w:val="000000"/>
          <w:sz w:val="28"/>
          <w:szCs w:val="28"/>
        </w:rPr>
        <w:t xml:space="preserve">В 2016 году активы </w:t>
      </w:r>
      <w:r w:rsidR="00537C1D">
        <w:rPr>
          <w:rFonts w:ascii="Times New Roman" w:hAnsi="Times New Roman" w:cs="Times New Roman"/>
          <w:bCs/>
          <w:iCs/>
          <w:color w:val="000000"/>
          <w:sz w:val="28"/>
          <w:szCs w:val="28"/>
        </w:rPr>
        <w:t>ПАО «Сбербанк»</w:t>
      </w:r>
      <w:r w:rsidRPr="006E64A3">
        <w:rPr>
          <w:rFonts w:ascii="Times New Roman" w:hAnsi="Times New Roman" w:cs="Times New Roman"/>
          <w:bCs/>
          <w:iCs/>
          <w:color w:val="000000"/>
          <w:sz w:val="28"/>
          <w:szCs w:val="28"/>
        </w:rPr>
        <w:t xml:space="preserve"> снизились </w:t>
      </w:r>
      <w:r w:rsidR="00B340C4">
        <w:rPr>
          <w:rFonts w:ascii="Times New Roman" w:hAnsi="Times New Roman" w:cs="Times New Roman"/>
          <w:bCs/>
          <w:iCs/>
          <w:color w:val="000000"/>
          <w:sz w:val="28"/>
          <w:szCs w:val="28"/>
        </w:rPr>
        <w:t xml:space="preserve">на 7,2 % – до 25,4 трлн рублей. </w:t>
      </w:r>
      <w:r w:rsidRPr="006E64A3">
        <w:rPr>
          <w:rFonts w:ascii="Times New Roman" w:hAnsi="Times New Roman" w:cs="Times New Roman"/>
          <w:bCs/>
          <w:iCs/>
          <w:color w:val="000000"/>
          <w:sz w:val="28"/>
          <w:szCs w:val="28"/>
        </w:rPr>
        <w:t>Кредиты и авансы клиентам</w:t>
      </w:r>
      <w:r>
        <w:rPr>
          <w:rFonts w:ascii="Times New Roman" w:hAnsi="Times New Roman" w:cs="Times New Roman"/>
          <w:bCs/>
          <w:iCs/>
          <w:color w:val="000000"/>
          <w:sz w:val="28"/>
          <w:szCs w:val="28"/>
        </w:rPr>
        <w:t xml:space="preserve"> остаются крупнейшей категорией </w:t>
      </w:r>
      <w:r w:rsidRPr="006E64A3">
        <w:rPr>
          <w:rFonts w:ascii="Times New Roman" w:hAnsi="Times New Roman" w:cs="Times New Roman"/>
          <w:bCs/>
          <w:iCs/>
          <w:color w:val="000000"/>
          <w:sz w:val="28"/>
          <w:szCs w:val="28"/>
        </w:rPr>
        <w:t>активов: на их долю на конец 201</w:t>
      </w:r>
      <w:r>
        <w:rPr>
          <w:rFonts w:ascii="Times New Roman" w:hAnsi="Times New Roman" w:cs="Times New Roman"/>
          <w:bCs/>
          <w:iCs/>
          <w:color w:val="000000"/>
          <w:sz w:val="28"/>
          <w:szCs w:val="28"/>
        </w:rPr>
        <w:t>6 года приходилось 68,4 % сово</w:t>
      </w:r>
      <w:r w:rsidRPr="006E64A3">
        <w:rPr>
          <w:rFonts w:ascii="Times New Roman" w:hAnsi="Times New Roman" w:cs="Times New Roman"/>
          <w:bCs/>
          <w:iCs/>
          <w:color w:val="000000"/>
          <w:sz w:val="28"/>
          <w:szCs w:val="28"/>
        </w:rPr>
        <w:t xml:space="preserve">купных активов. Доля ликвидных </w:t>
      </w:r>
      <w:r>
        <w:rPr>
          <w:rFonts w:ascii="Times New Roman" w:hAnsi="Times New Roman" w:cs="Times New Roman"/>
          <w:bCs/>
          <w:iCs/>
          <w:color w:val="000000"/>
          <w:sz w:val="28"/>
          <w:szCs w:val="28"/>
        </w:rPr>
        <w:t xml:space="preserve">активов, в число которых входят </w:t>
      </w:r>
      <w:r w:rsidRPr="006E64A3">
        <w:rPr>
          <w:rFonts w:ascii="Times New Roman" w:hAnsi="Times New Roman" w:cs="Times New Roman"/>
          <w:bCs/>
          <w:iCs/>
          <w:color w:val="000000"/>
          <w:sz w:val="28"/>
          <w:szCs w:val="28"/>
        </w:rPr>
        <w:t>денежные средства, средства в</w:t>
      </w:r>
      <w:r>
        <w:rPr>
          <w:rFonts w:ascii="Times New Roman" w:hAnsi="Times New Roman" w:cs="Times New Roman"/>
          <w:bCs/>
          <w:iCs/>
          <w:color w:val="000000"/>
          <w:sz w:val="28"/>
          <w:szCs w:val="28"/>
        </w:rPr>
        <w:t xml:space="preserve"> банках, портфель ценных бумаг, </w:t>
      </w:r>
      <w:r w:rsidRPr="006E64A3">
        <w:rPr>
          <w:rFonts w:ascii="Times New Roman" w:hAnsi="Times New Roman" w:cs="Times New Roman"/>
          <w:bCs/>
          <w:iCs/>
          <w:color w:val="000000"/>
          <w:sz w:val="28"/>
          <w:szCs w:val="28"/>
        </w:rPr>
        <w:t>составила 24,6 %. В 2016 году</w:t>
      </w:r>
      <w:r>
        <w:rPr>
          <w:rFonts w:ascii="Times New Roman" w:hAnsi="Times New Roman" w:cs="Times New Roman"/>
          <w:bCs/>
          <w:iCs/>
          <w:color w:val="000000"/>
          <w:sz w:val="28"/>
          <w:szCs w:val="28"/>
        </w:rPr>
        <w:t xml:space="preserve"> портфель ценных бумаг снизился </w:t>
      </w:r>
      <w:r w:rsidRPr="006E64A3">
        <w:rPr>
          <w:rFonts w:ascii="Times New Roman" w:hAnsi="Times New Roman" w:cs="Times New Roman"/>
          <w:bCs/>
          <w:iCs/>
          <w:color w:val="000000"/>
          <w:sz w:val="28"/>
          <w:szCs w:val="28"/>
        </w:rPr>
        <w:t>на 6,5 % – до 2,7 трлн рублей.</w:t>
      </w:r>
      <w:r>
        <w:rPr>
          <w:rFonts w:ascii="Times New Roman" w:hAnsi="Times New Roman" w:cs="Times New Roman"/>
          <w:bCs/>
          <w:iCs/>
          <w:color w:val="000000"/>
          <w:sz w:val="28"/>
          <w:szCs w:val="28"/>
        </w:rPr>
        <w:t xml:space="preserve"> Портфель практически полностью </w:t>
      </w:r>
      <w:r w:rsidRPr="006E64A3">
        <w:rPr>
          <w:rFonts w:ascii="Times New Roman" w:hAnsi="Times New Roman" w:cs="Times New Roman"/>
          <w:bCs/>
          <w:iCs/>
          <w:color w:val="000000"/>
          <w:sz w:val="28"/>
          <w:szCs w:val="28"/>
        </w:rPr>
        <w:t>состоит из облигаций и использует</w:t>
      </w:r>
      <w:r>
        <w:rPr>
          <w:rFonts w:ascii="Times New Roman" w:hAnsi="Times New Roman" w:cs="Times New Roman"/>
          <w:bCs/>
          <w:iCs/>
          <w:color w:val="000000"/>
          <w:sz w:val="28"/>
          <w:szCs w:val="28"/>
        </w:rPr>
        <w:t>ся главным образом для управле</w:t>
      </w:r>
      <w:r w:rsidRPr="006E64A3">
        <w:rPr>
          <w:rFonts w:ascii="Times New Roman" w:hAnsi="Times New Roman" w:cs="Times New Roman"/>
          <w:bCs/>
          <w:iCs/>
          <w:color w:val="000000"/>
          <w:sz w:val="28"/>
          <w:szCs w:val="28"/>
        </w:rPr>
        <w:t>ния ликвидностью</w:t>
      </w:r>
      <w:r>
        <w:rPr>
          <w:rFonts w:ascii="Times New Roman" w:hAnsi="Times New Roman" w:cs="Times New Roman"/>
          <w:bCs/>
          <w:iCs/>
          <w:color w:val="000000"/>
          <w:sz w:val="28"/>
          <w:szCs w:val="28"/>
        </w:rPr>
        <w:t>.</w:t>
      </w:r>
    </w:p>
    <w:p w:rsidR="006E64A3" w:rsidRDefault="006E64A3" w:rsidP="006E64A3">
      <w:pPr>
        <w:spacing w:after="0" w:line="360" w:lineRule="auto"/>
        <w:ind w:firstLine="709"/>
        <w:jc w:val="both"/>
        <w:rPr>
          <w:rFonts w:ascii="Times New Roman" w:hAnsi="Times New Roman" w:cs="Times New Roman"/>
          <w:bCs/>
          <w:iCs/>
          <w:color w:val="000000"/>
          <w:sz w:val="28"/>
          <w:szCs w:val="28"/>
        </w:rPr>
      </w:pPr>
      <w:r w:rsidRPr="006E64A3">
        <w:rPr>
          <w:rFonts w:ascii="Times New Roman" w:hAnsi="Times New Roman" w:cs="Times New Roman"/>
          <w:bCs/>
          <w:iCs/>
          <w:color w:val="000000"/>
          <w:sz w:val="28"/>
          <w:szCs w:val="28"/>
        </w:rPr>
        <w:t>Совокупный кредитный пор</w:t>
      </w:r>
      <w:r w:rsidR="00537C1D">
        <w:rPr>
          <w:rFonts w:ascii="Times New Roman" w:hAnsi="Times New Roman" w:cs="Times New Roman"/>
          <w:bCs/>
          <w:iCs/>
          <w:color w:val="000000"/>
          <w:sz w:val="28"/>
          <w:szCs w:val="28"/>
        </w:rPr>
        <w:t>тфель ПАО «Сбербакн»</w:t>
      </w:r>
      <w:r>
        <w:rPr>
          <w:rFonts w:ascii="Times New Roman" w:hAnsi="Times New Roman" w:cs="Times New Roman"/>
          <w:bCs/>
          <w:iCs/>
          <w:color w:val="000000"/>
          <w:sz w:val="28"/>
          <w:szCs w:val="28"/>
        </w:rPr>
        <w:t xml:space="preserve"> до вычета резервов </w:t>
      </w:r>
      <w:r w:rsidRPr="006E64A3">
        <w:rPr>
          <w:rFonts w:ascii="Times New Roman" w:hAnsi="Times New Roman" w:cs="Times New Roman"/>
          <w:bCs/>
          <w:iCs/>
          <w:color w:val="000000"/>
          <w:sz w:val="28"/>
          <w:szCs w:val="28"/>
        </w:rPr>
        <w:t xml:space="preserve">под обесценение снизился за год </w:t>
      </w:r>
      <w:r>
        <w:rPr>
          <w:rFonts w:ascii="Times New Roman" w:hAnsi="Times New Roman" w:cs="Times New Roman"/>
          <w:bCs/>
          <w:iCs/>
          <w:color w:val="000000"/>
          <w:sz w:val="28"/>
          <w:szCs w:val="28"/>
        </w:rPr>
        <w:t xml:space="preserve">на 6,3 % – до 18,7 трлн рублей. </w:t>
      </w:r>
      <w:r w:rsidRPr="006E64A3">
        <w:rPr>
          <w:rFonts w:ascii="Times New Roman" w:hAnsi="Times New Roman" w:cs="Times New Roman"/>
          <w:bCs/>
          <w:iCs/>
          <w:color w:val="000000"/>
          <w:sz w:val="28"/>
          <w:szCs w:val="28"/>
        </w:rPr>
        <w:t xml:space="preserve">Кредиты корпоративным клиентам </w:t>
      </w:r>
      <w:r>
        <w:rPr>
          <w:rFonts w:ascii="Times New Roman" w:hAnsi="Times New Roman" w:cs="Times New Roman"/>
          <w:bCs/>
          <w:iCs/>
          <w:color w:val="000000"/>
          <w:sz w:val="28"/>
          <w:szCs w:val="28"/>
        </w:rPr>
        <w:t xml:space="preserve">снизились на 8,9 % в 2016 году. </w:t>
      </w:r>
      <w:r w:rsidRPr="006E64A3">
        <w:rPr>
          <w:rFonts w:ascii="Times New Roman" w:hAnsi="Times New Roman" w:cs="Times New Roman"/>
          <w:bCs/>
          <w:iCs/>
          <w:color w:val="000000"/>
          <w:sz w:val="28"/>
          <w:szCs w:val="28"/>
        </w:rPr>
        <w:t>Кредиты частным клиентам увеличи</w:t>
      </w:r>
      <w:r>
        <w:rPr>
          <w:rFonts w:ascii="Times New Roman" w:hAnsi="Times New Roman" w:cs="Times New Roman"/>
          <w:bCs/>
          <w:iCs/>
          <w:color w:val="000000"/>
          <w:sz w:val="28"/>
          <w:szCs w:val="28"/>
        </w:rPr>
        <w:t xml:space="preserve">лись на 1,3 % в 2016 году. Доля </w:t>
      </w:r>
      <w:r w:rsidRPr="006E64A3">
        <w:rPr>
          <w:rFonts w:ascii="Times New Roman" w:hAnsi="Times New Roman" w:cs="Times New Roman"/>
          <w:bCs/>
          <w:iCs/>
          <w:color w:val="000000"/>
          <w:sz w:val="28"/>
          <w:szCs w:val="28"/>
        </w:rPr>
        <w:t>корпоративных кредитов в общем</w:t>
      </w:r>
      <w:r>
        <w:rPr>
          <w:rFonts w:ascii="Times New Roman" w:hAnsi="Times New Roman" w:cs="Times New Roman"/>
          <w:bCs/>
          <w:iCs/>
          <w:color w:val="000000"/>
          <w:sz w:val="28"/>
          <w:szCs w:val="28"/>
        </w:rPr>
        <w:t xml:space="preserve"> кредитном портфеле в 2016 году </w:t>
      </w:r>
      <w:r w:rsidRPr="006E64A3">
        <w:rPr>
          <w:rFonts w:ascii="Times New Roman" w:hAnsi="Times New Roman" w:cs="Times New Roman"/>
          <w:bCs/>
          <w:iCs/>
          <w:color w:val="000000"/>
          <w:sz w:val="28"/>
          <w:szCs w:val="28"/>
        </w:rPr>
        <w:t>по сравнению с 2015 годом несколь</w:t>
      </w:r>
      <w:r>
        <w:rPr>
          <w:rFonts w:ascii="Times New Roman" w:hAnsi="Times New Roman" w:cs="Times New Roman"/>
          <w:bCs/>
          <w:iCs/>
          <w:color w:val="000000"/>
          <w:sz w:val="28"/>
          <w:szCs w:val="28"/>
        </w:rPr>
        <w:t xml:space="preserve">ко снизилась и составила 73,1 % </w:t>
      </w:r>
      <w:r w:rsidRPr="006E64A3">
        <w:rPr>
          <w:rFonts w:ascii="Times New Roman" w:hAnsi="Times New Roman" w:cs="Times New Roman"/>
          <w:bCs/>
          <w:iCs/>
          <w:color w:val="000000"/>
          <w:sz w:val="28"/>
          <w:szCs w:val="28"/>
        </w:rPr>
        <w:t xml:space="preserve">(в 2015 – 75,1 %). Главным образом </w:t>
      </w:r>
      <w:r>
        <w:rPr>
          <w:rFonts w:ascii="Times New Roman" w:hAnsi="Times New Roman" w:cs="Times New Roman"/>
          <w:bCs/>
          <w:iCs/>
          <w:color w:val="000000"/>
          <w:sz w:val="28"/>
          <w:szCs w:val="28"/>
        </w:rPr>
        <w:t>снижение корпоративного кредит</w:t>
      </w:r>
      <w:r w:rsidRPr="006E64A3">
        <w:rPr>
          <w:rFonts w:ascii="Times New Roman" w:hAnsi="Times New Roman" w:cs="Times New Roman"/>
          <w:bCs/>
          <w:iCs/>
          <w:color w:val="000000"/>
          <w:sz w:val="28"/>
          <w:szCs w:val="28"/>
        </w:rPr>
        <w:t>ного портфеля вызвано переоц</w:t>
      </w:r>
      <w:r>
        <w:rPr>
          <w:rFonts w:ascii="Times New Roman" w:hAnsi="Times New Roman" w:cs="Times New Roman"/>
          <w:bCs/>
          <w:iCs/>
          <w:color w:val="000000"/>
          <w:sz w:val="28"/>
          <w:szCs w:val="28"/>
        </w:rPr>
        <w:t xml:space="preserve">енкой валютных кредитов в связи </w:t>
      </w:r>
      <w:r w:rsidRPr="006E64A3">
        <w:rPr>
          <w:rFonts w:ascii="Times New Roman" w:hAnsi="Times New Roman" w:cs="Times New Roman"/>
          <w:bCs/>
          <w:iCs/>
          <w:color w:val="000000"/>
          <w:sz w:val="28"/>
          <w:szCs w:val="28"/>
        </w:rPr>
        <w:t xml:space="preserve">с укреплением рубля, а также </w:t>
      </w:r>
      <w:r>
        <w:rPr>
          <w:rFonts w:ascii="Times New Roman" w:hAnsi="Times New Roman" w:cs="Times New Roman"/>
          <w:bCs/>
          <w:iCs/>
          <w:color w:val="000000"/>
          <w:sz w:val="28"/>
          <w:szCs w:val="28"/>
        </w:rPr>
        <w:t xml:space="preserve">досрочными погашениями кредитов </w:t>
      </w:r>
      <w:r w:rsidRPr="006E64A3">
        <w:rPr>
          <w:rFonts w:ascii="Times New Roman" w:hAnsi="Times New Roman" w:cs="Times New Roman"/>
          <w:bCs/>
          <w:iCs/>
          <w:color w:val="000000"/>
          <w:sz w:val="28"/>
          <w:szCs w:val="28"/>
        </w:rPr>
        <w:t>рядом крупных клиентов.</w:t>
      </w:r>
    </w:p>
    <w:p w:rsidR="00BC1414" w:rsidRDefault="00BC1414" w:rsidP="00BC1414">
      <w:pPr>
        <w:spacing w:after="0" w:line="360" w:lineRule="auto"/>
        <w:ind w:firstLine="709"/>
        <w:jc w:val="both"/>
        <w:rPr>
          <w:rFonts w:ascii="Times New Roman" w:hAnsi="Times New Roman" w:cs="Times New Roman"/>
          <w:bCs/>
          <w:iCs/>
          <w:color w:val="000000"/>
          <w:sz w:val="28"/>
          <w:szCs w:val="28"/>
        </w:rPr>
      </w:pPr>
      <w:r w:rsidRPr="00CF5736">
        <w:rPr>
          <w:rFonts w:ascii="Times New Roman" w:hAnsi="Times New Roman" w:cs="Times New Roman"/>
          <w:bCs/>
          <w:iCs/>
          <w:color w:val="000000"/>
          <w:sz w:val="28"/>
          <w:szCs w:val="28"/>
        </w:rPr>
        <w:lastRenderedPageBreak/>
        <w:t>Активы за 2014 год выросли на 33,6% и п</w:t>
      </w:r>
      <w:r>
        <w:rPr>
          <w:rFonts w:ascii="Times New Roman" w:hAnsi="Times New Roman" w:cs="Times New Roman"/>
          <w:bCs/>
          <w:iCs/>
          <w:color w:val="000000"/>
          <w:sz w:val="28"/>
          <w:szCs w:val="28"/>
        </w:rPr>
        <w:t xml:space="preserve">ревысили 21,7 трлн руб. Их рост </w:t>
      </w:r>
      <w:r w:rsidRPr="00CF5736">
        <w:rPr>
          <w:rFonts w:ascii="Times New Roman" w:hAnsi="Times New Roman" w:cs="Times New Roman"/>
          <w:bCs/>
          <w:iCs/>
          <w:color w:val="000000"/>
          <w:sz w:val="28"/>
          <w:szCs w:val="28"/>
        </w:rPr>
        <w:t>произошел в основном за счет увеличения кредитного портфеля клиентов как в реальном,</w:t>
      </w:r>
      <w:r w:rsidR="00EF1306">
        <w:rPr>
          <w:rFonts w:ascii="Times New Roman" w:hAnsi="Times New Roman" w:cs="Times New Roman"/>
          <w:bCs/>
          <w:iCs/>
          <w:color w:val="000000"/>
          <w:sz w:val="28"/>
          <w:szCs w:val="28"/>
        </w:rPr>
        <w:t xml:space="preserve"> </w:t>
      </w:r>
      <w:r w:rsidRPr="00CF5736">
        <w:rPr>
          <w:rFonts w:ascii="Times New Roman" w:hAnsi="Times New Roman" w:cs="Times New Roman"/>
          <w:bCs/>
          <w:iCs/>
          <w:color w:val="000000"/>
          <w:sz w:val="28"/>
          <w:szCs w:val="28"/>
        </w:rPr>
        <w:t>так и в номинальном выражении, т.е. без эффекта переоценки за счет изменения курса</w:t>
      </w:r>
      <w:r w:rsidR="00EF1306">
        <w:rPr>
          <w:rFonts w:ascii="Times New Roman" w:hAnsi="Times New Roman" w:cs="Times New Roman"/>
          <w:bCs/>
          <w:iCs/>
          <w:color w:val="000000"/>
          <w:sz w:val="28"/>
          <w:szCs w:val="28"/>
        </w:rPr>
        <w:t xml:space="preserve"> </w:t>
      </w:r>
      <w:r w:rsidRPr="00CF5736">
        <w:rPr>
          <w:rFonts w:ascii="Times New Roman" w:hAnsi="Times New Roman" w:cs="Times New Roman"/>
          <w:bCs/>
          <w:iCs/>
          <w:color w:val="000000"/>
          <w:sz w:val="28"/>
          <w:szCs w:val="28"/>
        </w:rPr>
        <w:t>рубля по отношению к мировым валютам. Чистая ссудная задолженность клиентов за год</w:t>
      </w:r>
      <w:r w:rsidR="00EF1306">
        <w:rPr>
          <w:rFonts w:ascii="Times New Roman" w:hAnsi="Times New Roman" w:cs="Times New Roman"/>
          <w:bCs/>
          <w:iCs/>
          <w:color w:val="000000"/>
          <w:sz w:val="28"/>
          <w:szCs w:val="28"/>
        </w:rPr>
        <w:t xml:space="preserve"> </w:t>
      </w:r>
      <w:r w:rsidRPr="00CF5736">
        <w:rPr>
          <w:rFonts w:ascii="Times New Roman" w:hAnsi="Times New Roman" w:cs="Times New Roman"/>
          <w:bCs/>
          <w:iCs/>
          <w:color w:val="000000"/>
          <w:sz w:val="28"/>
          <w:szCs w:val="28"/>
        </w:rPr>
        <w:t>увеличилась на 3,9 трлн руб. и достигла величины около 15,9 трлн руб.</w:t>
      </w:r>
    </w:p>
    <w:p w:rsidR="00BC1414" w:rsidRPr="00CF5736" w:rsidRDefault="00BC1414" w:rsidP="00BC1414">
      <w:pPr>
        <w:spacing w:after="0" w:line="360" w:lineRule="auto"/>
        <w:ind w:firstLine="709"/>
        <w:jc w:val="both"/>
        <w:rPr>
          <w:rFonts w:ascii="Times New Roman" w:hAnsi="Times New Roman" w:cs="Times New Roman"/>
          <w:bCs/>
          <w:iCs/>
          <w:color w:val="000000"/>
          <w:sz w:val="28"/>
          <w:szCs w:val="28"/>
        </w:rPr>
      </w:pPr>
      <w:r w:rsidRPr="00CF5736">
        <w:rPr>
          <w:rFonts w:ascii="Times New Roman" w:hAnsi="Times New Roman" w:cs="Times New Roman"/>
          <w:color w:val="000000"/>
          <w:sz w:val="28"/>
          <w:szCs w:val="28"/>
        </w:rPr>
        <w:t xml:space="preserve">Увеличение </w:t>
      </w:r>
      <w:r w:rsidRPr="00CF5736">
        <w:rPr>
          <w:rFonts w:ascii="Times New Roman" w:hAnsi="Times New Roman" w:cs="Times New Roman"/>
          <w:bCs/>
          <w:iCs/>
          <w:color w:val="000000"/>
          <w:sz w:val="28"/>
          <w:szCs w:val="28"/>
        </w:rPr>
        <w:t xml:space="preserve">средств в кредитных организациях </w:t>
      </w:r>
      <w:r>
        <w:rPr>
          <w:rFonts w:ascii="Times New Roman" w:hAnsi="Times New Roman" w:cs="Times New Roman"/>
          <w:color w:val="000000"/>
          <w:sz w:val="28"/>
          <w:szCs w:val="28"/>
        </w:rPr>
        <w:t xml:space="preserve">обусловлено поддержанием </w:t>
      </w:r>
      <w:r w:rsidRPr="00CF5736">
        <w:rPr>
          <w:rFonts w:ascii="Times New Roman" w:hAnsi="Times New Roman" w:cs="Times New Roman"/>
          <w:color w:val="000000"/>
          <w:sz w:val="28"/>
          <w:szCs w:val="28"/>
        </w:rPr>
        <w:t>достаточного объема высоколиквидных средств из</w:t>
      </w:r>
      <w:r>
        <w:rPr>
          <w:rFonts w:ascii="Times New Roman" w:hAnsi="Times New Roman" w:cs="Times New Roman"/>
          <w:color w:val="000000"/>
          <w:sz w:val="28"/>
          <w:szCs w:val="28"/>
        </w:rPr>
        <w:t xml:space="preserve">–за увеличившейся волатильности </w:t>
      </w:r>
      <w:r w:rsidRPr="00CF5736">
        <w:rPr>
          <w:rFonts w:ascii="Times New Roman" w:hAnsi="Times New Roman" w:cs="Times New Roman"/>
          <w:color w:val="000000"/>
          <w:sz w:val="28"/>
          <w:szCs w:val="28"/>
        </w:rPr>
        <w:t xml:space="preserve">остатков на счетах клиентов. Увеличение </w:t>
      </w:r>
      <w:r w:rsidRPr="00CF5736">
        <w:rPr>
          <w:rFonts w:ascii="Times New Roman" w:hAnsi="Times New Roman" w:cs="Times New Roman"/>
          <w:bCs/>
          <w:iCs/>
          <w:color w:val="000000"/>
          <w:sz w:val="28"/>
          <w:szCs w:val="28"/>
        </w:rPr>
        <w:t xml:space="preserve">денежных средств </w:t>
      </w:r>
      <w:r>
        <w:rPr>
          <w:rFonts w:ascii="Times New Roman" w:hAnsi="Times New Roman" w:cs="Times New Roman"/>
          <w:color w:val="000000"/>
          <w:sz w:val="28"/>
          <w:szCs w:val="28"/>
        </w:rPr>
        <w:t xml:space="preserve">произошло в основном во </w:t>
      </w:r>
      <w:r w:rsidRPr="00CF5736">
        <w:rPr>
          <w:rFonts w:ascii="Times New Roman" w:hAnsi="Times New Roman" w:cs="Times New Roman"/>
          <w:color w:val="000000"/>
          <w:sz w:val="28"/>
          <w:szCs w:val="28"/>
        </w:rPr>
        <w:t>второй половине декабря и связано с удовлетворением повышенного спроса клиентов в</w:t>
      </w:r>
      <w:r w:rsidRPr="00CF5736">
        <w:rPr>
          <w:rFonts w:ascii="Times New Roman" w:hAnsi="Times New Roman" w:cs="Times New Roman"/>
          <w:color w:val="000000"/>
          <w:sz w:val="28"/>
          <w:szCs w:val="28"/>
        </w:rPr>
        <w:br/>
        <w:t>условиях ожиданий снижения курса рубля.</w:t>
      </w:r>
    </w:p>
    <w:p w:rsidR="00BC1414" w:rsidRDefault="00BC1414" w:rsidP="00BC1414">
      <w:pPr>
        <w:spacing w:after="0" w:line="360" w:lineRule="auto"/>
        <w:ind w:firstLine="709"/>
        <w:jc w:val="both"/>
        <w:rPr>
          <w:rFonts w:ascii="Times New Roman" w:hAnsi="Times New Roman" w:cs="Times New Roman"/>
          <w:color w:val="000000"/>
          <w:sz w:val="28"/>
          <w:szCs w:val="28"/>
        </w:rPr>
      </w:pPr>
      <w:r w:rsidRPr="00CF5736">
        <w:rPr>
          <w:rFonts w:ascii="Times New Roman" w:hAnsi="Times New Roman" w:cs="Times New Roman"/>
          <w:bCs/>
          <w:iCs/>
          <w:color w:val="000000"/>
          <w:sz w:val="28"/>
          <w:szCs w:val="28"/>
        </w:rPr>
        <w:t xml:space="preserve">Активы </w:t>
      </w:r>
      <w:r w:rsidRPr="00CF5736">
        <w:rPr>
          <w:rFonts w:ascii="Times New Roman" w:hAnsi="Times New Roman" w:cs="Times New Roman"/>
          <w:color w:val="000000"/>
          <w:sz w:val="28"/>
          <w:szCs w:val="28"/>
        </w:rPr>
        <w:t>за 2015 год выросли на 4,4% и составили 22,7 трлн руб. Их рост произошел в основном за счет увеличени</w:t>
      </w:r>
      <w:r>
        <w:rPr>
          <w:rFonts w:ascii="Times New Roman" w:hAnsi="Times New Roman" w:cs="Times New Roman"/>
          <w:color w:val="000000"/>
          <w:sz w:val="28"/>
          <w:szCs w:val="28"/>
        </w:rPr>
        <w:t xml:space="preserve">я кредитного портфеля клиентов. Чистая ссудная задолженность клиентов за 2015 год увеличилась на 6,2% и достигла величины около 16,9 трлн. руб. </w:t>
      </w:r>
      <w:r w:rsidRPr="00CF5736">
        <w:rPr>
          <w:rFonts w:ascii="Times New Roman" w:hAnsi="Times New Roman" w:cs="Times New Roman"/>
          <w:color w:val="000000"/>
          <w:sz w:val="28"/>
          <w:szCs w:val="28"/>
        </w:rPr>
        <w:t xml:space="preserve">За прошедший год объем выдач кредитов корпоративным клиентам составил около 6,8 трлн руб. Частным клиентам за год выдано более 1,2 трлн руб. </w:t>
      </w:r>
    </w:p>
    <w:p w:rsidR="00BC1414" w:rsidRDefault="00EF1306" w:rsidP="00BC1414">
      <w:pPr>
        <w:jc w:val="center"/>
      </w:pPr>
      <w:r>
        <w:rPr>
          <w:noProof/>
          <w:lang w:eastAsia="ru-RU"/>
        </w:rPr>
        <w:lastRenderedPageBreak/>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1414" w:rsidRPr="00537C1D" w:rsidRDefault="00537C1D" w:rsidP="00BC1414">
      <w:pPr>
        <w:jc w:val="center"/>
        <w:rPr>
          <w:rFonts w:ascii="Times New Roman" w:hAnsi="Times New Roman" w:cs="Times New Roman"/>
          <w:sz w:val="28"/>
          <w:szCs w:val="28"/>
        </w:rPr>
      </w:pPr>
      <w:r w:rsidRPr="00537C1D">
        <w:rPr>
          <w:rFonts w:ascii="Times New Roman" w:hAnsi="Times New Roman" w:cs="Times New Roman"/>
          <w:sz w:val="28"/>
          <w:szCs w:val="28"/>
        </w:rPr>
        <w:t xml:space="preserve">Рисунок 2.2. - </w:t>
      </w:r>
      <w:r w:rsidR="00BC1414" w:rsidRPr="00537C1D">
        <w:rPr>
          <w:rFonts w:ascii="Times New Roman" w:hAnsi="Times New Roman" w:cs="Times New Roman"/>
          <w:sz w:val="28"/>
          <w:szCs w:val="28"/>
        </w:rPr>
        <w:t xml:space="preserve"> Динамика активов ПАО «Сбербанк»</w:t>
      </w:r>
    </w:p>
    <w:p w:rsidR="0036764D" w:rsidRDefault="0036764D" w:rsidP="0036764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 на снижение величины</w:t>
      </w:r>
      <w:r w:rsidRPr="00CF5736">
        <w:rPr>
          <w:rFonts w:ascii="Times New Roman" w:hAnsi="Times New Roman" w:cs="Times New Roman"/>
          <w:color w:val="000000"/>
          <w:sz w:val="28"/>
          <w:szCs w:val="28"/>
        </w:rPr>
        <w:t xml:space="preserve"> активов повлияло </w:t>
      </w:r>
      <w:r>
        <w:rPr>
          <w:rFonts w:ascii="Times New Roman" w:hAnsi="Times New Roman" w:cs="Times New Roman"/>
          <w:color w:val="000000"/>
          <w:sz w:val="28"/>
          <w:szCs w:val="28"/>
        </w:rPr>
        <w:t>уменьшение</w:t>
      </w:r>
      <w:r w:rsidRPr="00CF5736">
        <w:rPr>
          <w:rFonts w:ascii="Times New Roman" w:hAnsi="Times New Roman" w:cs="Times New Roman"/>
          <w:color w:val="000000"/>
          <w:sz w:val="28"/>
          <w:szCs w:val="28"/>
        </w:rPr>
        <w:t xml:space="preserve"> чистых вложений в ценные бумаги, произошедшее в основном за счет </w:t>
      </w:r>
      <w:r>
        <w:rPr>
          <w:rFonts w:ascii="Times New Roman" w:hAnsi="Times New Roman" w:cs="Times New Roman"/>
          <w:color w:val="000000"/>
          <w:sz w:val="28"/>
          <w:szCs w:val="28"/>
        </w:rPr>
        <w:t xml:space="preserve">отсутствия операций по </w:t>
      </w:r>
      <w:r w:rsidRPr="00CF5736">
        <w:rPr>
          <w:rFonts w:ascii="Times New Roman" w:hAnsi="Times New Roman" w:cs="Times New Roman"/>
          <w:color w:val="000000"/>
          <w:sz w:val="28"/>
          <w:szCs w:val="28"/>
        </w:rPr>
        <w:t>приобретени</w:t>
      </w:r>
      <w:r>
        <w:rPr>
          <w:rFonts w:ascii="Times New Roman" w:hAnsi="Times New Roman" w:cs="Times New Roman"/>
          <w:color w:val="000000"/>
          <w:sz w:val="28"/>
          <w:szCs w:val="28"/>
        </w:rPr>
        <w:t>ю</w:t>
      </w:r>
      <w:r w:rsidRPr="00CF5736">
        <w:rPr>
          <w:rFonts w:ascii="Times New Roman" w:hAnsi="Times New Roman" w:cs="Times New Roman"/>
          <w:color w:val="000000"/>
          <w:sz w:val="28"/>
          <w:szCs w:val="28"/>
        </w:rPr>
        <w:t xml:space="preserve"> бумаг в портфель для продажи и эффекта валютной переоценки. Снижение объема </w:t>
      </w:r>
      <w:r w:rsidRPr="00CF5736">
        <w:rPr>
          <w:rFonts w:ascii="Times New Roman" w:hAnsi="Times New Roman" w:cs="Times New Roman"/>
          <w:bCs/>
          <w:iCs/>
          <w:color w:val="000000"/>
          <w:sz w:val="28"/>
          <w:szCs w:val="28"/>
        </w:rPr>
        <w:t xml:space="preserve">денежных средств </w:t>
      </w:r>
      <w:r w:rsidRPr="00CF5736">
        <w:rPr>
          <w:rFonts w:ascii="Times New Roman" w:hAnsi="Times New Roman" w:cs="Times New Roman"/>
          <w:color w:val="000000"/>
          <w:sz w:val="28"/>
          <w:szCs w:val="28"/>
        </w:rPr>
        <w:t>произошло в основном в январе и связано со снижением спроса на наличные средства ввиду снижения волатильности курса рубля.</w:t>
      </w:r>
    </w:p>
    <w:p w:rsidR="004F38ED" w:rsidRDefault="004F38ED" w:rsidP="0036764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2.3. – Структура актива ПАО «Сбербанк», %</w:t>
      </w:r>
    </w:p>
    <w:tbl>
      <w:tblPr>
        <w:tblW w:w="9513" w:type="dxa"/>
        <w:tblInd w:w="93" w:type="dxa"/>
        <w:tblLook w:val="04A0"/>
      </w:tblPr>
      <w:tblGrid>
        <w:gridCol w:w="3560"/>
        <w:gridCol w:w="960"/>
        <w:gridCol w:w="882"/>
        <w:gridCol w:w="992"/>
        <w:gridCol w:w="1134"/>
        <w:gridCol w:w="992"/>
        <w:gridCol w:w="993"/>
      </w:tblGrid>
      <w:tr w:rsidR="004F38ED" w:rsidRPr="004F38ED" w:rsidTr="004F38ED">
        <w:trPr>
          <w:trHeight w:val="630"/>
        </w:trPr>
        <w:tc>
          <w:tcPr>
            <w:tcW w:w="3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2014 г.</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Уд. вес,%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 xml:space="preserve">2015 г.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Уд. вес,%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2016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Уд. вес,%</w:t>
            </w:r>
          </w:p>
        </w:tc>
      </w:tr>
      <w:tr w:rsidR="004F38ED" w:rsidRPr="004F38ED" w:rsidTr="004F38ED">
        <w:trPr>
          <w:trHeight w:val="315"/>
        </w:trPr>
        <w:tc>
          <w:tcPr>
            <w:tcW w:w="3560"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p>
        </w:tc>
      </w:tr>
      <w:tr w:rsidR="004F38ED" w:rsidRPr="004F38ED" w:rsidTr="004F38ED">
        <w:trPr>
          <w:trHeight w:val="37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Денежные средства</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1241</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5,71</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733</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3,23</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615</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2,83</w:t>
            </w:r>
          </w:p>
        </w:tc>
      </w:tr>
      <w:tr w:rsidR="004F38ED" w:rsidRPr="004F38ED" w:rsidTr="004F38ED">
        <w:trPr>
          <w:trHeight w:val="37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Средства в Банке России</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370</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1,70</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587</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2,59</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967</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4,45</w:t>
            </w:r>
          </w:p>
        </w:tc>
      </w:tr>
      <w:tr w:rsidR="004F38ED" w:rsidRPr="004F38ED" w:rsidTr="004F38ED">
        <w:trPr>
          <w:trHeight w:val="63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Средства в кредитных организациях</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356</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1,64</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356</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1,57</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348</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1,60</w:t>
            </w:r>
          </w:p>
        </w:tc>
      </w:tr>
      <w:tr w:rsidR="004F38ED" w:rsidRPr="004F38ED" w:rsidTr="004F38ED">
        <w:trPr>
          <w:trHeight w:val="63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Чистые вложения в ценные бумаги для продажи</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1745</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8,02</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2316</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10,20</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2270</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10,45</w:t>
            </w:r>
          </w:p>
        </w:tc>
      </w:tr>
      <w:tr w:rsidR="004F38ED" w:rsidRPr="004F38ED" w:rsidTr="004F38ED">
        <w:trPr>
          <w:trHeight w:val="94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lastRenderedPageBreak/>
              <w:t>Чистые вложения в ценные бумаги, удерживаемые до погашения</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366</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1,68</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436</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1,92</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456</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2,10</w:t>
            </w:r>
          </w:p>
        </w:tc>
      </w:tr>
      <w:tr w:rsidR="004F38ED" w:rsidRPr="004F38ED" w:rsidTr="004F38ED">
        <w:trPr>
          <w:trHeight w:val="126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Финансовые активы, оцениваемые по справедливой стоимости через прибыль или убыток</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826</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3,80</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406</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1,79</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141</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0,65</w:t>
            </w:r>
          </w:p>
        </w:tc>
      </w:tr>
      <w:tr w:rsidR="004F38ED" w:rsidRPr="004F38ED" w:rsidTr="004F38ED">
        <w:trPr>
          <w:trHeight w:val="37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Чистая ссудная задолженность</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15889</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73,06</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16870</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74,29</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16222</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74,68</w:t>
            </w:r>
          </w:p>
        </w:tc>
      </w:tr>
      <w:tr w:rsidR="004F38ED" w:rsidRPr="004F38ED" w:rsidTr="004F38ED">
        <w:trPr>
          <w:trHeight w:val="63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Основные средства, материальные запасы</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479</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2,20</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477</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2,10</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469</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2,16</w:t>
            </w:r>
          </w:p>
        </w:tc>
      </w:tr>
      <w:tr w:rsidR="004F38ED" w:rsidRPr="004F38ED" w:rsidTr="004F38ED">
        <w:trPr>
          <w:trHeight w:val="37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 xml:space="preserve">Прочие активы </w:t>
            </w:r>
          </w:p>
        </w:tc>
        <w:tc>
          <w:tcPr>
            <w:tcW w:w="960"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475</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2,18</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526</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2,32</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217</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1,00</w:t>
            </w:r>
          </w:p>
        </w:tc>
      </w:tr>
      <w:tr w:rsidR="004F38ED" w:rsidRPr="004F38ED" w:rsidTr="004F38ED">
        <w:trPr>
          <w:trHeight w:val="37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АКТИВЫ</w:t>
            </w:r>
          </w:p>
        </w:tc>
        <w:tc>
          <w:tcPr>
            <w:tcW w:w="960" w:type="dxa"/>
            <w:tcBorders>
              <w:top w:val="nil"/>
              <w:left w:val="nil"/>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21747</w:t>
            </w:r>
          </w:p>
        </w:tc>
        <w:tc>
          <w:tcPr>
            <w:tcW w:w="88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100,00</w:t>
            </w:r>
          </w:p>
        </w:tc>
        <w:tc>
          <w:tcPr>
            <w:tcW w:w="992" w:type="dxa"/>
            <w:tcBorders>
              <w:top w:val="nil"/>
              <w:left w:val="nil"/>
              <w:bottom w:val="single" w:sz="4" w:space="0" w:color="auto"/>
              <w:right w:val="single" w:sz="4" w:space="0" w:color="auto"/>
            </w:tcBorders>
            <w:shd w:val="clear" w:color="auto" w:fill="auto"/>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22707</w:t>
            </w:r>
          </w:p>
        </w:tc>
        <w:tc>
          <w:tcPr>
            <w:tcW w:w="1134"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21721</w:t>
            </w:r>
          </w:p>
        </w:tc>
        <w:tc>
          <w:tcPr>
            <w:tcW w:w="993" w:type="dxa"/>
            <w:tcBorders>
              <w:top w:val="nil"/>
              <w:left w:val="nil"/>
              <w:bottom w:val="single" w:sz="4" w:space="0" w:color="auto"/>
              <w:right w:val="single" w:sz="4" w:space="0" w:color="auto"/>
            </w:tcBorders>
            <w:shd w:val="clear" w:color="auto" w:fill="auto"/>
            <w:noWrap/>
            <w:vAlign w:val="center"/>
            <w:hideMark/>
          </w:tcPr>
          <w:p w:rsidR="004F38ED" w:rsidRPr="004F38ED" w:rsidRDefault="004F38ED" w:rsidP="004F38ED">
            <w:pPr>
              <w:spacing w:after="0" w:line="240" w:lineRule="auto"/>
              <w:jc w:val="center"/>
              <w:rPr>
                <w:rFonts w:ascii="Times New Roman" w:eastAsia="Times New Roman" w:hAnsi="Times New Roman" w:cs="Times New Roman"/>
                <w:color w:val="000000"/>
                <w:sz w:val="24"/>
                <w:szCs w:val="24"/>
                <w:lang w:eastAsia="ru-RU"/>
              </w:rPr>
            </w:pPr>
            <w:r w:rsidRPr="004F38ED">
              <w:rPr>
                <w:rFonts w:ascii="Times New Roman" w:eastAsia="Times New Roman" w:hAnsi="Times New Roman" w:cs="Times New Roman"/>
                <w:color w:val="000000"/>
                <w:sz w:val="24"/>
                <w:szCs w:val="24"/>
                <w:lang w:eastAsia="ru-RU"/>
              </w:rPr>
              <w:t>100,00</w:t>
            </w:r>
          </w:p>
        </w:tc>
      </w:tr>
    </w:tbl>
    <w:p w:rsidR="004F38ED" w:rsidRDefault="004F38ED" w:rsidP="0036764D">
      <w:pPr>
        <w:spacing w:after="0" w:line="360" w:lineRule="auto"/>
        <w:ind w:firstLine="709"/>
        <w:jc w:val="both"/>
        <w:rPr>
          <w:rFonts w:ascii="Times New Roman" w:hAnsi="Times New Roman" w:cs="Times New Roman"/>
          <w:color w:val="000000"/>
          <w:sz w:val="28"/>
          <w:szCs w:val="28"/>
        </w:rPr>
      </w:pPr>
    </w:p>
    <w:p w:rsidR="004F38ED" w:rsidRDefault="004F38ED" w:rsidP="0036764D">
      <w:pPr>
        <w:spacing w:after="0" w:line="360" w:lineRule="auto"/>
        <w:ind w:firstLine="709"/>
        <w:jc w:val="both"/>
        <w:rPr>
          <w:rFonts w:ascii="Times New Roman" w:hAnsi="Times New Roman" w:cs="Times New Roman"/>
          <w:color w:val="000000"/>
          <w:sz w:val="28"/>
          <w:szCs w:val="28"/>
        </w:rPr>
      </w:pPr>
    </w:p>
    <w:p w:rsidR="004F38ED" w:rsidRDefault="004F38ED" w:rsidP="004F38ED">
      <w:pPr>
        <w:spacing w:after="0" w:line="360" w:lineRule="auto"/>
        <w:ind w:firstLine="709"/>
        <w:jc w:val="center"/>
        <w:rPr>
          <w:rFonts w:ascii="Times New Roman" w:hAnsi="Times New Roman" w:cs="Times New Roman"/>
          <w:color w:val="000000"/>
          <w:sz w:val="28"/>
          <w:szCs w:val="28"/>
        </w:rPr>
      </w:pPr>
      <w:r>
        <w:rPr>
          <w:noProof/>
          <w:lang w:eastAsia="ru-RU"/>
        </w:rPr>
        <w:drawing>
          <wp:inline distT="0" distB="0" distL="0" distR="0">
            <wp:extent cx="5629275" cy="4043364"/>
            <wp:effectExtent l="0" t="0" r="9525" b="146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38ED" w:rsidRDefault="004F38ED" w:rsidP="0036764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 2.3. – Структура активов ПАО «Сбербанк» по состоянию на конец 2016 года, %</w:t>
      </w:r>
    </w:p>
    <w:p w:rsidR="004F38ED" w:rsidRDefault="004F38ED" w:rsidP="0036764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Как показывают данные таблицы 2.3. и рисунка 2.3., наибольший удельный вес в </w:t>
      </w:r>
      <w:r w:rsidR="00154EFC">
        <w:rPr>
          <w:rFonts w:ascii="Times New Roman" w:hAnsi="Times New Roman" w:cs="Times New Roman"/>
          <w:color w:val="000000"/>
          <w:sz w:val="28"/>
          <w:szCs w:val="28"/>
        </w:rPr>
        <w:t xml:space="preserve">структуре актива банка занимает чистая ссудная задолженность – 76%.  Наименьший удельный вес относится на средства в ЦБ РФ и средства в кредитных организациях, чистые вложения в ценные бумаги, удерживаемые до погашения  – по  2% соответственно. </w:t>
      </w:r>
    </w:p>
    <w:p w:rsidR="00BC1414" w:rsidRPr="004F38ED" w:rsidRDefault="00154EFC" w:rsidP="00537C1D">
      <w:pPr>
        <w:spacing w:after="0" w:line="360" w:lineRule="auto"/>
        <w:ind w:firstLine="709"/>
        <w:jc w:val="both"/>
        <w:rPr>
          <w:rFonts w:ascii="Verdana" w:hAnsi="Verdana" w:cs="Times New Roman"/>
          <w:b/>
          <w:sz w:val="28"/>
          <w:szCs w:val="28"/>
        </w:rPr>
      </w:pPr>
      <w:r>
        <w:rPr>
          <w:rFonts w:ascii="Times New Roman" w:hAnsi="Times New Roman" w:cs="Times New Roman"/>
          <w:color w:val="000000"/>
          <w:sz w:val="28"/>
          <w:szCs w:val="28"/>
        </w:rPr>
        <w:t>Таблица 2.4</w:t>
      </w:r>
      <w:r w:rsidR="00537C1D" w:rsidRPr="004F38ED">
        <w:rPr>
          <w:rFonts w:ascii="Times New Roman" w:hAnsi="Times New Roman" w:cs="Times New Roman"/>
          <w:color w:val="000000"/>
          <w:sz w:val="28"/>
          <w:szCs w:val="28"/>
        </w:rPr>
        <w:t xml:space="preserve">. - </w:t>
      </w:r>
      <w:r w:rsidR="00BC1414" w:rsidRPr="004F38ED">
        <w:rPr>
          <w:rFonts w:ascii="Times New Roman" w:hAnsi="Times New Roman" w:cs="Times New Roman"/>
          <w:sz w:val="28"/>
          <w:szCs w:val="28"/>
        </w:rPr>
        <w:t>Динамика пассива ПАО «Сбербанк», млрд. руб</w:t>
      </w:r>
      <w:r w:rsidR="00537C1D" w:rsidRPr="004F38ED">
        <w:rPr>
          <w:rFonts w:ascii="Verdana" w:hAnsi="Verdana" w:cs="Times New Roman"/>
          <w:b/>
          <w:sz w:val="28"/>
          <w:szCs w:val="28"/>
        </w:rPr>
        <w:t xml:space="preserve"> </w:t>
      </w:r>
    </w:p>
    <w:tbl>
      <w:tblPr>
        <w:tblW w:w="8320" w:type="dxa"/>
        <w:jc w:val="center"/>
        <w:tblInd w:w="93" w:type="dxa"/>
        <w:tblLook w:val="04A0"/>
      </w:tblPr>
      <w:tblGrid>
        <w:gridCol w:w="3520"/>
        <w:gridCol w:w="960"/>
        <w:gridCol w:w="960"/>
        <w:gridCol w:w="960"/>
        <w:gridCol w:w="960"/>
        <w:gridCol w:w="960"/>
      </w:tblGrid>
      <w:tr w:rsidR="006E64A3" w:rsidRPr="006E64A3" w:rsidTr="006E64A3">
        <w:trPr>
          <w:trHeight w:val="570"/>
          <w:jc w:val="center"/>
        </w:trPr>
        <w:tc>
          <w:tcPr>
            <w:tcW w:w="3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2014 г.</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 xml:space="preserve">2015 г.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2016 г.</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Отклонение 2016 года от</w:t>
            </w:r>
          </w:p>
        </w:tc>
      </w:tr>
      <w:tr w:rsidR="006E64A3" w:rsidRPr="006E64A3" w:rsidTr="006E64A3">
        <w:trPr>
          <w:trHeight w:val="300"/>
          <w:jc w:val="center"/>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2014 г.</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2015 г.</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Средства Банка России</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3516</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769</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581</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16,52</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75,55</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Средства банков</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795</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618</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364</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45,79</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58,90</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Средства клиентов</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14027</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17722</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16882</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120,35</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95,26</w:t>
            </w:r>
          </w:p>
        </w:tc>
      </w:tr>
      <w:tr w:rsidR="006E64A3" w:rsidRPr="006E64A3" w:rsidTr="006E64A3">
        <w:trPr>
          <w:trHeight w:val="6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Выпущенные долговые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648</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611</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119,10</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94,29</w:t>
            </w:r>
          </w:p>
        </w:tc>
      </w:tr>
      <w:tr w:rsidR="006E64A3" w:rsidRPr="006E64A3" w:rsidTr="006E64A3">
        <w:trPr>
          <w:trHeight w:val="12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Финансовые обязательства, оцениваемые по справедливой стоимости через прибыль или убыток</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618</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228</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108</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17,48</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47,37</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Прочие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259</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256</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280</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108,11</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109,38</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Резервы на прочие потери</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37</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38</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113,51</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110,53</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Источники собственных средств</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1982</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2328</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2853</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143,95</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122,55</w:t>
            </w:r>
          </w:p>
        </w:tc>
      </w:tr>
      <w:tr w:rsidR="006E64A3" w:rsidRPr="006E64A3" w:rsidTr="006E64A3">
        <w:trPr>
          <w:trHeight w:val="30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ПАССИВЫ</w:t>
            </w:r>
          </w:p>
        </w:tc>
        <w:tc>
          <w:tcPr>
            <w:tcW w:w="960" w:type="dxa"/>
            <w:tcBorders>
              <w:top w:val="nil"/>
              <w:left w:val="nil"/>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21747</w:t>
            </w:r>
          </w:p>
        </w:tc>
        <w:tc>
          <w:tcPr>
            <w:tcW w:w="960" w:type="dxa"/>
            <w:tcBorders>
              <w:top w:val="nil"/>
              <w:left w:val="nil"/>
              <w:bottom w:val="single" w:sz="4" w:space="0" w:color="auto"/>
              <w:right w:val="single" w:sz="4" w:space="0" w:color="auto"/>
            </w:tcBorders>
            <w:shd w:val="clear" w:color="auto" w:fill="auto"/>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22707</w:t>
            </w:r>
          </w:p>
        </w:tc>
        <w:tc>
          <w:tcPr>
            <w:tcW w:w="960" w:type="dxa"/>
            <w:tcBorders>
              <w:top w:val="nil"/>
              <w:left w:val="nil"/>
              <w:bottom w:val="single" w:sz="4" w:space="0" w:color="auto"/>
              <w:right w:val="single" w:sz="4" w:space="0" w:color="auto"/>
            </w:tcBorders>
            <w:shd w:val="clear" w:color="auto" w:fill="auto"/>
            <w:noWrap/>
            <w:vAlign w:val="bottom"/>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21721</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99,88</w:t>
            </w:r>
          </w:p>
        </w:tc>
        <w:tc>
          <w:tcPr>
            <w:tcW w:w="960" w:type="dxa"/>
            <w:tcBorders>
              <w:top w:val="nil"/>
              <w:left w:val="nil"/>
              <w:bottom w:val="single" w:sz="4" w:space="0" w:color="auto"/>
              <w:right w:val="single" w:sz="4" w:space="0" w:color="auto"/>
            </w:tcBorders>
            <w:shd w:val="clear" w:color="auto" w:fill="auto"/>
            <w:noWrap/>
            <w:vAlign w:val="center"/>
            <w:hideMark/>
          </w:tcPr>
          <w:p w:rsidR="006E64A3" w:rsidRPr="006E64A3" w:rsidRDefault="006E64A3" w:rsidP="006E64A3">
            <w:pPr>
              <w:spacing w:after="0" w:line="240" w:lineRule="auto"/>
              <w:jc w:val="center"/>
              <w:rPr>
                <w:rFonts w:ascii="Times New Roman" w:eastAsia="Times New Roman" w:hAnsi="Times New Roman" w:cs="Times New Roman"/>
                <w:color w:val="000000"/>
                <w:lang w:eastAsia="ru-RU"/>
              </w:rPr>
            </w:pPr>
            <w:r w:rsidRPr="006E64A3">
              <w:rPr>
                <w:rFonts w:ascii="Times New Roman" w:eastAsia="Times New Roman" w:hAnsi="Times New Roman" w:cs="Times New Roman"/>
                <w:color w:val="000000"/>
                <w:lang w:eastAsia="ru-RU"/>
              </w:rPr>
              <w:t>95,66</w:t>
            </w:r>
          </w:p>
        </w:tc>
      </w:tr>
    </w:tbl>
    <w:p w:rsidR="00537C1D" w:rsidRDefault="00537C1D" w:rsidP="00B340C4">
      <w:pPr>
        <w:spacing w:after="0" w:line="360" w:lineRule="auto"/>
        <w:ind w:firstLine="709"/>
        <w:jc w:val="both"/>
        <w:rPr>
          <w:rFonts w:ascii="Times New Roman" w:hAnsi="Times New Roman" w:cs="Times New Roman"/>
          <w:sz w:val="28"/>
          <w:szCs w:val="28"/>
        </w:rPr>
      </w:pPr>
    </w:p>
    <w:p w:rsidR="00B340C4" w:rsidRPr="00B340C4" w:rsidRDefault="00B340C4" w:rsidP="00B340C4">
      <w:pPr>
        <w:spacing w:after="0" w:line="360" w:lineRule="auto"/>
        <w:ind w:firstLine="709"/>
        <w:jc w:val="both"/>
        <w:rPr>
          <w:rFonts w:ascii="Times New Roman" w:hAnsi="Times New Roman" w:cs="Times New Roman"/>
          <w:sz w:val="28"/>
          <w:szCs w:val="28"/>
        </w:rPr>
      </w:pPr>
      <w:r w:rsidRPr="00B340C4">
        <w:rPr>
          <w:rFonts w:ascii="Times New Roman" w:hAnsi="Times New Roman" w:cs="Times New Roman"/>
          <w:sz w:val="28"/>
          <w:szCs w:val="28"/>
        </w:rPr>
        <w:t xml:space="preserve">По итогам 2016 года коэффициент достаточности основного </w:t>
      </w:r>
      <w:r>
        <w:rPr>
          <w:rFonts w:ascii="Times New Roman" w:hAnsi="Times New Roman" w:cs="Times New Roman"/>
          <w:sz w:val="28"/>
          <w:szCs w:val="28"/>
        </w:rPr>
        <w:t xml:space="preserve">капитала </w:t>
      </w:r>
      <w:r w:rsidRPr="00B340C4">
        <w:rPr>
          <w:rFonts w:ascii="Times New Roman" w:hAnsi="Times New Roman" w:cs="Times New Roman"/>
          <w:sz w:val="28"/>
          <w:szCs w:val="28"/>
        </w:rPr>
        <w:t>составил 12,3 %. Коэффиц</w:t>
      </w:r>
      <w:r>
        <w:rPr>
          <w:rFonts w:ascii="Times New Roman" w:hAnsi="Times New Roman" w:cs="Times New Roman"/>
          <w:sz w:val="28"/>
          <w:szCs w:val="28"/>
        </w:rPr>
        <w:t xml:space="preserve">иент достаточности общего капитала на конец </w:t>
      </w:r>
      <w:r w:rsidRPr="00B340C4">
        <w:rPr>
          <w:rFonts w:ascii="Times New Roman" w:hAnsi="Times New Roman" w:cs="Times New Roman"/>
          <w:sz w:val="28"/>
          <w:szCs w:val="28"/>
        </w:rPr>
        <w:t>2016 года состави</w:t>
      </w:r>
      <w:r>
        <w:rPr>
          <w:rFonts w:ascii="Times New Roman" w:hAnsi="Times New Roman" w:cs="Times New Roman"/>
          <w:sz w:val="28"/>
          <w:szCs w:val="28"/>
        </w:rPr>
        <w:t xml:space="preserve">л 15,7 %, что заметно превышает </w:t>
      </w:r>
      <w:r w:rsidRPr="00B340C4">
        <w:rPr>
          <w:rFonts w:ascii="Times New Roman" w:hAnsi="Times New Roman" w:cs="Times New Roman"/>
          <w:sz w:val="28"/>
          <w:szCs w:val="28"/>
        </w:rPr>
        <w:t>минимальный уровень, установленный Базельским комитетом (8 %).</w:t>
      </w:r>
    </w:p>
    <w:p w:rsidR="00B340C4" w:rsidRDefault="00B340C4" w:rsidP="00B340C4">
      <w:pPr>
        <w:spacing w:after="0" w:line="360" w:lineRule="auto"/>
        <w:ind w:firstLine="709"/>
        <w:jc w:val="both"/>
        <w:rPr>
          <w:rFonts w:ascii="Times New Roman" w:hAnsi="Times New Roman" w:cs="Times New Roman"/>
          <w:sz w:val="28"/>
          <w:szCs w:val="28"/>
        </w:rPr>
      </w:pPr>
      <w:r w:rsidRPr="00B340C4">
        <w:rPr>
          <w:rFonts w:ascii="Times New Roman" w:hAnsi="Times New Roman" w:cs="Times New Roman"/>
          <w:sz w:val="28"/>
          <w:szCs w:val="28"/>
        </w:rPr>
        <w:t>При этом в 2016 году коэффицие</w:t>
      </w:r>
      <w:r>
        <w:rPr>
          <w:rFonts w:ascii="Times New Roman" w:hAnsi="Times New Roman" w:cs="Times New Roman"/>
          <w:sz w:val="28"/>
          <w:szCs w:val="28"/>
        </w:rPr>
        <w:t>нты достаточности капитала про</w:t>
      </w:r>
      <w:r w:rsidRPr="00B340C4">
        <w:rPr>
          <w:rFonts w:ascii="Times New Roman" w:hAnsi="Times New Roman" w:cs="Times New Roman"/>
          <w:sz w:val="28"/>
          <w:szCs w:val="28"/>
        </w:rPr>
        <w:t xml:space="preserve">демонстрировали значительный </w:t>
      </w:r>
      <w:r>
        <w:rPr>
          <w:rFonts w:ascii="Times New Roman" w:hAnsi="Times New Roman" w:cs="Times New Roman"/>
          <w:sz w:val="28"/>
          <w:szCs w:val="28"/>
        </w:rPr>
        <w:t xml:space="preserve">рост по сравнению с 2015 годом, </w:t>
      </w:r>
      <w:r w:rsidRPr="00B340C4">
        <w:rPr>
          <w:rFonts w:ascii="Times New Roman" w:hAnsi="Times New Roman" w:cs="Times New Roman"/>
          <w:sz w:val="28"/>
          <w:szCs w:val="28"/>
        </w:rPr>
        <w:t>который объясняется ростом собс</w:t>
      </w:r>
      <w:r>
        <w:rPr>
          <w:rFonts w:ascii="Times New Roman" w:hAnsi="Times New Roman" w:cs="Times New Roman"/>
          <w:sz w:val="28"/>
          <w:szCs w:val="28"/>
        </w:rPr>
        <w:t xml:space="preserve">твенных средств Группы, а также </w:t>
      </w:r>
      <w:r w:rsidRPr="00B340C4">
        <w:rPr>
          <w:rFonts w:ascii="Times New Roman" w:hAnsi="Times New Roman" w:cs="Times New Roman"/>
          <w:sz w:val="28"/>
          <w:szCs w:val="28"/>
        </w:rPr>
        <w:lastRenderedPageBreak/>
        <w:t>снижением активов, взвешенных</w:t>
      </w:r>
      <w:r>
        <w:rPr>
          <w:rFonts w:ascii="Times New Roman" w:hAnsi="Times New Roman" w:cs="Times New Roman"/>
          <w:sz w:val="28"/>
          <w:szCs w:val="28"/>
        </w:rPr>
        <w:t xml:space="preserve"> с учетом риска, в основном из- </w:t>
      </w:r>
      <w:r w:rsidRPr="00B340C4">
        <w:rPr>
          <w:rFonts w:ascii="Times New Roman" w:hAnsi="Times New Roman" w:cs="Times New Roman"/>
          <w:sz w:val="28"/>
          <w:szCs w:val="28"/>
        </w:rPr>
        <w:t>за укрепления рубля и снижения кредитного портфеля Группы.</w:t>
      </w:r>
    </w:p>
    <w:p w:rsidR="00BC1414" w:rsidRDefault="006E64A3" w:rsidP="00B340C4">
      <w:pPr>
        <w:spacing w:line="360" w:lineRule="auto"/>
        <w:ind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1414" w:rsidRPr="00537C1D" w:rsidRDefault="00154EFC" w:rsidP="00BC1414">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2.4</w:t>
      </w:r>
      <w:r w:rsidR="00BC1414" w:rsidRPr="00537C1D">
        <w:rPr>
          <w:rFonts w:ascii="Times New Roman" w:hAnsi="Times New Roman" w:cs="Times New Roman"/>
          <w:sz w:val="28"/>
          <w:szCs w:val="28"/>
        </w:rPr>
        <w:t>.</w:t>
      </w:r>
      <w:r w:rsidR="00537C1D" w:rsidRPr="00537C1D">
        <w:rPr>
          <w:rFonts w:ascii="Times New Roman" w:hAnsi="Times New Roman" w:cs="Times New Roman"/>
          <w:sz w:val="28"/>
          <w:szCs w:val="28"/>
        </w:rPr>
        <w:t xml:space="preserve"> - </w:t>
      </w:r>
      <w:r w:rsidR="00BC1414" w:rsidRPr="00537C1D">
        <w:rPr>
          <w:rFonts w:ascii="Times New Roman" w:hAnsi="Times New Roman" w:cs="Times New Roman"/>
          <w:sz w:val="28"/>
          <w:szCs w:val="28"/>
        </w:rPr>
        <w:t xml:space="preserve"> Динамика пассива ПАО «Сбербанк»</w:t>
      </w:r>
    </w:p>
    <w:p w:rsidR="00BC1414" w:rsidRDefault="00BC1414" w:rsidP="00537C1D">
      <w:pPr>
        <w:spacing w:after="0" w:line="360" w:lineRule="auto"/>
        <w:ind w:firstLine="709"/>
        <w:jc w:val="both"/>
        <w:rPr>
          <w:rFonts w:ascii="Times New Roman" w:hAnsi="Times New Roman" w:cs="Times New Roman"/>
          <w:sz w:val="28"/>
          <w:szCs w:val="28"/>
        </w:rPr>
      </w:pPr>
      <w:r w:rsidRPr="00CF5736">
        <w:rPr>
          <w:rFonts w:ascii="Times New Roman" w:hAnsi="Times New Roman" w:cs="Times New Roman"/>
          <w:sz w:val="28"/>
          <w:szCs w:val="28"/>
        </w:rPr>
        <w:t>Учитывая сохраняющиеся санкции и нестабильн</w:t>
      </w:r>
      <w:r>
        <w:rPr>
          <w:rFonts w:ascii="Times New Roman" w:hAnsi="Times New Roman" w:cs="Times New Roman"/>
          <w:sz w:val="28"/>
          <w:szCs w:val="28"/>
        </w:rPr>
        <w:t xml:space="preserve">ую макроэкономическую ситуацию в 2015 году, </w:t>
      </w:r>
      <w:r w:rsidRPr="00CF5736">
        <w:rPr>
          <w:rFonts w:ascii="Times New Roman" w:hAnsi="Times New Roman" w:cs="Times New Roman"/>
          <w:sz w:val="28"/>
          <w:szCs w:val="28"/>
        </w:rPr>
        <w:t>с цел</w:t>
      </w:r>
      <w:r>
        <w:rPr>
          <w:rFonts w:ascii="Times New Roman" w:hAnsi="Times New Roman" w:cs="Times New Roman"/>
          <w:sz w:val="28"/>
          <w:szCs w:val="28"/>
        </w:rPr>
        <w:t>ью снижения рисков ликвидности Сбербанк</w:t>
      </w:r>
      <w:r w:rsidRPr="00CF5736">
        <w:rPr>
          <w:rFonts w:ascii="Times New Roman" w:hAnsi="Times New Roman" w:cs="Times New Roman"/>
          <w:sz w:val="28"/>
          <w:szCs w:val="28"/>
        </w:rPr>
        <w:t xml:space="preserve"> существенно нарастил объем резервов</w:t>
      </w:r>
      <w:r>
        <w:rPr>
          <w:rFonts w:ascii="Times New Roman" w:hAnsi="Times New Roman" w:cs="Times New Roman"/>
          <w:sz w:val="28"/>
          <w:szCs w:val="28"/>
        </w:rPr>
        <w:t xml:space="preserve"> ликвидности</w:t>
      </w:r>
      <w:r w:rsidRPr="00CF5736">
        <w:rPr>
          <w:rFonts w:ascii="Times New Roman" w:hAnsi="Times New Roman" w:cs="Times New Roman"/>
          <w:sz w:val="28"/>
          <w:szCs w:val="28"/>
        </w:rPr>
        <w:t xml:space="preserve"> в основном за счет проведения в 2015 году активной работы по увеличению</w:t>
      </w:r>
      <w:r>
        <w:rPr>
          <w:rFonts w:ascii="Times New Roman" w:hAnsi="Times New Roman" w:cs="Times New Roman"/>
          <w:sz w:val="28"/>
          <w:szCs w:val="28"/>
        </w:rPr>
        <w:t xml:space="preserve"> залоговой массы</w:t>
      </w:r>
      <w:r w:rsidRPr="00CF5736">
        <w:rPr>
          <w:rFonts w:ascii="Times New Roman" w:hAnsi="Times New Roman" w:cs="Times New Roman"/>
          <w:sz w:val="28"/>
          <w:szCs w:val="28"/>
        </w:rPr>
        <w:t xml:space="preserve">. Кроме того, </w:t>
      </w:r>
      <w:r>
        <w:rPr>
          <w:rFonts w:ascii="Times New Roman" w:hAnsi="Times New Roman" w:cs="Times New Roman"/>
          <w:sz w:val="28"/>
          <w:szCs w:val="28"/>
        </w:rPr>
        <w:t>б</w:t>
      </w:r>
      <w:r w:rsidRPr="00CF5736">
        <w:rPr>
          <w:rFonts w:ascii="Times New Roman" w:hAnsi="Times New Roman" w:cs="Times New Roman"/>
          <w:sz w:val="28"/>
          <w:szCs w:val="28"/>
        </w:rPr>
        <w:t>анк постоянно</w:t>
      </w:r>
      <w:r w:rsidR="00725CFA">
        <w:rPr>
          <w:rFonts w:ascii="Times New Roman" w:hAnsi="Times New Roman" w:cs="Times New Roman"/>
          <w:sz w:val="28"/>
          <w:szCs w:val="28"/>
        </w:rPr>
        <w:t xml:space="preserve"> </w:t>
      </w:r>
      <w:r w:rsidRPr="00CF5736">
        <w:rPr>
          <w:rFonts w:ascii="Times New Roman" w:hAnsi="Times New Roman" w:cs="Times New Roman"/>
          <w:sz w:val="28"/>
          <w:szCs w:val="28"/>
        </w:rPr>
        <w:t>работает над расширением перечня инструментов рефинансирования.</w:t>
      </w:r>
    </w:p>
    <w:p w:rsidR="00154EFC" w:rsidRDefault="00154EFC" w:rsidP="00537C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2.5. – Структура пассива ПАО «Сбербанк», %</w:t>
      </w:r>
    </w:p>
    <w:tbl>
      <w:tblPr>
        <w:tblW w:w="9654" w:type="dxa"/>
        <w:tblInd w:w="93" w:type="dxa"/>
        <w:tblLook w:val="04A0"/>
      </w:tblPr>
      <w:tblGrid>
        <w:gridCol w:w="3276"/>
        <w:gridCol w:w="992"/>
        <w:gridCol w:w="1134"/>
        <w:gridCol w:w="992"/>
        <w:gridCol w:w="1134"/>
        <w:gridCol w:w="992"/>
        <w:gridCol w:w="1134"/>
      </w:tblGrid>
      <w:tr w:rsidR="00154EFC" w:rsidRPr="00154EFC" w:rsidTr="00154EFC">
        <w:trPr>
          <w:trHeight w:val="600"/>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2014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Уд. вес,%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 xml:space="preserve">2015 г.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Уд. вес,%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2016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Уд. вес,%</w:t>
            </w:r>
          </w:p>
        </w:tc>
      </w:tr>
      <w:tr w:rsidR="00154EFC" w:rsidRPr="00154EFC" w:rsidTr="00154EFC">
        <w:trPr>
          <w:trHeight w:val="30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Средства Банка России</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3516</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16,17</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769</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3,39</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581</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2,67</w:t>
            </w: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Средства банков</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795</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3,66</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618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2,72</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364</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1,68</w:t>
            </w: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Средства клиентов</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14027</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64,50</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17722</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78,05</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16882</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77,72</w:t>
            </w:r>
          </w:p>
        </w:tc>
      </w:tr>
      <w:tr w:rsidR="00154EFC" w:rsidRPr="00154EFC" w:rsidTr="00154EFC">
        <w:trPr>
          <w:trHeight w:val="6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Выпущенные долговые обязательства</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513</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2,36</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648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2,85</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611</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2,81</w:t>
            </w:r>
          </w:p>
        </w:tc>
      </w:tr>
      <w:tr w:rsidR="00154EFC" w:rsidRPr="00154EFC" w:rsidTr="00154EFC">
        <w:trPr>
          <w:trHeight w:val="12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lastRenderedPageBreak/>
              <w:t>Финансовые обязательства, оцениваемые по справедливой стоимости через прибыль или убыток</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618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2,84</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228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108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0,50</w:t>
            </w: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Прочие обязательства</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259</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1,19</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256</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1,13</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280</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1,29</w:t>
            </w: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Резервы на прочие потери</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37</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0,17</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38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0,17</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42</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0,19</w:t>
            </w: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Источники собственных средств</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1982</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9,11</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2328</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10,25</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2853</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13,13</w:t>
            </w:r>
          </w:p>
        </w:tc>
      </w:tr>
      <w:tr w:rsidR="00154EFC" w:rsidRPr="00154EFC" w:rsidTr="00154EFC">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ПАССИВЫ</w:t>
            </w:r>
          </w:p>
        </w:tc>
        <w:tc>
          <w:tcPr>
            <w:tcW w:w="992" w:type="dxa"/>
            <w:tcBorders>
              <w:top w:val="nil"/>
              <w:left w:val="nil"/>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21747</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100,00</w:t>
            </w:r>
          </w:p>
        </w:tc>
        <w:tc>
          <w:tcPr>
            <w:tcW w:w="992" w:type="dxa"/>
            <w:tcBorders>
              <w:top w:val="nil"/>
              <w:left w:val="nil"/>
              <w:bottom w:val="single" w:sz="4" w:space="0" w:color="auto"/>
              <w:right w:val="single" w:sz="4" w:space="0" w:color="auto"/>
            </w:tcBorders>
            <w:shd w:val="clear" w:color="auto" w:fill="auto"/>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22707</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21721</w:t>
            </w:r>
          </w:p>
        </w:tc>
        <w:tc>
          <w:tcPr>
            <w:tcW w:w="1134" w:type="dxa"/>
            <w:tcBorders>
              <w:top w:val="nil"/>
              <w:left w:val="nil"/>
              <w:bottom w:val="single" w:sz="4" w:space="0" w:color="auto"/>
              <w:right w:val="single" w:sz="4" w:space="0" w:color="auto"/>
            </w:tcBorders>
            <w:shd w:val="clear" w:color="auto" w:fill="auto"/>
            <w:noWrap/>
            <w:vAlign w:val="center"/>
            <w:hideMark/>
          </w:tcPr>
          <w:p w:rsidR="00154EFC" w:rsidRPr="00154EFC" w:rsidRDefault="00154EFC" w:rsidP="00154EFC">
            <w:pPr>
              <w:spacing w:after="0" w:line="240" w:lineRule="auto"/>
              <w:jc w:val="center"/>
              <w:rPr>
                <w:rFonts w:ascii="Times New Roman" w:eastAsia="Times New Roman" w:hAnsi="Times New Roman" w:cs="Times New Roman"/>
                <w:color w:val="000000"/>
                <w:lang w:eastAsia="ru-RU"/>
              </w:rPr>
            </w:pPr>
            <w:r w:rsidRPr="00154EFC">
              <w:rPr>
                <w:rFonts w:ascii="Times New Roman" w:eastAsia="Times New Roman" w:hAnsi="Times New Roman" w:cs="Times New Roman"/>
                <w:color w:val="000000"/>
                <w:lang w:eastAsia="ru-RU"/>
              </w:rPr>
              <w:t>100,00</w:t>
            </w:r>
          </w:p>
        </w:tc>
      </w:tr>
    </w:tbl>
    <w:p w:rsidR="00154EFC" w:rsidRDefault="00154EFC" w:rsidP="00537C1D">
      <w:pPr>
        <w:spacing w:after="0" w:line="360" w:lineRule="auto"/>
        <w:ind w:firstLine="709"/>
        <w:jc w:val="both"/>
        <w:rPr>
          <w:rFonts w:ascii="Times New Roman" w:hAnsi="Times New Roman" w:cs="Times New Roman"/>
          <w:sz w:val="28"/>
          <w:szCs w:val="28"/>
        </w:rPr>
      </w:pPr>
    </w:p>
    <w:p w:rsidR="00154EFC" w:rsidRDefault="00154EFC" w:rsidP="00537C1D">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210175" cy="27432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4EFC" w:rsidRDefault="00154EFC" w:rsidP="00537C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2.5. – Структура пассива ПАО «Сбербанк» по состоянию на конец 2016 года, %</w:t>
      </w:r>
    </w:p>
    <w:p w:rsidR="00154EFC" w:rsidRDefault="00154EFC" w:rsidP="00537C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данные таблицы 2.5. и рисунка 2.5., наибольший удельный вес в структуре пассива занимают привлеченные финансовые ресурсы, что говорит о повышении уровня зависимости банка от внешних субъектов. </w:t>
      </w:r>
      <w:r w:rsidR="00937B0C">
        <w:rPr>
          <w:rFonts w:ascii="Times New Roman" w:hAnsi="Times New Roman" w:cs="Times New Roman"/>
          <w:sz w:val="28"/>
          <w:szCs w:val="28"/>
        </w:rPr>
        <w:t xml:space="preserve">Положительным фактором является большая доля средств клиентов – 78% - это свидетельствует об активной депозитной политике банка. Доля собственных средств составляет 13%. </w:t>
      </w:r>
    </w:p>
    <w:p w:rsidR="00725CFA" w:rsidRDefault="00725CFA" w:rsidP="00537C1D">
      <w:pPr>
        <w:spacing w:after="0" w:line="360" w:lineRule="auto"/>
        <w:ind w:firstLine="709"/>
        <w:jc w:val="both"/>
        <w:rPr>
          <w:rFonts w:ascii="Times New Roman" w:hAnsi="Times New Roman" w:cs="Times New Roman"/>
          <w:color w:val="000000"/>
          <w:sz w:val="28"/>
          <w:szCs w:val="28"/>
        </w:rPr>
      </w:pPr>
      <w:r w:rsidRPr="00725CFA">
        <w:rPr>
          <w:rFonts w:ascii="Times New Roman" w:hAnsi="Times New Roman" w:cs="Times New Roman"/>
          <w:color w:val="000000"/>
          <w:sz w:val="28"/>
          <w:szCs w:val="28"/>
        </w:rPr>
        <w:t xml:space="preserve">Для оценки ликвидности, рассмотрим период примерно в 30 дней, в течение которых банк будет в состоянии (или не в состоянии) выполнить </w:t>
      </w:r>
      <w:r w:rsidRPr="00725CFA">
        <w:rPr>
          <w:rFonts w:ascii="Times New Roman" w:hAnsi="Times New Roman" w:cs="Times New Roman"/>
          <w:color w:val="000000"/>
          <w:sz w:val="28"/>
          <w:szCs w:val="28"/>
        </w:rPr>
        <w:lastRenderedPageBreak/>
        <w:t>часть взятых на себя финансовых обязательств. Эта</w:t>
      </w:r>
      <w:r>
        <w:rPr>
          <w:rFonts w:ascii="Times New Roman" w:hAnsi="Times New Roman" w:cs="Times New Roman"/>
          <w:color w:val="000000"/>
          <w:sz w:val="28"/>
          <w:szCs w:val="28"/>
        </w:rPr>
        <w:t xml:space="preserve"> </w:t>
      </w:r>
      <w:r w:rsidRPr="00725CFA">
        <w:rPr>
          <w:rFonts w:ascii="Times New Roman" w:hAnsi="Times New Roman" w:cs="Times New Roman"/>
          <w:color w:val="000000"/>
          <w:sz w:val="28"/>
          <w:szCs w:val="28"/>
        </w:rPr>
        <w:t>«часть» называется «предполагаемым оттоком средств». Ликвидность можно считать важной составляющей понятия надежности банка.</w:t>
      </w:r>
    </w:p>
    <w:p w:rsidR="00725CFA" w:rsidRPr="00537C1D" w:rsidRDefault="00537C1D" w:rsidP="00537C1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w:t>
      </w:r>
      <w:r w:rsidR="00937B0C">
        <w:rPr>
          <w:rFonts w:ascii="Times New Roman" w:hAnsi="Times New Roman" w:cs="Times New Roman"/>
          <w:color w:val="000000"/>
          <w:sz w:val="28"/>
          <w:szCs w:val="28"/>
        </w:rPr>
        <w:t>6</w:t>
      </w:r>
      <w:r>
        <w:rPr>
          <w:rFonts w:ascii="Times New Roman" w:hAnsi="Times New Roman" w:cs="Times New Roman"/>
          <w:color w:val="000000"/>
          <w:sz w:val="28"/>
          <w:szCs w:val="28"/>
        </w:rPr>
        <w:t xml:space="preserve">. - </w:t>
      </w:r>
      <w:r w:rsidR="00725CFA" w:rsidRPr="00725CFA">
        <w:rPr>
          <w:rFonts w:ascii="Times New Roman" w:eastAsia="Times New Roman" w:hAnsi="Times New Roman" w:cs="Times New Roman"/>
          <w:sz w:val="27"/>
          <w:szCs w:val="27"/>
          <w:lang w:eastAsia="ru-RU"/>
        </w:rPr>
        <w:t>Структура высоколиквидных активов ПАО «Сбербанк России»</w:t>
      </w:r>
    </w:p>
    <w:tbl>
      <w:tblPr>
        <w:tblW w:w="9639" w:type="dxa"/>
        <w:jc w:val="center"/>
        <w:tblInd w:w="5" w:type="dxa"/>
        <w:tblLayout w:type="fixed"/>
        <w:tblCellMar>
          <w:left w:w="0" w:type="dxa"/>
          <w:right w:w="0" w:type="dxa"/>
        </w:tblCellMar>
        <w:tblLook w:val="0000"/>
      </w:tblPr>
      <w:tblGrid>
        <w:gridCol w:w="2127"/>
        <w:gridCol w:w="1275"/>
        <w:gridCol w:w="993"/>
        <w:gridCol w:w="1559"/>
        <w:gridCol w:w="1134"/>
        <w:gridCol w:w="1559"/>
        <w:gridCol w:w="992"/>
      </w:tblGrid>
      <w:tr w:rsidR="00725CFA" w:rsidRPr="00537C1D" w:rsidTr="00537C1D">
        <w:trPr>
          <w:trHeight w:val="638"/>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83" w:lineRule="exact"/>
              <w:ind w:right="740"/>
              <w:jc w:val="right"/>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502499" w:rsidP="00725CFA">
            <w:pPr>
              <w:spacing w:after="0" w:line="278" w:lineRule="exact"/>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01 Января 2014</w:t>
            </w:r>
            <w:r w:rsidR="00725CFA" w:rsidRPr="00537C1D">
              <w:rPr>
                <w:rFonts w:ascii="Times New Roman" w:eastAsia="Times New Roman" w:hAnsi="Times New Roman" w:cs="Times New Roman"/>
                <w:szCs w:val="23"/>
                <w:lang w:eastAsia="ru-RU"/>
              </w:rPr>
              <w:t xml:space="preserve"> год, тысяч рублей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8" w:lineRule="exact"/>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01 Января 2015 год, тысяч рублей</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8" w:lineRule="exact"/>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01 Января 2016 год, тысяч рублей</w:t>
            </w:r>
          </w:p>
        </w:tc>
      </w:tr>
      <w:tr w:rsidR="00725CFA" w:rsidRPr="00537C1D" w:rsidTr="00537C1D">
        <w:trPr>
          <w:trHeight w:val="35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средств в кассе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639 973 121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42,21 %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E77821" w:rsidP="00725CFA">
            <w:pPr>
              <w:spacing w:after="0" w:line="240" w:lineRule="auto"/>
              <w:ind w:left="120"/>
              <w:rPr>
                <w:rFonts w:ascii="Times New Roman" w:eastAsia="Times New Roman" w:hAnsi="Times New Roman" w:cs="Times New Roman"/>
                <w:szCs w:val="24"/>
                <w:lang w:eastAsia="ru-RU"/>
              </w:rPr>
            </w:pPr>
            <w:hyperlink r:id="rId13" w:history="1">
              <w:r w:rsidR="00725CFA" w:rsidRPr="00537C1D">
                <w:rPr>
                  <w:rFonts w:ascii="Times New Roman" w:eastAsia="Times New Roman" w:hAnsi="Times New Roman" w:cs="Times New Roman"/>
                  <w:szCs w:val="23"/>
                  <w:lang w:eastAsia="ru-RU"/>
                </w:rPr>
                <w:t>1 138 236 322</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42,93 %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625 857 891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17,74 %</w:t>
            </w:r>
          </w:p>
        </w:tc>
      </w:tr>
      <w:tr w:rsidR="00725CFA" w:rsidRPr="00537C1D" w:rsidTr="00537C1D">
        <w:trPr>
          <w:trHeight w:val="629"/>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4" w:lineRule="exact"/>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средств на счетах в Банке России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296 673 401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19,57 %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E77821" w:rsidP="00725CFA">
            <w:pPr>
              <w:spacing w:after="0" w:line="240" w:lineRule="auto"/>
              <w:ind w:left="120"/>
              <w:rPr>
                <w:rFonts w:ascii="Times New Roman" w:eastAsia="Times New Roman" w:hAnsi="Times New Roman" w:cs="Times New Roman"/>
                <w:szCs w:val="24"/>
                <w:lang w:eastAsia="ru-RU"/>
              </w:rPr>
            </w:pPr>
            <w:hyperlink r:id="rId14" w:history="1">
              <w:r w:rsidR="00725CFA" w:rsidRPr="00537C1D">
                <w:rPr>
                  <w:rFonts w:ascii="Times New Roman" w:eastAsia="Times New Roman" w:hAnsi="Times New Roman" w:cs="Times New Roman"/>
                  <w:szCs w:val="23"/>
                  <w:lang w:eastAsia="ru-RU"/>
                </w:rPr>
                <w:t>227 153 550</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8,57 %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468 322 210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13,28 %</w:t>
            </w:r>
          </w:p>
        </w:tc>
      </w:tr>
      <w:tr w:rsidR="00725CFA" w:rsidRPr="00537C1D" w:rsidTr="00537C1D">
        <w:trPr>
          <w:trHeight w:val="624"/>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4" w:lineRule="exact"/>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корсчетов НОСТРО в банках (чистых)</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112 462 308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7,42 %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2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380 175 699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14,34 %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411 752 705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11,67 %</w:t>
            </w:r>
          </w:p>
        </w:tc>
      </w:tr>
      <w:tr w:rsidR="00725CFA" w:rsidRPr="00537C1D" w:rsidTr="00537C1D">
        <w:trPr>
          <w:trHeight w:val="907"/>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4" w:lineRule="exact"/>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межбанковских кредитов, размещенных на срок до 30 дней</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223 698 451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14,75 %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2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353 740 599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13,34 %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E77821" w:rsidP="00725CFA">
            <w:pPr>
              <w:spacing w:after="0" w:line="240" w:lineRule="auto"/>
              <w:jc w:val="center"/>
              <w:rPr>
                <w:rFonts w:ascii="Times New Roman" w:eastAsia="Times New Roman" w:hAnsi="Times New Roman" w:cs="Times New Roman"/>
                <w:szCs w:val="24"/>
                <w:lang w:eastAsia="ru-RU"/>
              </w:rPr>
            </w:pPr>
            <w:hyperlink r:id="rId15" w:history="1">
              <w:r w:rsidR="00725CFA" w:rsidRPr="00537C1D">
                <w:rPr>
                  <w:rFonts w:ascii="Times New Roman" w:eastAsia="Times New Roman" w:hAnsi="Times New Roman" w:cs="Times New Roman"/>
                  <w:szCs w:val="23"/>
                  <w:lang w:eastAsia="ru-RU"/>
                </w:rPr>
                <w:t>799 323 080</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22,66 %</w:t>
            </w:r>
          </w:p>
        </w:tc>
      </w:tr>
      <w:tr w:rsidR="00725CFA" w:rsidRPr="00537C1D" w:rsidTr="00537C1D">
        <w:trPr>
          <w:trHeight w:val="624"/>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8" w:lineRule="exact"/>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высоколиквидных ценных бумаг РФ</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212 764 069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14,03 %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2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527 271 051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19,89 %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8" w:lineRule="exact"/>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1 037 989 478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29,43 %</w:t>
            </w:r>
          </w:p>
        </w:tc>
      </w:tr>
      <w:tr w:rsidR="00725CFA" w:rsidRPr="00537C1D" w:rsidTr="00537C1D">
        <w:trPr>
          <w:trHeight w:val="90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8" w:lineRule="exact"/>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высоколиквидных ценных бумаг банков и государств</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35 412 669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2,34 %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2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28 925 299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1,09 %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216 834 023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6,15 %</w:t>
            </w:r>
          </w:p>
        </w:tc>
      </w:tr>
      <w:tr w:rsidR="00725CFA" w:rsidRPr="00537C1D" w:rsidTr="00537C1D">
        <w:trPr>
          <w:trHeight w:val="119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4" w:lineRule="exact"/>
              <w:ind w:left="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высоколиквидных активов с учетом дисконтов и корректировок</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4" w:lineRule="exact"/>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1 516 172 319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6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100,0 %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2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2 651 163 725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100,0 %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74" w:lineRule="exact"/>
              <w:jc w:val="center"/>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3 527 554 284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5CFA" w:rsidRPr="00537C1D" w:rsidRDefault="00725CFA" w:rsidP="00725CFA">
            <w:pPr>
              <w:spacing w:after="0" w:line="240" w:lineRule="auto"/>
              <w:ind w:left="180"/>
              <w:rPr>
                <w:rFonts w:ascii="Times New Roman" w:eastAsia="Times New Roman" w:hAnsi="Times New Roman" w:cs="Times New Roman"/>
                <w:szCs w:val="24"/>
                <w:lang w:eastAsia="ru-RU"/>
              </w:rPr>
            </w:pPr>
            <w:r w:rsidRPr="00537C1D">
              <w:rPr>
                <w:rFonts w:ascii="Times New Roman" w:eastAsia="Times New Roman" w:hAnsi="Times New Roman" w:cs="Times New Roman"/>
                <w:szCs w:val="23"/>
                <w:lang w:eastAsia="ru-RU"/>
              </w:rPr>
              <w:t>100,0 %</w:t>
            </w:r>
          </w:p>
        </w:tc>
      </w:tr>
    </w:tbl>
    <w:p w:rsidR="00725CFA" w:rsidRPr="00725CFA" w:rsidRDefault="00725CFA" w:rsidP="00725CFA">
      <w:pPr>
        <w:spacing w:before="600" w:after="0" w:line="480" w:lineRule="exact"/>
        <w:ind w:left="20" w:right="20" w:firstLine="700"/>
        <w:jc w:val="both"/>
        <w:rPr>
          <w:rFonts w:ascii="Times New Roman" w:eastAsia="Times New Roman" w:hAnsi="Times New Roman" w:cs="Times New Roman"/>
          <w:sz w:val="24"/>
          <w:szCs w:val="24"/>
          <w:lang w:eastAsia="ru-RU"/>
        </w:rPr>
      </w:pPr>
      <w:r w:rsidRPr="00725CFA">
        <w:rPr>
          <w:rFonts w:ascii="Times New Roman" w:eastAsia="Times New Roman" w:hAnsi="Times New Roman" w:cs="Times New Roman"/>
          <w:sz w:val="27"/>
          <w:szCs w:val="27"/>
          <w:lang w:eastAsia="ru-RU"/>
        </w:rPr>
        <w:t xml:space="preserve">Из таблицы ликвидных активов видно, что незначительно изменились суммы корсчетов НОСТРО в банках (чистых), сильно увеличились суммы средств на счетах в Банке России, межбанковских кредитов, размещенных на срок до 30 дней, высоколиквидных ценных бумаг РФ, высоколиквидных ценных бумаг банков и государств. Значительно уменьшились суммы средств в кассе, при этом объем высоколиквидных активов с учетом дисконтов и </w:t>
      </w:r>
      <w:r w:rsidRPr="00725CFA">
        <w:rPr>
          <w:rFonts w:ascii="Times New Roman" w:eastAsia="Times New Roman" w:hAnsi="Times New Roman" w:cs="Times New Roman"/>
          <w:sz w:val="27"/>
          <w:szCs w:val="27"/>
          <w:lang w:eastAsia="ru-RU"/>
        </w:rPr>
        <w:lastRenderedPageBreak/>
        <w:t>корректировок (на основе Указания №3269-У от 31.05.2014) вырос за 2015 год с 2651,16 до 3527,55 миллиардов рублей.</w:t>
      </w:r>
    </w:p>
    <w:p w:rsidR="00725CFA" w:rsidRPr="00725CFA" w:rsidRDefault="00725CFA" w:rsidP="00725CFA">
      <w:pPr>
        <w:spacing w:after="0" w:line="480" w:lineRule="exact"/>
        <w:ind w:left="20" w:right="20" w:firstLine="700"/>
        <w:jc w:val="both"/>
        <w:rPr>
          <w:rFonts w:ascii="Times New Roman" w:eastAsia="Times New Roman" w:hAnsi="Times New Roman" w:cs="Times New Roman"/>
          <w:sz w:val="24"/>
          <w:szCs w:val="24"/>
          <w:lang w:eastAsia="ru-RU"/>
        </w:rPr>
      </w:pPr>
      <w:r w:rsidRPr="00725CFA">
        <w:rPr>
          <w:rFonts w:ascii="Times New Roman" w:eastAsia="Times New Roman" w:hAnsi="Times New Roman" w:cs="Times New Roman"/>
          <w:sz w:val="27"/>
          <w:szCs w:val="27"/>
          <w:lang w:eastAsia="ru-RU"/>
        </w:rPr>
        <w:t>На рассматриваемый момент соотношение высоколиквидных активов и предполагаемого оттока текущих обязательств составляет 96,84 %, а это говорит о недостаточном запасе прочности для преодоления оттока клиентов, но банк является крупным, поэтому отток маловероятен.</w:t>
      </w:r>
    </w:p>
    <w:p w:rsidR="00502499" w:rsidRPr="00502499" w:rsidRDefault="00502499" w:rsidP="00502499">
      <w:pPr>
        <w:spacing w:after="0" w:line="480" w:lineRule="exact"/>
        <w:ind w:left="20" w:right="20" w:firstLine="70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Для того чтобы поддерживать ликвидность банк должен стремиться к максимальному снижению издержек при реализации активов и привлечения пассивов, что является обязательным условием поддержания устойчивости его финансового состояния.</w:t>
      </w:r>
    </w:p>
    <w:p w:rsidR="00502499" w:rsidRPr="00502499" w:rsidRDefault="00502499" w:rsidP="00502499">
      <w:pPr>
        <w:spacing w:after="0" w:line="480" w:lineRule="exact"/>
        <w:ind w:left="20" w:right="20" w:firstLine="70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Норматив мгновенной ликвидности банка (Н2) ограничивает риск потери банком платежеспособности в течение одного операционного дня. Минимально допустимое значение Н2 - 15 %.</w:t>
      </w:r>
    </w:p>
    <w:p w:rsidR="00502499" w:rsidRPr="00502499" w:rsidRDefault="00502499" w:rsidP="00502499">
      <w:pPr>
        <w:spacing w:after="0" w:line="480" w:lineRule="exact"/>
        <w:ind w:left="20" w:right="20" w:firstLine="70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Норматив текущей ликвидности банка (Н3) регулирует риск потери банком ликвидности в течение ближайших к дате расчета норматива 30 календарных дней и определяет минимальное отношение суммы ликвидных активов банка к сумме обязательств банка по счетам до востребования и со сроком исполнения обязательств в ближайшие 30 календарных дней. Минимально допустимое значение норматива Н3 - 50 %.</w:t>
      </w:r>
    </w:p>
    <w:p w:rsidR="00502499" w:rsidRPr="00502499" w:rsidRDefault="00502499" w:rsidP="00537C1D">
      <w:pPr>
        <w:spacing w:after="0" w:line="480" w:lineRule="exact"/>
        <w:ind w:left="20" w:right="20" w:firstLine="70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 xml:space="preserve">Норматив долгосрочной ликвидности банка (Н4) регулирует риск потери банком ликвидности в результате размещения средств в долгосрочные активы и определяет максимально допустимое отношение кредитных требований банка с оставшимся сроком до даты погашения свыше 365 (366) календарных дней, к собственным средствам банка и обязательствам с оставшимся сроком до даты </w:t>
      </w:r>
      <w:r w:rsidRPr="00502499">
        <w:rPr>
          <w:rFonts w:ascii="Times New Roman" w:eastAsia="Times New Roman" w:hAnsi="Times New Roman" w:cs="Times New Roman"/>
          <w:sz w:val="27"/>
          <w:szCs w:val="27"/>
          <w:lang w:eastAsia="ru-RU"/>
        </w:rPr>
        <w:lastRenderedPageBreak/>
        <w:t>погашения свыше 365 (366) календарных дней. Максимально допустимое значение норматива Н4 - 120 %.</w:t>
      </w:r>
    </w:p>
    <w:p w:rsidR="00937B0C" w:rsidRDefault="00937B0C" w:rsidP="00537C1D">
      <w:pPr>
        <w:spacing w:after="0" w:line="490" w:lineRule="exact"/>
        <w:ind w:firstLine="700"/>
        <w:jc w:val="both"/>
        <w:rPr>
          <w:rFonts w:ascii="Times New Roman" w:eastAsia="Times New Roman" w:hAnsi="Times New Roman" w:cs="Times New Roman"/>
          <w:sz w:val="27"/>
          <w:szCs w:val="27"/>
          <w:lang w:eastAsia="ru-RU"/>
        </w:rPr>
      </w:pPr>
    </w:p>
    <w:p w:rsidR="00937B0C" w:rsidRDefault="00937B0C" w:rsidP="00537C1D">
      <w:pPr>
        <w:spacing w:after="0" w:line="490" w:lineRule="exact"/>
        <w:ind w:firstLine="700"/>
        <w:jc w:val="both"/>
        <w:rPr>
          <w:rFonts w:ascii="Times New Roman" w:eastAsia="Times New Roman" w:hAnsi="Times New Roman" w:cs="Times New Roman"/>
          <w:sz w:val="27"/>
          <w:szCs w:val="27"/>
          <w:lang w:eastAsia="ru-RU"/>
        </w:rPr>
      </w:pPr>
    </w:p>
    <w:p w:rsidR="00502499" w:rsidRDefault="00537C1D" w:rsidP="00537C1D">
      <w:pPr>
        <w:spacing w:after="0" w:line="490" w:lineRule="exact"/>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Таблица 2.</w:t>
      </w:r>
      <w:r w:rsidR="00937B0C">
        <w:rPr>
          <w:rFonts w:ascii="Times New Roman" w:eastAsia="Times New Roman" w:hAnsi="Times New Roman" w:cs="Times New Roman"/>
          <w:sz w:val="27"/>
          <w:szCs w:val="27"/>
          <w:lang w:eastAsia="ru-RU"/>
        </w:rPr>
        <w:t>7</w:t>
      </w:r>
      <w:r>
        <w:rPr>
          <w:rFonts w:ascii="Times New Roman" w:eastAsia="Times New Roman" w:hAnsi="Times New Roman" w:cs="Times New Roman"/>
          <w:sz w:val="27"/>
          <w:szCs w:val="27"/>
          <w:lang w:eastAsia="ru-RU"/>
        </w:rPr>
        <w:t>.</w:t>
      </w:r>
      <w:r w:rsidR="00502499" w:rsidRPr="00502499">
        <w:rPr>
          <w:rFonts w:ascii="Times New Roman" w:eastAsia="Times New Roman" w:hAnsi="Times New Roman" w:cs="Times New Roman"/>
          <w:sz w:val="27"/>
          <w:szCs w:val="27"/>
          <w:lang w:eastAsia="ru-RU"/>
        </w:rPr>
        <w:t xml:space="preserve"> - Нормативные и предельные значения нормативов ликвидности Сбербанка России</w:t>
      </w:r>
    </w:p>
    <w:p w:rsidR="00537C1D" w:rsidRPr="00502499" w:rsidRDefault="00537C1D" w:rsidP="00537C1D">
      <w:pPr>
        <w:spacing w:after="0" w:line="490" w:lineRule="exact"/>
        <w:ind w:firstLine="700"/>
        <w:jc w:val="both"/>
        <w:rPr>
          <w:rFonts w:ascii="Times New Roman" w:eastAsia="Times New Roman" w:hAnsi="Times New Roman" w:cs="Times New Roman"/>
          <w:sz w:val="24"/>
          <w:szCs w:val="24"/>
          <w:lang w:eastAsia="ru-RU"/>
        </w:rPr>
      </w:pPr>
    </w:p>
    <w:tbl>
      <w:tblPr>
        <w:tblW w:w="9356" w:type="dxa"/>
        <w:tblInd w:w="5" w:type="dxa"/>
        <w:tblLayout w:type="fixed"/>
        <w:tblCellMar>
          <w:left w:w="0" w:type="dxa"/>
          <w:right w:w="0" w:type="dxa"/>
        </w:tblCellMar>
        <w:tblLook w:val="0000"/>
      </w:tblPr>
      <w:tblGrid>
        <w:gridCol w:w="2552"/>
        <w:gridCol w:w="1417"/>
        <w:gridCol w:w="1985"/>
        <w:gridCol w:w="1701"/>
        <w:gridCol w:w="1701"/>
      </w:tblGrid>
      <w:tr w:rsidR="00502499" w:rsidRPr="00502499" w:rsidTr="00537C1D">
        <w:trPr>
          <w:trHeight w:val="307"/>
        </w:trPr>
        <w:tc>
          <w:tcPr>
            <w:tcW w:w="2552" w:type="dxa"/>
            <w:vMerge w:val="restart"/>
            <w:tcBorders>
              <w:top w:val="single" w:sz="4" w:space="0" w:color="auto"/>
              <w:left w:val="single" w:sz="4" w:space="0" w:color="auto"/>
              <w:bottom w:val="nil"/>
              <w:right w:val="single" w:sz="4" w:space="0" w:color="auto"/>
            </w:tcBorders>
            <w:shd w:val="clear" w:color="auto" w:fill="FFFFFF"/>
          </w:tcPr>
          <w:p w:rsidR="00502499" w:rsidRPr="00502499" w:rsidRDefault="00502499" w:rsidP="00502499">
            <w:pPr>
              <w:spacing w:after="0" w:line="240" w:lineRule="auto"/>
              <w:ind w:left="60"/>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Наименование показателя</w:t>
            </w:r>
          </w:p>
        </w:tc>
        <w:tc>
          <w:tcPr>
            <w:tcW w:w="1417" w:type="dxa"/>
            <w:vMerge w:val="restart"/>
            <w:tcBorders>
              <w:top w:val="single" w:sz="4" w:space="0" w:color="auto"/>
              <w:left w:val="single" w:sz="4" w:space="0" w:color="auto"/>
              <w:bottom w:val="nil"/>
              <w:right w:val="single" w:sz="4" w:space="0" w:color="auto"/>
            </w:tcBorders>
            <w:shd w:val="clear" w:color="auto" w:fill="FFFFFF"/>
          </w:tcPr>
          <w:p w:rsidR="00502499" w:rsidRPr="00502499" w:rsidRDefault="00502499" w:rsidP="00502499">
            <w:pPr>
              <w:spacing w:after="0" w:line="278" w:lineRule="exact"/>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Нормативное значение</w:t>
            </w:r>
          </w:p>
        </w:tc>
        <w:tc>
          <w:tcPr>
            <w:tcW w:w="5387" w:type="dxa"/>
            <w:gridSpan w:val="3"/>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ind w:left="2040"/>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Фактическое значение</w:t>
            </w:r>
          </w:p>
        </w:tc>
      </w:tr>
      <w:tr w:rsidR="00502499" w:rsidRPr="00502499" w:rsidTr="00537C1D">
        <w:trPr>
          <w:trHeight w:val="571"/>
        </w:trPr>
        <w:tc>
          <w:tcPr>
            <w:tcW w:w="2552" w:type="dxa"/>
            <w:vMerge/>
            <w:tcBorders>
              <w:top w:val="nil"/>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ind w:left="2040"/>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ind w:left="2040"/>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37C1D" w:rsidP="00502499">
            <w:pPr>
              <w:spacing w:after="0" w:line="278"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на 01.01.2014</w:t>
            </w:r>
            <w:r w:rsidR="00502499" w:rsidRPr="00502499">
              <w:rPr>
                <w:rFonts w:ascii="Times New Roman" w:eastAsia="Times New Roman" w:hAnsi="Times New Roman" w:cs="Times New Roman"/>
                <w:sz w:val="23"/>
                <w:szCs w:val="23"/>
                <w:lang w:eastAsia="ru-RU"/>
              </w:rPr>
              <w:t xml:space="preserve">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37C1D" w:rsidP="00502499">
            <w:pPr>
              <w:spacing w:after="0" w:line="278"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на 01.01.2015</w:t>
            </w:r>
            <w:r w:rsidR="00502499" w:rsidRPr="00502499">
              <w:rPr>
                <w:rFonts w:ascii="Times New Roman" w:eastAsia="Times New Roman" w:hAnsi="Times New Roman" w:cs="Times New Roman"/>
                <w:sz w:val="23"/>
                <w:szCs w:val="23"/>
                <w:lang w:eastAsia="ru-RU"/>
              </w:rPr>
              <w:t xml:space="preserve">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37C1D" w:rsidP="00502499">
            <w:pPr>
              <w:spacing w:after="0" w:line="278"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на 01.01.2016</w:t>
            </w:r>
            <w:r w:rsidR="00502499" w:rsidRPr="00502499">
              <w:rPr>
                <w:rFonts w:ascii="Times New Roman" w:eastAsia="Times New Roman" w:hAnsi="Times New Roman" w:cs="Times New Roman"/>
                <w:sz w:val="23"/>
                <w:szCs w:val="23"/>
                <w:lang w:eastAsia="ru-RU"/>
              </w:rPr>
              <w:t xml:space="preserve"> года</w:t>
            </w:r>
          </w:p>
        </w:tc>
      </w:tr>
      <w:tr w:rsidR="00502499" w:rsidRPr="00502499" w:rsidTr="00537C1D">
        <w:trPr>
          <w:trHeight w:val="638"/>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74" w:lineRule="exact"/>
              <w:ind w:left="60"/>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Норматив мгновенной ликвидности банка (Н2)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15,0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61,52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53,67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74,46</w:t>
            </w:r>
          </w:p>
        </w:tc>
      </w:tr>
      <w:tr w:rsidR="00502499" w:rsidRPr="00502499" w:rsidTr="00537C1D">
        <w:trPr>
          <w:trHeight w:val="571"/>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74" w:lineRule="exact"/>
              <w:ind w:left="60"/>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Норматив текущей ликвидности банка (Н3)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50,0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74,34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58,59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66,52</w:t>
            </w:r>
          </w:p>
        </w:tc>
      </w:tr>
      <w:tr w:rsidR="00502499" w:rsidRPr="00502499" w:rsidTr="00537C1D">
        <w:trPr>
          <w:trHeight w:val="581"/>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74" w:lineRule="exact"/>
              <w:ind w:left="60"/>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Норматив долгосрочной ликвидности банка (Н4)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120,0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E77821" w:rsidP="00502499">
            <w:pPr>
              <w:spacing w:after="0" w:line="240" w:lineRule="auto"/>
              <w:jc w:val="center"/>
              <w:rPr>
                <w:rFonts w:ascii="Times New Roman" w:eastAsia="Times New Roman" w:hAnsi="Times New Roman" w:cs="Times New Roman"/>
                <w:sz w:val="24"/>
                <w:szCs w:val="24"/>
                <w:lang w:eastAsia="ru-RU"/>
              </w:rPr>
            </w:pPr>
            <w:hyperlink r:id="rId16" w:history="1">
              <w:r w:rsidR="00502499" w:rsidRPr="00502499">
                <w:rPr>
                  <w:rFonts w:ascii="Times New Roman" w:eastAsia="Times New Roman" w:hAnsi="Times New Roman" w:cs="Times New Roman"/>
                  <w:sz w:val="23"/>
                  <w:szCs w:val="23"/>
                  <w:lang w:eastAsia="ru-RU"/>
                </w:rPr>
                <w:t>99,84</w:t>
              </w:r>
            </w:hyperlink>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102,30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2499" w:rsidRPr="00502499" w:rsidRDefault="00502499" w:rsidP="00502499">
            <w:pPr>
              <w:spacing w:after="0" w:line="240" w:lineRule="auto"/>
              <w:jc w:val="center"/>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3"/>
                <w:szCs w:val="23"/>
                <w:lang w:eastAsia="ru-RU"/>
              </w:rPr>
              <w:t>111,56</w:t>
            </w:r>
          </w:p>
        </w:tc>
      </w:tr>
    </w:tbl>
    <w:p w:rsidR="00502499" w:rsidRPr="00502499" w:rsidRDefault="00502499" w:rsidP="00502499">
      <w:pPr>
        <w:spacing w:after="0" w:line="480" w:lineRule="exact"/>
        <w:ind w:right="40" w:firstLine="72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Ликвидное положение Сбербанка России показывает соответствие его денежных показателей и обязательств за исследуемый промежуток времени.</w:t>
      </w:r>
    </w:p>
    <w:p w:rsidR="00502499" w:rsidRPr="00502499" w:rsidRDefault="00502499" w:rsidP="00502499">
      <w:pPr>
        <w:spacing w:after="0" w:line="480" w:lineRule="exact"/>
        <w:ind w:right="40" w:firstLine="72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ПАО «Сбербанк России» контролирует риск потери ликвидности для того, что бы гарантировать абсолютное выполнение всех финансовых обязательств перед клиентами и кредиторами. Управление риском потери ликвидности в Сбербанке России выполняется решениями органов управления банка в соответствии с предъявленными им условиями.</w:t>
      </w:r>
    </w:p>
    <w:p w:rsidR="00502499" w:rsidRPr="00502499" w:rsidRDefault="00502499" w:rsidP="00502499">
      <w:pPr>
        <w:spacing w:after="0" w:line="480" w:lineRule="exact"/>
        <w:ind w:firstLine="720"/>
        <w:jc w:val="both"/>
        <w:rPr>
          <w:rFonts w:ascii="Times New Roman" w:eastAsia="Times New Roman" w:hAnsi="Times New Roman" w:cs="Times New Roman"/>
          <w:sz w:val="24"/>
          <w:szCs w:val="24"/>
          <w:lang w:eastAsia="ru-RU"/>
        </w:rPr>
      </w:pPr>
      <w:r w:rsidRPr="00502499">
        <w:rPr>
          <w:rFonts w:ascii="Times New Roman" w:eastAsia="Times New Roman" w:hAnsi="Times New Roman" w:cs="Times New Roman"/>
          <w:sz w:val="27"/>
          <w:szCs w:val="27"/>
          <w:lang w:eastAsia="ru-RU"/>
        </w:rPr>
        <w:t>Банк управляет риском потери ликвидности путем:</w:t>
      </w:r>
    </w:p>
    <w:p w:rsidR="00502499" w:rsidRPr="00502499" w:rsidRDefault="00502499" w:rsidP="00502499">
      <w:pPr>
        <w:numPr>
          <w:ilvl w:val="0"/>
          <w:numId w:val="1"/>
        </w:numPr>
        <w:tabs>
          <w:tab w:val="left" w:pos="1003"/>
        </w:tabs>
        <w:spacing w:after="0" w:line="504" w:lineRule="exact"/>
        <w:ind w:firstLine="720"/>
        <w:jc w:val="both"/>
        <w:rPr>
          <w:rFonts w:ascii="Times New Roman" w:eastAsia="Times New Roman" w:hAnsi="Times New Roman" w:cs="Times New Roman"/>
          <w:sz w:val="27"/>
          <w:szCs w:val="27"/>
          <w:lang w:eastAsia="ru-RU"/>
        </w:rPr>
      </w:pPr>
      <w:r w:rsidRPr="00502499">
        <w:rPr>
          <w:rFonts w:ascii="Times New Roman" w:eastAsia="Times New Roman" w:hAnsi="Times New Roman" w:cs="Times New Roman"/>
          <w:sz w:val="27"/>
          <w:szCs w:val="27"/>
          <w:lang w:eastAsia="ru-RU"/>
        </w:rPr>
        <w:t>планирования структуры активов и пассивов;</w:t>
      </w:r>
    </w:p>
    <w:p w:rsidR="00502499" w:rsidRPr="00502499" w:rsidRDefault="00502499" w:rsidP="00502499">
      <w:pPr>
        <w:numPr>
          <w:ilvl w:val="0"/>
          <w:numId w:val="1"/>
        </w:numPr>
        <w:tabs>
          <w:tab w:val="left" w:pos="998"/>
        </w:tabs>
        <w:spacing w:after="0" w:line="504" w:lineRule="exact"/>
        <w:ind w:firstLine="720"/>
        <w:jc w:val="both"/>
        <w:rPr>
          <w:rFonts w:ascii="Times New Roman" w:eastAsia="Times New Roman" w:hAnsi="Times New Roman" w:cs="Times New Roman"/>
          <w:sz w:val="27"/>
          <w:szCs w:val="27"/>
          <w:lang w:eastAsia="ru-RU"/>
        </w:rPr>
      </w:pPr>
      <w:r w:rsidRPr="00502499">
        <w:rPr>
          <w:rFonts w:ascii="Times New Roman" w:eastAsia="Times New Roman" w:hAnsi="Times New Roman" w:cs="Times New Roman"/>
          <w:sz w:val="27"/>
          <w:szCs w:val="27"/>
          <w:lang w:eastAsia="ru-RU"/>
        </w:rPr>
        <w:t>установления и контроля лимитов и показателей риска потери ликвидности;</w:t>
      </w:r>
    </w:p>
    <w:p w:rsidR="00502499" w:rsidRPr="00502499" w:rsidRDefault="00502499" w:rsidP="00502499">
      <w:pPr>
        <w:numPr>
          <w:ilvl w:val="0"/>
          <w:numId w:val="1"/>
        </w:numPr>
        <w:tabs>
          <w:tab w:val="left" w:pos="1013"/>
        </w:tabs>
        <w:spacing w:after="0" w:line="504" w:lineRule="exact"/>
        <w:ind w:firstLine="720"/>
        <w:jc w:val="both"/>
        <w:rPr>
          <w:rFonts w:ascii="Times New Roman" w:eastAsia="Times New Roman" w:hAnsi="Times New Roman" w:cs="Times New Roman"/>
          <w:sz w:val="27"/>
          <w:szCs w:val="27"/>
          <w:lang w:eastAsia="ru-RU"/>
        </w:rPr>
      </w:pPr>
      <w:r w:rsidRPr="00502499">
        <w:rPr>
          <w:rFonts w:ascii="Times New Roman" w:eastAsia="Times New Roman" w:hAnsi="Times New Roman" w:cs="Times New Roman"/>
          <w:sz w:val="27"/>
          <w:szCs w:val="27"/>
          <w:lang w:eastAsia="ru-RU"/>
        </w:rPr>
        <w:t>формирования запаса ликвидности;</w:t>
      </w:r>
    </w:p>
    <w:p w:rsidR="00502499" w:rsidRPr="00502499" w:rsidRDefault="00502499" w:rsidP="00502499">
      <w:pPr>
        <w:numPr>
          <w:ilvl w:val="0"/>
          <w:numId w:val="1"/>
        </w:numPr>
        <w:tabs>
          <w:tab w:val="left" w:pos="989"/>
        </w:tabs>
        <w:spacing w:after="420" w:line="480" w:lineRule="exact"/>
        <w:ind w:right="40" w:firstLine="720"/>
        <w:jc w:val="both"/>
        <w:rPr>
          <w:rFonts w:ascii="Times New Roman" w:eastAsia="Times New Roman" w:hAnsi="Times New Roman" w:cs="Times New Roman"/>
          <w:sz w:val="27"/>
          <w:szCs w:val="27"/>
          <w:lang w:eastAsia="ru-RU"/>
        </w:rPr>
      </w:pPr>
      <w:r w:rsidRPr="00502499">
        <w:rPr>
          <w:rFonts w:ascii="Times New Roman" w:eastAsia="Times New Roman" w:hAnsi="Times New Roman" w:cs="Times New Roman"/>
          <w:sz w:val="27"/>
          <w:szCs w:val="27"/>
          <w:lang w:eastAsia="ru-RU"/>
        </w:rPr>
        <w:lastRenderedPageBreak/>
        <w:t>заблаговременного планирования и подготовки мероприятий, направленных на поддержание и восстановление ликвидности при возникновении неблагоприятных событий.</w:t>
      </w:r>
    </w:p>
    <w:p w:rsidR="0091775D" w:rsidRDefault="0091775D" w:rsidP="00364B4D">
      <w:pPr>
        <w:spacing w:after="0" w:line="360" w:lineRule="auto"/>
        <w:ind w:firstLine="709"/>
        <w:jc w:val="both"/>
        <w:rPr>
          <w:rFonts w:ascii="Times New Roman" w:eastAsia="Times New Roman" w:hAnsi="Times New Roman" w:cs="Times New Roman"/>
          <w:sz w:val="31"/>
          <w:szCs w:val="31"/>
          <w:lang w:eastAsia="ru-RU"/>
        </w:rPr>
      </w:pPr>
    </w:p>
    <w:p w:rsidR="0091775D" w:rsidRDefault="0091775D" w:rsidP="00364B4D">
      <w:pPr>
        <w:spacing w:after="0" w:line="360" w:lineRule="auto"/>
        <w:ind w:firstLine="709"/>
        <w:jc w:val="both"/>
        <w:rPr>
          <w:rFonts w:ascii="Times New Roman" w:eastAsia="Times New Roman" w:hAnsi="Times New Roman" w:cs="Times New Roman"/>
          <w:sz w:val="31"/>
          <w:szCs w:val="31"/>
          <w:lang w:eastAsia="ru-RU"/>
        </w:rPr>
      </w:pPr>
    </w:p>
    <w:p w:rsidR="00924358" w:rsidRDefault="00924358" w:rsidP="00364B4D">
      <w:pPr>
        <w:spacing w:after="0" w:line="360" w:lineRule="auto"/>
        <w:ind w:firstLine="709"/>
        <w:jc w:val="both"/>
        <w:rPr>
          <w:rFonts w:ascii="Times New Roman" w:eastAsia="Times New Roman" w:hAnsi="Times New Roman" w:cs="Times New Roman"/>
          <w:sz w:val="31"/>
          <w:szCs w:val="31"/>
          <w:lang w:eastAsia="ru-RU"/>
        </w:rPr>
      </w:pPr>
    </w:p>
    <w:p w:rsidR="00924358" w:rsidRDefault="00924358" w:rsidP="00A036CD">
      <w:pPr>
        <w:spacing w:before="180" w:after="180" w:line="240" w:lineRule="auto"/>
        <w:ind w:left="3760"/>
        <w:rPr>
          <w:rFonts w:ascii="Times New Roman" w:eastAsia="Times New Roman" w:hAnsi="Times New Roman" w:cs="Times New Roman"/>
          <w:sz w:val="31"/>
          <w:szCs w:val="31"/>
          <w:lang w:eastAsia="ru-RU"/>
        </w:rPr>
      </w:pPr>
    </w:p>
    <w:p w:rsidR="006D2C79" w:rsidRPr="000D178D" w:rsidRDefault="006D2C79" w:rsidP="006D2C79">
      <w:pPr>
        <w:rPr>
          <w:rFonts w:ascii="Times New Roman" w:hAnsi="Times New Roman" w:cs="Times New Roman"/>
          <w:b/>
          <w:sz w:val="28"/>
          <w:szCs w:val="28"/>
        </w:rPr>
      </w:pPr>
      <w:r w:rsidRPr="000D178D">
        <w:rPr>
          <w:rFonts w:ascii="Times New Roman" w:hAnsi="Times New Roman" w:cs="Times New Roman"/>
          <w:b/>
          <w:sz w:val="28"/>
          <w:szCs w:val="28"/>
        </w:rPr>
        <w:t xml:space="preserve">Глава 3. Мероприятия по улучшению показателей финансового состояния ПАО «Сбербанк России» </w:t>
      </w:r>
    </w:p>
    <w:p w:rsidR="006D2C79" w:rsidRPr="000D178D" w:rsidRDefault="006D2C79" w:rsidP="006D2C79">
      <w:pPr>
        <w:rPr>
          <w:rFonts w:ascii="Times New Roman" w:hAnsi="Times New Roman" w:cs="Times New Roman"/>
          <w:b/>
          <w:sz w:val="28"/>
          <w:szCs w:val="28"/>
        </w:rPr>
      </w:pPr>
      <w:r w:rsidRPr="000D178D">
        <w:rPr>
          <w:rFonts w:ascii="Times New Roman" w:hAnsi="Times New Roman" w:cs="Times New Roman"/>
          <w:b/>
          <w:sz w:val="28"/>
          <w:szCs w:val="28"/>
        </w:rPr>
        <w:t xml:space="preserve">3.1. Пути улучшения финансового состояния банка </w:t>
      </w:r>
    </w:p>
    <w:p w:rsidR="00780AC5" w:rsidRPr="000D178D" w:rsidRDefault="00780AC5" w:rsidP="000D178D">
      <w:pPr>
        <w:spacing w:after="0" w:line="360" w:lineRule="auto"/>
        <w:ind w:firstLine="709"/>
        <w:jc w:val="both"/>
        <w:rPr>
          <w:rFonts w:ascii="Times New Roman" w:eastAsia="Times New Roman" w:hAnsi="Times New Roman" w:cs="Times New Roman"/>
          <w:sz w:val="28"/>
          <w:szCs w:val="28"/>
          <w:lang w:eastAsia="ru-RU"/>
        </w:rPr>
      </w:pP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 xml:space="preserve">Проведенный во 2-й главе анализ показал, что наибольший удельный вес в операциях банка занимают кредитные операции, в частности, операции по потребительскому кредитованию. В частности, удельный вес чистых процентных доходов сократился с 78,10% в 2013 г. до 63,98% в 2015 г. Учитывая отрицательную динамику данного показателя, целесообразно отметить, что подобная ситуация требует разработки соответствующего управленческого решения, которое преследует цель использования резервов увеличения процентных доходов ПАО «Сбербанк России». Именно развитие присутствия банка в сегменте потребительского кредитования является в настоящее время наиболее важным фактором повышения финансовых результатов как в абсолютном, так и в относительном выражении. Следовательно, в качестве направления улучшения финансовых результатов </w:t>
      </w:r>
      <w:r w:rsidRPr="000D178D">
        <w:rPr>
          <w:rFonts w:ascii="Times New Roman" w:eastAsia="Times New Roman" w:hAnsi="Times New Roman" w:cs="Times New Roman"/>
          <w:sz w:val="28"/>
          <w:szCs w:val="28"/>
          <w:lang w:eastAsia="ru-RU"/>
        </w:rPr>
        <w:lastRenderedPageBreak/>
        <w:t>деятельности ПАО «Сбербанк России» следует назвать расширение набора кредитных продуктов для осуществления потребительского кредитования.</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Кредитные продукты, которые разрабатывает банк, с одной стороны, отражают особенности кругооборота капитала в различных отраслях реального сектора экономики и связанную с ними потребность в привлечении заемных средств, а с другой - учитывают необходимость поддержания собственной ликвидности и достижения требуемого уровня рентабельности капитала и активов банка. При этом внедряемые кредитные продукты должны соответствовать следующим критериям: минимальный риск, максимальная доходность. В случае успешной реализации проекта банк имеет шансы привлечь дополнительных клиентов, повысить эффективность использования активов, стабилизировать финансовое состояние, повысить конкурентоспособность.</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Классификация кредитных продуктов весьма разнообразна. Они подразделяются по способам выдачи, валюте, сторонам кредитных отношений, целевому назначению, технике предоставления, обеспеченности, срокам погашения, способам погашения, видам процентных ставок, способам взимания процента, категориям качества ссуды, объектам и субъектам кредитования. На наш взгляд, все они представляют собой набор</w:t>
      </w:r>
      <w:r>
        <w:rPr>
          <w:rFonts w:ascii="Times New Roman" w:eastAsia="Times New Roman" w:hAnsi="Times New Roman" w:cs="Times New Roman"/>
          <w:sz w:val="28"/>
          <w:szCs w:val="28"/>
          <w:lang w:eastAsia="ru-RU"/>
        </w:rPr>
        <w:t xml:space="preserve"> </w:t>
      </w:r>
      <w:r w:rsidRPr="000D178D">
        <w:rPr>
          <w:rFonts w:ascii="Times New Roman" w:eastAsia="Times New Roman" w:hAnsi="Times New Roman" w:cs="Times New Roman"/>
          <w:sz w:val="28"/>
          <w:szCs w:val="28"/>
          <w:lang w:eastAsia="ru-RU"/>
        </w:rPr>
        <w:t xml:space="preserve">модифицированных банковских и финансовых операций для решения какой-либо потребности клиента, который можно позиционировать как новую банковскую услугу или сочетание традиционных услуг банка, выстроенное в технологическую цепочку, позволяющую решать конкретную проблему клиента и удовлетворять его спрос в комплексном обслуживании. Проще говоря, кредитный продукт - это разработанная и утвержденная банком </w:t>
      </w:r>
      <w:r w:rsidRPr="000D178D">
        <w:rPr>
          <w:rFonts w:ascii="Times New Roman" w:eastAsia="Times New Roman" w:hAnsi="Times New Roman" w:cs="Times New Roman"/>
          <w:sz w:val="28"/>
          <w:szCs w:val="28"/>
          <w:lang w:eastAsia="ru-RU"/>
        </w:rPr>
        <w:lastRenderedPageBreak/>
        <w:t>программа сотрудничества с клиентом, связанная с размещением денежных средств от имени банка и за его счет на условиях срочности, возвратности и платности. При этом продукт следует отличать от услуги по предоставлению кредита. Под услугой понимается сам процесс кредитования. Продукт же, как сказано выше, это набор модифицированных банковских и финансовых операций, разработанных для решения какой-либо потребности клиента, применение которых регламентировано и закреплено нормативными актами банка, положениями. Развивая количественно и качественно линейку кредитных продуктов, предназначенных для физических лиц, предпринимая попытки в максимальной степени удовлетворить потребности клиентов в кредитных ресурсах, банк имеет потенциальную возможность повысить свою конкурентоспособность. Исходя из этого, в качестве первого направления совершенствования потребительского кредитования в ПАО «Сбербанк России» следует назвать расширение набора продуктов потребительского кредитования.</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Качественное и количественное развитие кредитных продуктов банка предполагает реализацию следующих направлений: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расширение линейки кредитных продуктов;</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совершенствование технологии предоставления кредитов;</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развитие моделей ценообразования на кредитные услуги;</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совершенствование организации сбыта кредитных услуг;</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расширение способов погашения кредита;</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повышение квалификации и профессионального уровня персонала банка;</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lastRenderedPageBreak/>
        <w:t>-</w:t>
      </w:r>
      <w:r w:rsidRPr="000D178D">
        <w:rPr>
          <w:rFonts w:ascii="Times New Roman" w:eastAsia="Times New Roman" w:hAnsi="Times New Roman" w:cs="Times New Roman"/>
          <w:sz w:val="28"/>
          <w:szCs w:val="28"/>
          <w:lang w:eastAsia="ru-RU"/>
        </w:rPr>
        <w:tab/>
        <w:t>расширение филиальной сети и создание комфортной для клиентов обстановки внутри отделения банка;</w:t>
      </w:r>
    </w:p>
    <w:p w:rsidR="00780AC5"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развитие услуг некредитного характера, связанных с выдачей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кредита клиенту - физическому лицу и обслуживанием долга.</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В части внедрения новых кредитных продуктов целесообразно применять опыт других стран с учетом особенностей российского рынка кредитных услуг населению. В частности, в качестве наиболее перспективной услуги по автокредитованию можно предложить программу кредитования с обратным выкупом автомобиля. Особенность данной программы в том, что по истечении определенного оговоренного условиями кредитного договора срока заемщик может вернуть кредитный автомобиль обратно в дилерский центр, который должен будет погасить остаток его долга банку. Это схема обратного выкупа, когда по окончанию срока выплат клиент возвращает автомобиль в автосалон и берёт новое авто, а старое выступает в качестве первоначального взноса. Не стоит путать Buy-back с трейд-ин, поскольку согласно программе бай-бек, клиент заранее подписывает договор о том, что перед последним платежом он должен или продать машину автосалону и погасить задолженность, или самостоятельно продать авто и погасить кредит, либо же полностью погасить автокредит и оставить авто себе. Основной минус - итоговая переплата существенно выше, чем обычно, а главный плюс - низкие ежемесячные платежи.</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 xml:space="preserve">Следующей разновидностью кредитного продукта в сегменте автокредитования, которую можно реализовать в условиях ПАО «Сбербанк России» является автокредит Trade-in. Такой вид кредита подойдет клиентам, у которых есть собственный автомобиль, который они желают продать. При </w:t>
      </w:r>
      <w:r w:rsidRPr="000D178D">
        <w:rPr>
          <w:rFonts w:ascii="Times New Roman" w:eastAsia="Times New Roman" w:hAnsi="Times New Roman" w:cs="Times New Roman"/>
          <w:sz w:val="28"/>
          <w:szCs w:val="28"/>
          <w:lang w:eastAsia="ru-RU"/>
        </w:rPr>
        <w:lastRenderedPageBreak/>
        <w:t>этом клиент получает авто в кредит, а старый автомобиль выступает в качестве первоначального взноса по новому кредиту. Клиенту данная схема позволяет решить несколько задач: приобрести новый автомобиль, избавиться от старого автомобиля, не накапливать первоначальный взнос. Еще одним плюсом такого кредита должны быть низкие процентные ставки, которые должны «перевесить» минусы данной схемы кредитования, предполагающие занижение стоимости старого автомобиля при его оценке.</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Линейку кредитных продуктов целесообразно дополнить за счет образовательного кредита. Образовательные кредиты могут быть использованы на оплату первого и второго высшего, а также дополнительного образования - в общем, вариантов довольно много. Стоит,</w:t>
      </w:r>
      <w:r w:rsidRPr="000D178D">
        <w:t xml:space="preserve"> </w:t>
      </w:r>
      <w:r w:rsidRPr="000D178D">
        <w:rPr>
          <w:rFonts w:ascii="Times New Roman" w:eastAsia="Times New Roman" w:hAnsi="Times New Roman" w:cs="Times New Roman"/>
          <w:sz w:val="28"/>
          <w:szCs w:val="28"/>
          <w:lang w:eastAsia="ru-RU"/>
        </w:rPr>
        <w:t>однако, признать, что услуга, которую сегодня готовы предложить банки, в массе своей не вполне соответствует определению «классический образовательный кредит».</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Во-первых, образовательный кредит должен быть долгосрочным - не менее пяти-семи лет, чтобы студент не только имел возможность окончить высшее учебное заведение, но и, что называется, встал на ноги - нашел работу и без проблем рассчитался с банком.</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Во-вторых, кредит должен выдаваться непосредственно студенту без требования залога и поручительств.</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В-третьих, он должен иметь отсрочки по выплатам основного долга и процентов на весь период обучения.</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 xml:space="preserve">В-четвертых, этот кредит должен выдаваться под небольшой процент. При этом деньги для оплаты обучения выдаются не на руки студенту, а переводятся в организацию, осуществляющую образовательную </w:t>
      </w:r>
      <w:r w:rsidRPr="000D178D">
        <w:rPr>
          <w:rFonts w:ascii="Times New Roman" w:eastAsia="Times New Roman" w:hAnsi="Times New Roman" w:cs="Times New Roman"/>
          <w:sz w:val="28"/>
          <w:szCs w:val="28"/>
          <w:lang w:eastAsia="ru-RU"/>
        </w:rPr>
        <w:lastRenderedPageBreak/>
        <w:t>деятельность. Данный вид кредита выдается на приобретение потребительских товаров и услуг на удвоенный срок обучения в рублях. Процентная ставка зависит от срока, на который планируется брать кредит и от валюты кредита: от 16% до 22% годовых.</w:t>
      </w:r>
    </w:p>
    <w:p w:rsidR="00F76758"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 xml:space="preserve">Следующая разновидность кредита, за счет которого можно пополнить линейку кредитных продуктов, это кредит «Одобренный». Этот вид кредита будет доступен держателям зарплатных карт ПАО «Сбербанк России». </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В частности, можно предложить следующую схему: клиент может взять кредит в сумме 10000 руб. на 10 дней (переплата - 120 руб.), на 20 дней (переплата -170 руб.), на 30 дней (переплата - 200 руб.). После окончания период кредитования с зарплатной карты заемщика происходит автоматическое списание суммы основного долга и процентов за пользование кредитом.</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Линейку кредитных продуктов можно также дополнить за счет кредита «Легкий». Особенностью данного кредита является наличие льготного периода (допустим, 50 дней), в течение которого проценты за пользование заемными средствами не взимаются. Опрос работников банка, занятых в сегменте потребительского кредита показывает, что средний период погашения потребительского кредита в сумме 20000 руб. (это средняя сумма покупки товаров в кредит) составляет около 45 дней. Исходя из этого, можно</w:t>
      </w:r>
      <w:r>
        <w:rPr>
          <w:rFonts w:ascii="Times New Roman" w:eastAsia="Times New Roman" w:hAnsi="Times New Roman" w:cs="Times New Roman"/>
          <w:sz w:val="28"/>
          <w:szCs w:val="28"/>
          <w:lang w:eastAsia="ru-RU"/>
        </w:rPr>
        <w:t xml:space="preserve"> </w:t>
      </w:r>
      <w:r w:rsidRPr="000D178D">
        <w:rPr>
          <w:rFonts w:ascii="Times New Roman" w:eastAsia="Times New Roman" w:hAnsi="Times New Roman" w:cs="Times New Roman"/>
          <w:sz w:val="28"/>
          <w:szCs w:val="28"/>
          <w:lang w:eastAsia="ru-RU"/>
        </w:rPr>
        <w:t>предположить, что в течение льготного периода большая часть кредитов погашена не будет, но наличие такого срока обычно делает заемщиков более финансово дисциплинированными.</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 xml:space="preserve">Следующим предложением по расширению линейки потребительских кредитов выступает кредит «Лотерейный», который предполагает, что </w:t>
      </w:r>
      <w:r w:rsidRPr="000D178D">
        <w:rPr>
          <w:rFonts w:ascii="Times New Roman" w:eastAsia="Times New Roman" w:hAnsi="Times New Roman" w:cs="Times New Roman"/>
          <w:sz w:val="28"/>
          <w:szCs w:val="28"/>
          <w:lang w:eastAsia="ru-RU"/>
        </w:rPr>
        <w:lastRenderedPageBreak/>
        <w:t>ежеквартально (каждое полугодие, ежегодно) осуществляется розыгрыш списания задолженности по кредиту. Таким кредитом вполне могут воспользоваться азартные заемщики, которых, судя по оценкам кредитных специалистов ПАО «Сбербанк России», будет достаточно много.</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Таким образом, линейку потребительских кредитов ПАО «Сбербанк России» предлагается расширить за счет следующих кредитных продуктов:</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1)</w:t>
      </w:r>
      <w:r w:rsidRPr="000D178D">
        <w:rPr>
          <w:rFonts w:ascii="Times New Roman" w:eastAsia="Times New Roman" w:hAnsi="Times New Roman" w:cs="Times New Roman"/>
          <w:sz w:val="28"/>
          <w:szCs w:val="28"/>
          <w:lang w:eastAsia="ru-RU"/>
        </w:rPr>
        <w:tab/>
        <w:t>кредит с обратным выкупом автомобиля;</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2)</w:t>
      </w:r>
      <w:r w:rsidRPr="000D178D">
        <w:rPr>
          <w:rFonts w:ascii="Times New Roman" w:eastAsia="Times New Roman" w:hAnsi="Times New Roman" w:cs="Times New Roman"/>
          <w:sz w:val="28"/>
          <w:szCs w:val="28"/>
          <w:lang w:eastAsia="ru-RU"/>
        </w:rPr>
        <w:tab/>
        <w:t>автокредит Trade-in;</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3)</w:t>
      </w:r>
      <w:r w:rsidRPr="000D178D">
        <w:rPr>
          <w:rFonts w:ascii="Times New Roman" w:eastAsia="Times New Roman" w:hAnsi="Times New Roman" w:cs="Times New Roman"/>
          <w:sz w:val="28"/>
          <w:szCs w:val="28"/>
          <w:lang w:eastAsia="ru-RU"/>
        </w:rPr>
        <w:tab/>
        <w:t>образовательный кредит «Стабильное будущее»;</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4)</w:t>
      </w:r>
      <w:r w:rsidRPr="000D178D">
        <w:rPr>
          <w:rFonts w:ascii="Times New Roman" w:eastAsia="Times New Roman" w:hAnsi="Times New Roman" w:cs="Times New Roman"/>
          <w:sz w:val="28"/>
          <w:szCs w:val="28"/>
          <w:lang w:eastAsia="ru-RU"/>
        </w:rPr>
        <w:tab/>
        <w:t>кредит «Одобренный» для держателей зарплатных карт ПАО «Сбербанк России»;</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5)</w:t>
      </w:r>
      <w:r w:rsidRPr="000D178D">
        <w:rPr>
          <w:rFonts w:ascii="Times New Roman" w:eastAsia="Times New Roman" w:hAnsi="Times New Roman" w:cs="Times New Roman"/>
          <w:sz w:val="28"/>
          <w:szCs w:val="28"/>
          <w:lang w:eastAsia="ru-RU"/>
        </w:rPr>
        <w:tab/>
        <w:t>кредит «Лотерейный»;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6)</w:t>
      </w:r>
      <w:r w:rsidRPr="000D178D">
        <w:rPr>
          <w:rFonts w:ascii="Times New Roman" w:eastAsia="Times New Roman" w:hAnsi="Times New Roman" w:cs="Times New Roman"/>
          <w:sz w:val="28"/>
          <w:szCs w:val="28"/>
          <w:lang w:eastAsia="ru-RU"/>
        </w:rPr>
        <w:tab/>
        <w:t>кредит «Легкий».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Вывод о том, насколько эффективными для банка будут предлагаемые кредитные продукты, целесообразно сделать, используя возможности экспертного опроса. В качестве экспертов привлечены специалисты в сфере потребительского кредитования. Каждому эксперту предлагался перечень предлагаемых кредитных продуктов, каждую позицию которого необходимо было оценить по 10-балльной шкале (оценку «10 баллов» предлагалось выставить продукту, который, по мнению эксперта, является наиболее эффективным с точки зрения усиления конкурентных позиций банка на рынке потребительского кредитования; соответственно, оценкой «1 балл» предлагалось отметить продукт, который не имеет существенного значений для рассматриваемой компании).</w:t>
      </w:r>
    </w:p>
    <w:p w:rsid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lastRenderedPageBreak/>
        <w:t>Таким образом, предлагаемые кредитные продукты получили оценки десяти специалистов-экспертов по десятибалльной шкале. Экспертные оценки</w:t>
      </w:r>
      <w:r w:rsidR="00F76758">
        <w:rPr>
          <w:rFonts w:ascii="Times New Roman" w:eastAsia="Times New Roman" w:hAnsi="Times New Roman" w:cs="Times New Roman"/>
          <w:sz w:val="28"/>
          <w:szCs w:val="28"/>
          <w:lang w:eastAsia="ru-RU"/>
        </w:rPr>
        <w:t xml:space="preserve"> представлены в таблице 3.1.</w:t>
      </w:r>
    </w:p>
    <w:p w:rsidR="000D178D" w:rsidRPr="00F76758" w:rsidRDefault="00F76758" w:rsidP="00F7675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3.1. - </w:t>
      </w:r>
      <w:r w:rsidRPr="00F76758">
        <w:rPr>
          <w:rFonts w:ascii="Times New Roman" w:eastAsia="Times New Roman" w:hAnsi="Times New Roman" w:cs="Times New Roman"/>
          <w:sz w:val="28"/>
          <w:szCs w:val="28"/>
          <w:lang w:eastAsia="ru-RU"/>
        </w:rPr>
        <w:t>Оценки кредитных продуктов каждым из опрошенных экспертов</w:t>
      </w:r>
    </w:p>
    <w:tbl>
      <w:tblPr>
        <w:tblW w:w="0" w:type="auto"/>
        <w:tblInd w:w="5" w:type="dxa"/>
        <w:tblLayout w:type="fixed"/>
        <w:tblCellMar>
          <w:left w:w="0" w:type="dxa"/>
          <w:right w:w="0" w:type="dxa"/>
        </w:tblCellMar>
        <w:tblLook w:val="0000"/>
      </w:tblPr>
      <w:tblGrid>
        <w:gridCol w:w="2842"/>
        <w:gridCol w:w="682"/>
        <w:gridCol w:w="677"/>
        <w:gridCol w:w="682"/>
        <w:gridCol w:w="682"/>
        <w:gridCol w:w="682"/>
        <w:gridCol w:w="677"/>
        <w:gridCol w:w="682"/>
        <w:gridCol w:w="682"/>
        <w:gridCol w:w="682"/>
        <w:gridCol w:w="691"/>
      </w:tblGrid>
      <w:tr w:rsidR="000D178D" w:rsidRPr="000D178D">
        <w:trPr>
          <w:trHeight w:val="298"/>
        </w:trPr>
        <w:tc>
          <w:tcPr>
            <w:tcW w:w="284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jc w:val="center"/>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Предлагаемые к</w:t>
            </w:r>
          </w:p>
        </w:tc>
        <w:tc>
          <w:tcPr>
            <w:tcW w:w="6819" w:type="dxa"/>
            <w:gridSpan w:val="10"/>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Эксперты</w:t>
            </w:r>
          </w:p>
        </w:tc>
      </w:tr>
      <w:tr w:rsidR="000D178D" w:rsidRPr="000D178D">
        <w:trPr>
          <w:trHeight w:val="552"/>
        </w:trPr>
        <w:tc>
          <w:tcPr>
            <w:tcW w:w="284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78" w:lineRule="exact"/>
              <w:jc w:val="center"/>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внедрению кредитные продукты</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9</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10</w:t>
            </w:r>
          </w:p>
        </w:tc>
      </w:tr>
      <w:tr w:rsidR="000D178D" w:rsidRPr="000D178D">
        <w:trPr>
          <w:trHeight w:val="562"/>
        </w:trPr>
        <w:tc>
          <w:tcPr>
            <w:tcW w:w="284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78" w:lineRule="exact"/>
              <w:ind w:left="1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 кредит с обратным выкупом автомобиля</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r>
      <w:tr w:rsidR="000D178D" w:rsidRPr="000D178D">
        <w:trPr>
          <w:trHeight w:val="283"/>
        </w:trPr>
        <w:tc>
          <w:tcPr>
            <w:tcW w:w="284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jc w:val="center"/>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 xml:space="preserve">2) автокредит </w:t>
            </w:r>
            <w:r w:rsidRPr="000D178D">
              <w:rPr>
                <w:rFonts w:ascii="Times New Roman" w:eastAsia="Times New Roman" w:hAnsi="Times New Roman" w:cs="Times New Roman"/>
                <w:sz w:val="21"/>
                <w:szCs w:val="21"/>
                <w:lang w:val="en-US"/>
              </w:rPr>
              <w:t>Trade-in</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7</w:t>
            </w:r>
          </w:p>
        </w:tc>
      </w:tr>
      <w:tr w:rsidR="000D178D" w:rsidRPr="000D178D">
        <w:trPr>
          <w:trHeight w:val="562"/>
        </w:trPr>
        <w:tc>
          <w:tcPr>
            <w:tcW w:w="284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74" w:lineRule="exact"/>
              <w:ind w:left="1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 образовательный кредит «Стабильное</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77"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77"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91"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r>
      <w:tr w:rsidR="000D178D" w:rsidRPr="000D178D">
        <w:trPr>
          <w:trHeight w:val="278"/>
        </w:trPr>
        <w:tc>
          <w:tcPr>
            <w:tcW w:w="284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1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будущее»</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77"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77"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91"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r>
      <w:tr w:rsidR="000D178D" w:rsidRPr="000D178D">
        <w:trPr>
          <w:trHeight w:val="331"/>
        </w:trPr>
        <w:tc>
          <w:tcPr>
            <w:tcW w:w="284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jc w:val="center"/>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 кредит «Одобренный»</w:t>
            </w: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77"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77"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82"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691" w:type="dxa"/>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r>
      <w:tr w:rsidR="000D178D" w:rsidRPr="000D178D">
        <w:trPr>
          <w:trHeight w:val="782"/>
        </w:trPr>
        <w:tc>
          <w:tcPr>
            <w:tcW w:w="284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74" w:lineRule="exact"/>
              <w:ind w:left="1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для держателей зарплатных карт ПАО «Сбербанк России»</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77"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10</w:t>
            </w:r>
          </w:p>
        </w:tc>
        <w:tc>
          <w:tcPr>
            <w:tcW w:w="677"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10</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9</w:t>
            </w:r>
          </w:p>
        </w:tc>
        <w:tc>
          <w:tcPr>
            <w:tcW w:w="682"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10</w:t>
            </w:r>
          </w:p>
        </w:tc>
        <w:tc>
          <w:tcPr>
            <w:tcW w:w="691" w:type="dxa"/>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r>
      <w:tr w:rsidR="000D178D" w:rsidRPr="000D178D">
        <w:trPr>
          <w:trHeight w:val="288"/>
        </w:trPr>
        <w:tc>
          <w:tcPr>
            <w:tcW w:w="284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jc w:val="center"/>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 кредит «Лотерейный»</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r>
      <w:tr w:rsidR="000D178D" w:rsidRPr="000D178D">
        <w:trPr>
          <w:trHeight w:val="293"/>
        </w:trPr>
        <w:tc>
          <w:tcPr>
            <w:tcW w:w="284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jc w:val="center"/>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 кредит «Легкий»</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9</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5</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10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28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7</w:t>
            </w:r>
          </w:p>
        </w:tc>
      </w:tr>
    </w:tbl>
    <w:p w:rsidR="000D178D" w:rsidRPr="000D178D" w:rsidRDefault="000D178D" w:rsidP="00F76758">
      <w:pPr>
        <w:spacing w:before="420" w:after="0" w:line="432" w:lineRule="exact"/>
        <w:ind w:left="20" w:right="-1" w:firstLine="700"/>
        <w:jc w:val="both"/>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8"/>
          <w:szCs w:val="28"/>
          <w:lang w:eastAsia="ru-RU"/>
        </w:rPr>
        <w:t>Далее составляем матрицу соответствия. С этой целью для каждой пары объектов (е^ еj) определяем коэффициенты соответствия су, исходя из предположения, что объект еi предпочтительнее еj.</w:t>
      </w:r>
    </w:p>
    <w:p w:rsidR="000D178D" w:rsidRDefault="000D178D" w:rsidP="00F76758">
      <w:pPr>
        <w:spacing w:after="0" w:line="432" w:lineRule="exact"/>
        <w:ind w:left="20" w:right="-1" w:firstLine="700"/>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Результаты расчётов представлены следу</w:t>
      </w:r>
      <w:r w:rsidR="00F76758">
        <w:rPr>
          <w:rFonts w:ascii="Times New Roman" w:eastAsia="Times New Roman" w:hAnsi="Times New Roman" w:cs="Times New Roman"/>
          <w:sz w:val="28"/>
          <w:szCs w:val="28"/>
          <w:lang w:eastAsia="ru-RU"/>
        </w:rPr>
        <w:t>ющей матрицей С (см. таблицу 3.2.</w:t>
      </w:r>
      <w:r w:rsidRPr="000D178D">
        <w:rPr>
          <w:rFonts w:ascii="Times New Roman" w:eastAsia="Times New Roman" w:hAnsi="Times New Roman" w:cs="Times New Roman"/>
          <w:sz w:val="28"/>
          <w:szCs w:val="28"/>
          <w:lang w:eastAsia="ru-RU"/>
        </w:rPr>
        <w:t>).</w:t>
      </w:r>
    </w:p>
    <w:p w:rsidR="00F76758" w:rsidRPr="000D178D" w:rsidRDefault="00F76758" w:rsidP="00F76758">
      <w:pPr>
        <w:spacing w:after="0" w:line="432" w:lineRule="exact"/>
        <w:ind w:left="20" w:firstLine="7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Таблица 3.2. - </w:t>
      </w:r>
      <w:r w:rsidRPr="00F76758">
        <w:rPr>
          <w:rFonts w:ascii="Times New Roman" w:eastAsia="Times New Roman" w:hAnsi="Times New Roman" w:cs="Times New Roman"/>
          <w:sz w:val="28"/>
          <w:szCs w:val="28"/>
          <w:lang w:eastAsia="ru-RU"/>
        </w:rPr>
        <w:t>Матрица соответствия</w:t>
      </w:r>
    </w:p>
    <w:tbl>
      <w:tblPr>
        <w:tblW w:w="9658" w:type="dxa"/>
        <w:tblInd w:w="5" w:type="dxa"/>
        <w:tblLayout w:type="fixed"/>
        <w:tblCellMar>
          <w:left w:w="0" w:type="dxa"/>
          <w:right w:w="0" w:type="dxa"/>
        </w:tblCellMar>
        <w:tblLook w:val="0000"/>
      </w:tblPr>
      <w:tblGrid>
        <w:gridCol w:w="1848"/>
        <w:gridCol w:w="1301"/>
        <w:gridCol w:w="1296"/>
        <w:gridCol w:w="1301"/>
        <w:gridCol w:w="1301"/>
        <w:gridCol w:w="1301"/>
        <w:gridCol w:w="1310"/>
      </w:tblGrid>
      <w:tr w:rsidR="000D178D" w:rsidRPr="000D178D" w:rsidTr="00F76758">
        <w:trPr>
          <w:trHeight w:val="269"/>
        </w:trPr>
        <w:tc>
          <w:tcPr>
            <w:tcW w:w="1848" w:type="dxa"/>
            <w:vMerge w:val="restart"/>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7810" w:type="dxa"/>
            <w:gridSpan w:val="6"/>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8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Ei</w:t>
            </w:r>
          </w:p>
        </w:tc>
      </w:tr>
      <w:tr w:rsidR="000D178D" w:rsidRPr="000D178D" w:rsidTr="00F76758">
        <w:trPr>
          <w:trHeight w:val="259"/>
        </w:trPr>
        <w:tc>
          <w:tcPr>
            <w:tcW w:w="1848" w:type="dxa"/>
            <w:vMerge/>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800"/>
              <w:rPr>
                <w:rFonts w:ascii="Times New Roman" w:eastAsia="Times New Roman" w:hAnsi="Times New Roman" w:cs="Times New Roman"/>
                <w:sz w:val="24"/>
                <w:szCs w:val="24"/>
                <w:lang w:eastAsia="ru-RU"/>
              </w:rPr>
            </w:pP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е2</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е3</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е4</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е5</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w:t>
            </w:r>
            <w:r w:rsidRPr="00F76758">
              <w:rPr>
                <w:rFonts w:ascii="Times New Roman" w:eastAsia="Times New Roman" w:hAnsi="Times New Roman" w:cs="Times New Roman"/>
                <w:sz w:val="21"/>
                <w:szCs w:val="21"/>
              </w:rPr>
              <w:t>6</w:t>
            </w:r>
          </w:p>
        </w:tc>
      </w:tr>
      <w:tr w:rsidR="000D178D" w:rsidRPr="000D178D" w:rsidTr="00F76758">
        <w:trPr>
          <w:trHeight w:val="264"/>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8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w:t>
            </w:r>
            <w:r w:rsidRPr="00F76758">
              <w:rPr>
                <w:rFonts w:ascii="Times New Roman" w:eastAsia="Times New Roman" w:hAnsi="Times New Roman" w:cs="Times New Roman"/>
                <w:sz w:val="21"/>
                <w:szCs w:val="21"/>
              </w:rPr>
              <w:t>1</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0,3</w:t>
            </w:r>
          </w:p>
        </w:tc>
      </w:tr>
      <w:tr w:rsidR="000D178D" w:rsidRPr="000D178D" w:rsidTr="00F76758">
        <w:trPr>
          <w:trHeight w:val="264"/>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8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w:t>
            </w:r>
            <w:r w:rsidRPr="00F76758">
              <w:rPr>
                <w:rFonts w:ascii="Times New Roman" w:eastAsia="Times New Roman" w:hAnsi="Times New Roman" w:cs="Times New Roman"/>
                <w:sz w:val="21"/>
                <w:szCs w:val="21"/>
              </w:rPr>
              <w:t>2</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0,4</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0,3</w:t>
            </w:r>
          </w:p>
        </w:tc>
      </w:tr>
      <w:tr w:rsidR="000D178D" w:rsidRPr="000D178D" w:rsidTr="00F76758">
        <w:trPr>
          <w:trHeight w:val="264"/>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8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w:t>
            </w:r>
            <w:r w:rsidRPr="00F76758">
              <w:rPr>
                <w:rFonts w:ascii="Times New Roman" w:eastAsia="Times New Roman" w:hAnsi="Times New Roman" w:cs="Times New Roman"/>
                <w:sz w:val="21"/>
                <w:szCs w:val="21"/>
              </w:rPr>
              <w:t>3</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0,4</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0,2</w:t>
            </w:r>
          </w:p>
        </w:tc>
      </w:tr>
      <w:tr w:rsidR="000D178D" w:rsidRPr="000D178D" w:rsidTr="00F76758">
        <w:trPr>
          <w:trHeight w:val="259"/>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8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e4</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0,9</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r>
      <w:tr w:rsidR="000D178D" w:rsidRPr="000D178D" w:rsidTr="00F76758">
        <w:trPr>
          <w:trHeight w:val="264"/>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8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0,3</w:t>
            </w:r>
          </w:p>
        </w:tc>
      </w:tr>
      <w:tr w:rsidR="000D178D" w:rsidRPr="000D178D" w:rsidTr="00F76758">
        <w:trPr>
          <w:trHeight w:val="274"/>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8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e6</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0,9</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4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r>
    </w:tbl>
    <w:p w:rsidR="000D178D" w:rsidRPr="00F76758" w:rsidRDefault="000D178D" w:rsidP="00F76758">
      <w:pPr>
        <w:spacing w:before="420" w:after="0" w:line="437"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Покажем пример расчета показателя</w:t>
      </w:r>
      <w:r w:rsidRPr="00F76758">
        <w:rPr>
          <w:rFonts w:ascii="Times New Roman" w:eastAsia="Times New Roman" w:hAnsi="Times New Roman" w:cs="Times New Roman"/>
          <w:b/>
          <w:bCs/>
          <w:sz w:val="28"/>
          <w:szCs w:val="28"/>
          <w:lang w:eastAsia="ru-RU"/>
        </w:rPr>
        <w:t xml:space="preserve"> С</w:t>
      </w:r>
      <w:r w:rsidRPr="00F76758">
        <w:rPr>
          <w:rFonts w:ascii="Times New Roman" w:eastAsia="Times New Roman" w:hAnsi="Times New Roman" w:cs="Times New Roman"/>
          <w:b/>
          <w:bCs/>
          <w:sz w:val="28"/>
          <w:szCs w:val="28"/>
          <w:vertAlign w:val="subscript"/>
          <w:lang w:eastAsia="ru-RU"/>
        </w:rPr>
        <w:t>12</w:t>
      </w:r>
      <w:r w:rsidRPr="00F76758">
        <w:rPr>
          <w:rFonts w:ascii="Times New Roman" w:eastAsia="Times New Roman" w:hAnsi="Times New Roman" w:cs="Times New Roman"/>
          <w:b/>
          <w:bCs/>
          <w:sz w:val="28"/>
          <w:szCs w:val="28"/>
          <w:lang w:eastAsia="ru-RU"/>
        </w:rPr>
        <w:t>.</w:t>
      </w:r>
      <w:r w:rsidRPr="00F76758">
        <w:rPr>
          <w:rFonts w:ascii="Times New Roman" w:eastAsia="Times New Roman" w:hAnsi="Times New Roman" w:cs="Times New Roman"/>
          <w:sz w:val="28"/>
          <w:szCs w:val="28"/>
          <w:lang w:eastAsia="ru-RU"/>
        </w:rPr>
        <w:t xml:space="preserve"> Выдвигаем гипотезу, что е1 предпочтительнее е2. Это предположение разделяют 5 экспертов. Множество критериев, соответствующих этому предположению,</w:t>
      </w:r>
      <w:r w:rsidRPr="00F76758">
        <w:rPr>
          <w:rFonts w:ascii="Times New Roman" w:eastAsia="Times New Roman" w:hAnsi="Times New Roman" w:cs="Times New Roman"/>
          <w:b/>
          <w:bCs/>
          <w:sz w:val="28"/>
          <w:szCs w:val="28"/>
          <w:lang w:eastAsia="ru-RU"/>
        </w:rPr>
        <w:t xml:space="preserve"> С</w:t>
      </w:r>
      <w:r w:rsidRPr="00F76758">
        <w:rPr>
          <w:rFonts w:ascii="Times New Roman" w:eastAsia="Times New Roman" w:hAnsi="Times New Roman" w:cs="Times New Roman"/>
          <w:b/>
          <w:bCs/>
          <w:sz w:val="28"/>
          <w:szCs w:val="28"/>
          <w:vertAlign w:val="subscript"/>
          <w:lang w:eastAsia="ru-RU"/>
        </w:rPr>
        <w:t>12</w:t>
      </w:r>
      <w:r w:rsidRPr="00F76758">
        <w:rPr>
          <w:rFonts w:ascii="Times New Roman" w:eastAsia="Times New Roman" w:hAnsi="Times New Roman" w:cs="Times New Roman"/>
          <w:sz w:val="28"/>
          <w:szCs w:val="28"/>
          <w:lang w:eastAsia="ru-RU"/>
        </w:rPr>
        <w:t xml:space="preserve"> имеют номера: К = 1, 2, 3, 5, 6. Следовательно,</w:t>
      </w:r>
      <w:r w:rsidRPr="00F76758">
        <w:rPr>
          <w:rFonts w:ascii="Times New Roman" w:eastAsia="Times New Roman" w:hAnsi="Times New Roman" w:cs="Times New Roman"/>
          <w:b/>
          <w:bCs/>
          <w:sz w:val="28"/>
          <w:szCs w:val="28"/>
          <w:lang w:eastAsia="ru-RU"/>
        </w:rPr>
        <w:t xml:space="preserve"> С</w:t>
      </w:r>
      <w:r w:rsidRPr="00F76758">
        <w:rPr>
          <w:rFonts w:ascii="Times New Roman" w:eastAsia="Times New Roman" w:hAnsi="Times New Roman" w:cs="Times New Roman"/>
          <w:b/>
          <w:bCs/>
          <w:sz w:val="28"/>
          <w:szCs w:val="28"/>
          <w:vertAlign w:val="subscript"/>
          <w:lang w:eastAsia="ru-RU"/>
        </w:rPr>
        <w:t>12</w:t>
      </w:r>
      <w:r w:rsidRPr="00F76758">
        <w:rPr>
          <w:rFonts w:ascii="Times New Roman" w:eastAsia="Times New Roman" w:hAnsi="Times New Roman" w:cs="Times New Roman"/>
          <w:b/>
          <w:bCs/>
          <w:sz w:val="28"/>
          <w:szCs w:val="28"/>
          <w:lang w:eastAsia="ru-RU"/>
        </w:rPr>
        <w:t xml:space="preserve"> = 0,5</w:t>
      </w:r>
      <w:r w:rsidRPr="00F76758">
        <w:rPr>
          <w:rFonts w:ascii="Times New Roman" w:eastAsia="Times New Roman" w:hAnsi="Times New Roman" w:cs="Times New Roman"/>
          <w:sz w:val="28"/>
          <w:szCs w:val="28"/>
          <w:lang w:eastAsia="ru-RU"/>
        </w:rPr>
        <w:t xml:space="preserve"> (5/10).</w:t>
      </w:r>
    </w:p>
    <w:p w:rsidR="000D178D" w:rsidRPr="00F76758" w:rsidRDefault="000D178D" w:rsidP="00F76758">
      <w:pPr>
        <w:spacing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Аналогично рассчитываются значения остальных элементов матрицы С. Далее суммируем полученные значения по строкам: 2,7; 2,6; 2,3; 3,6; 2,5; 3,7. И делаем вывод, что в наибольшей степени мнения экспертов совпадают относительно кредита «Легкий» (е6), в наименьшей - относительно образовательного кредита «Стабильное будущее» (е3).</w:t>
      </w:r>
    </w:p>
    <w:p w:rsidR="000D178D" w:rsidRPr="00F76758" w:rsidRDefault="000D178D" w:rsidP="00F76758">
      <w:pPr>
        <w:spacing w:after="0"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 xml:space="preserve">После построения матрицы соответствия С нужно рассчитать значение элементов матрицы несоответствия </w:t>
      </w:r>
      <w:r w:rsidRPr="00F76758">
        <w:rPr>
          <w:rFonts w:ascii="Times New Roman" w:eastAsia="Times New Roman" w:hAnsi="Times New Roman" w:cs="Times New Roman"/>
          <w:sz w:val="28"/>
          <w:szCs w:val="28"/>
          <w:lang w:val="en-US"/>
        </w:rPr>
        <w:t>D</w:t>
      </w:r>
      <w:r w:rsidRPr="00F76758">
        <w:rPr>
          <w:rFonts w:ascii="Times New Roman" w:eastAsia="Times New Roman" w:hAnsi="Times New Roman" w:cs="Times New Roman"/>
          <w:sz w:val="28"/>
          <w:szCs w:val="28"/>
        </w:rPr>
        <w:t>.</w:t>
      </w:r>
    </w:p>
    <w:p w:rsidR="000D178D" w:rsidRPr="00F76758" w:rsidRDefault="000D178D" w:rsidP="00F76758">
      <w:pPr>
        <w:spacing w:after="0"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 xml:space="preserve">Элемент матрицы несоответствия Д учитывает те критерии, по которым существует противоречие вынесенной гипотезе, что объект е1 предпочтительнее объекта е2. Для пары объектов (е^ еj) показатель </w:t>
      </w:r>
      <w:r w:rsidRPr="00F76758">
        <w:rPr>
          <w:rFonts w:ascii="Times New Roman" w:eastAsia="Times New Roman" w:hAnsi="Times New Roman" w:cs="Times New Roman"/>
          <w:sz w:val="28"/>
          <w:szCs w:val="28"/>
          <w:lang w:val="en-US"/>
        </w:rPr>
        <w:t>D</w:t>
      </w:r>
      <w:r w:rsidRPr="00F76758">
        <w:rPr>
          <w:rFonts w:ascii="Times New Roman" w:eastAsia="Times New Roman" w:hAnsi="Times New Roman" w:cs="Times New Roman"/>
          <w:sz w:val="28"/>
          <w:szCs w:val="28"/>
          <w:vertAlign w:val="subscript"/>
        </w:rPr>
        <w:t xml:space="preserve">12 </w:t>
      </w:r>
      <w:r w:rsidRPr="00F76758">
        <w:rPr>
          <w:rFonts w:ascii="Times New Roman" w:eastAsia="Times New Roman" w:hAnsi="Times New Roman" w:cs="Times New Roman"/>
          <w:sz w:val="28"/>
          <w:szCs w:val="28"/>
          <w:lang w:eastAsia="ru-RU"/>
        </w:rPr>
        <w:t>рассчитывается следующим образом:</w:t>
      </w:r>
    </w:p>
    <w:p w:rsidR="000D178D" w:rsidRPr="00F76758" w:rsidRDefault="000D178D" w:rsidP="00F76758">
      <w:pPr>
        <w:numPr>
          <w:ilvl w:val="1"/>
          <w:numId w:val="1"/>
        </w:numPr>
        <w:tabs>
          <w:tab w:val="left" w:pos="1431"/>
        </w:tabs>
        <w:spacing w:after="0"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Выделяем множество экспертов, оценки которых противоречат выдвинутой гипотезе, что объект е1 предпочтительнее объекта е2. К = 4, 7, 8, 9, 10.</w:t>
      </w:r>
    </w:p>
    <w:p w:rsidR="000D178D" w:rsidRPr="00F76758" w:rsidRDefault="000D178D" w:rsidP="00F76758">
      <w:pPr>
        <w:numPr>
          <w:ilvl w:val="1"/>
          <w:numId w:val="1"/>
        </w:numPr>
        <w:tabs>
          <w:tab w:val="left" w:pos="1441"/>
        </w:tabs>
        <w:spacing w:after="0"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Для этих критериев рассчитываем разность оценок объектов е1 и е2 - величину несоответствия: №4: 8-5=3; №7: 8-2=6; №8: 8-4=4; №9: 5-2=3; №10: 7-6=1. Полученные величины упорядочиваем в порядке невозрастания: 6, 4, 3, 3, 1.</w:t>
      </w:r>
    </w:p>
    <w:p w:rsidR="000D178D" w:rsidRPr="00F76758" w:rsidRDefault="000D178D" w:rsidP="00F76758">
      <w:pPr>
        <w:numPr>
          <w:ilvl w:val="1"/>
          <w:numId w:val="1"/>
        </w:numPr>
        <w:tabs>
          <w:tab w:val="left" w:pos="1436"/>
        </w:tabs>
        <w:spacing w:after="0"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 xml:space="preserve">Показатель несоответствия равен 0,6 (6/10). Аналогично рассчитываются значения остальных элементов матрицы </w:t>
      </w:r>
      <w:r w:rsidRPr="00F76758">
        <w:rPr>
          <w:rFonts w:ascii="Times New Roman" w:eastAsia="Times New Roman" w:hAnsi="Times New Roman" w:cs="Times New Roman"/>
          <w:sz w:val="28"/>
          <w:szCs w:val="28"/>
          <w:lang w:val="en-US"/>
        </w:rPr>
        <w:t>D</w:t>
      </w:r>
      <w:r w:rsidRPr="00F76758">
        <w:rPr>
          <w:rFonts w:ascii="Times New Roman" w:eastAsia="Times New Roman" w:hAnsi="Times New Roman" w:cs="Times New Roman"/>
          <w:sz w:val="28"/>
          <w:szCs w:val="28"/>
        </w:rPr>
        <w:t xml:space="preserve">. </w:t>
      </w:r>
      <w:r w:rsidRPr="00F76758">
        <w:rPr>
          <w:rFonts w:ascii="Times New Roman" w:eastAsia="Times New Roman" w:hAnsi="Times New Roman" w:cs="Times New Roman"/>
          <w:sz w:val="28"/>
          <w:szCs w:val="28"/>
          <w:lang w:eastAsia="ru-RU"/>
        </w:rPr>
        <w:t>Результаты заносим в табл. 16.</w:t>
      </w:r>
    </w:p>
    <w:p w:rsidR="000D178D" w:rsidRDefault="000D178D" w:rsidP="00F76758">
      <w:pPr>
        <w:spacing w:after="0" w:line="432" w:lineRule="exact"/>
        <w:ind w:left="20" w:right="-1" w:firstLine="700"/>
        <w:jc w:val="both"/>
        <w:rPr>
          <w:rFonts w:ascii="Times New Roman" w:eastAsia="Times New Roman" w:hAnsi="Times New Roman" w:cs="Times New Roman"/>
          <w:sz w:val="28"/>
          <w:szCs w:val="28"/>
          <w:lang w:eastAsia="ru-RU"/>
        </w:rPr>
      </w:pPr>
      <w:r w:rsidRPr="00F76758">
        <w:rPr>
          <w:rFonts w:ascii="Times New Roman" w:eastAsia="Times New Roman" w:hAnsi="Times New Roman" w:cs="Times New Roman"/>
          <w:sz w:val="28"/>
          <w:szCs w:val="28"/>
          <w:lang w:eastAsia="ru-RU"/>
        </w:rPr>
        <w:t>Суммируем показатели по строкам и получаем следующие оценки: 2,9; 2,4; 2,9; 3,0; 3,2; 2,0. Сопоставляя эти оценки между собой, приходим к выводу, что в наибольшей степени разногласия между экспертами проявились относительно кредита «Лотерейный» (е5), в наименьшей степени - относительно кредитного продукта «Легкий» (е6).</w:t>
      </w:r>
    </w:p>
    <w:p w:rsidR="00F76758" w:rsidRPr="00F76758" w:rsidRDefault="00F76758" w:rsidP="00F76758">
      <w:pPr>
        <w:spacing w:after="0" w:line="432" w:lineRule="exact"/>
        <w:ind w:left="20" w:right="-1"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3.3. - </w:t>
      </w:r>
      <w:r w:rsidRPr="00F76758">
        <w:rPr>
          <w:rFonts w:ascii="Times New Roman" w:eastAsia="Times New Roman" w:hAnsi="Times New Roman" w:cs="Times New Roman"/>
          <w:sz w:val="28"/>
          <w:szCs w:val="28"/>
          <w:lang w:eastAsia="ru-RU"/>
        </w:rPr>
        <w:t>Матрица несоответствия</w:t>
      </w:r>
    </w:p>
    <w:tbl>
      <w:tblPr>
        <w:tblW w:w="9375" w:type="dxa"/>
        <w:tblInd w:w="5" w:type="dxa"/>
        <w:tblLayout w:type="fixed"/>
        <w:tblCellMar>
          <w:left w:w="0" w:type="dxa"/>
          <w:right w:w="0" w:type="dxa"/>
        </w:tblCellMar>
        <w:tblLook w:val="0000"/>
      </w:tblPr>
      <w:tblGrid>
        <w:gridCol w:w="1992"/>
        <w:gridCol w:w="1229"/>
        <w:gridCol w:w="1229"/>
        <w:gridCol w:w="1229"/>
        <w:gridCol w:w="1229"/>
        <w:gridCol w:w="1224"/>
        <w:gridCol w:w="1243"/>
      </w:tblGrid>
      <w:tr w:rsidR="000D178D" w:rsidRPr="000D178D" w:rsidTr="00F76758">
        <w:trPr>
          <w:trHeight w:val="269"/>
        </w:trPr>
        <w:tc>
          <w:tcPr>
            <w:tcW w:w="1992" w:type="dxa"/>
            <w:vMerge w:val="restart"/>
            <w:tcBorders>
              <w:top w:val="single" w:sz="4" w:space="0" w:color="auto"/>
              <w:left w:val="single" w:sz="4" w:space="0" w:color="auto"/>
              <w:bottom w:val="nil"/>
              <w:right w:val="single" w:sz="4" w:space="0" w:color="auto"/>
            </w:tcBorders>
            <w:shd w:val="clear" w:color="auto" w:fill="FFFFFF"/>
          </w:tcPr>
          <w:p w:rsidR="000D178D" w:rsidRPr="000D178D" w:rsidRDefault="000D178D" w:rsidP="000D178D">
            <w:pPr>
              <w:spacing w:after="0" w:line="240" w:lineRule="auto"/>
              <w:rPr>
                <w:rFonts w:ascii="Times New Roman" w:eastAsia="Times New Roman" w:hAnsi="Times New Roman" w:cs="Times New Roman"/>
                <w:sz w:val="10"/>
                <w:szCs w:val="10"/>
                <w:lang w:eastAsia="ru-RU"/>
              </w:rPr>
            </w:pPr>
          </w:p>
        </w:tc>
        <w:tc>
          <w:tcPr>
            <w:tcW w:w="7383" w:type="dxa"/>
            <w:gridSpan w:val="6"/>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6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Ei</w:t>
            </w:r>
          </w:p>
        </w:tc>
      </w:tr>
      <w:tr w:rsidR="000D178D" w:rsidRPr="000D178D" w:rsidTr="00F76758">
        <w:trPr>
          <w:trHeight w:val="259"/>
        </w:trPr>
        <w:tc>
          <w:tcPr>
            <w:tcW w:w="1992" w:type="dxa"/>
            <w:vMerge/>
            <w:tcBorders>
              <w:top w:val="nil"/>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3600"/>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е1</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е2</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е4</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е5</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e6</w:t>
            </w:r>
          </w:p>
        </w:tc>
      </w:tr>
      <w:tr w:rsidR="000D178D" w:rsidRPr="000D178D" w:rsidTr="00F76758">
        <w:trPr>
          <w:trHeight w:val="264"/>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e1</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0,1</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r>
      <w:tr w:rsidR="000D178D" w:rsidRPr="000D178D" w:rsidTr="00F76758">
        <w:trPr>
          <w:trHeight w:val="264"/>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e2</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0,4</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0,4</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r>
      <w:tr w:rsidR="000D178D" w:rsidRPr="000D178D" w:rsidTr="00F76758">
        <w:trPr>
          <w:trHeight w:val="264"/>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r>
      <w:tr w:rsidR="000D178D" w:rsidRPr="000D178D" w:rsidTr="00F76758">
        <w:trPr>
          <w:trHeight w:val="264"/>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e4</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r>
      <w:tr w:rsidR="000D178D" w:rsidRPr="000D178D" w:rsidTr="00F76758">
        <w:trPr>
          <w:trHeight w:val="259"/>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0,7</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0,8</w:t>
            </w:r>
          </w:p>
        </w:tc>
      </w:tr>
      <w:tr w:rsidR="000D178D" w:rsidRPr="000D178D" w:rsidTr="00F76758">
        <w:trPr>
          <w:trHeight w:val="274"/>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9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val="en-US"/>
              </w:rPr>
              <w:t>e6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0,2</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0,1</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0,6</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D178D" w:rsidRPr="000D178D" w:rsidRDefault="000D178D" w:rsidP="000D178D">
            <w:pPr>
              <w:spacing w:after="0" w:line="240" w:lineRule="auto"/>
              <w:ind w:left="500"/>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1"/>
                <w:szCs w:val="21"/>
                <w:lang w:eastAsia="ru-RU"/>
              </w:rPr>
              <w:t>-</w:t>
            </w:r>
          </w:p>
        </w:tc>
      </w:tr>
    </w:tbl>
    <w:p w:rsidR="000D178D" w:rsidRPr="000D178D" w:rsidRDefault="000D178D" w:rsidP="000D178D">
      <w:pPr>
        <w:spacing w:before="420" w:after="0" w:line="422" w:lineRule="exact"/>
        <w:ind w:left="20" w:right="40" w:firstLine="720"/>
        <w:jc w:val="both"/>
        <w:rPr>
          <w:rFonts w:ascii="Times New Roman" w:eastAsia="Times New Roman" w:hAnsi="Times New Roman" w:cs="Times New Roman"/>
          <w:sz w:val="24"/>
          <w:szCs w:val="24"/>
          <w:lang w:eastAsia="ru-RU"/>
        </w:rPr>
      </w:pPr>
      <w:r w:rsidRPr="000D178D">
        <w:rPr>
          <w:rFonts w:ascii="Times New Roman" w:eastAsia="Times New Roman" w:hAnsi="Times New Roman" w:cs="Times New Roman"/>
          <w:sz w:val="28"/>
          <w:szCs w:val="28"/>
          <w:lang w:eastAsia="ru-RU"/>
        </w:rPr>
        <w:t>Таким образом, мы провели оценку согласованности мнений экспертов. Сопоставляя данные таблиц 13-15, делаем следующие выводы:</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наиболее перспективным эксперты назвали кредитный продукт «Легкий» (е6). Относительно эффективности данного кредитного продукта эксперты высказали меньше всего разногласий;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второй по эффективности для банка кредитный продукт -«Одобренный»;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третий в данном перечне продукт - это автокредит Trade-in (е2);</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менее эффективными экспертами признаны кредиты с обратным выкупом автомобиля (е1);</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на предпоследнем месте - образовательный кредит «Стабильное будущее» (е3);</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w:t>
      </w:r>
      <w:r w:rsidRPr="000D178D">
        <w:rPr>
          <w:rFonts w:ascii="Times New Roman" w:eastAsia="Times New Roman" w:hAnsi="Times New Roman" w:cs="Times New Roman"/>
          <w:sz w:val="28"/>
          <w:szCs w:val="28"/>
          <w:lang w:eastAsia="ru-RU"/>
        </w:rPr>
        <w:tab/>
        <w:t>и самое последнее место занимает кредитный продукт «Лотерейный» (е5). Однако, следует отметить, что однозначно говорить о неэффективности кредитного продукта «Лотерейный» нельзя, поскольку именно по данному продукту имеют место наибольшие расхождения во мнениях среди экспертов.</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Исходя из представленного анализа, можно сделать вывод о целесообразности расширения линейки потребительских кредитных продуктов, предлагаемых ПАО «Сбербанк России». При этом в структуре предлагаемых кредитных продуктов наибольший удельный вес должны занимать кредитные продукты «Легкий» и «Одобренный».</w:t>
      </w:r>
    </w:p>
    <w:p w:rsidR="000D178D" w:rsidRPr="000D178D" w:rsidRDefault="000D178D" w:rsidP="000D178D">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Развитие сбыта кредитных услуг населению должно основываться на изучении потребностей населения. Об этих потребностях можно судить по результатам опросов общественного мнения, которые позволяют выявить области наибольшего «потребительского» интереса со стороны населения, сгруппированного по различным признакам.</w:t>
      </w:r>
    </w:p>
    <w:p w:rsidR="00217D5E" w:rsidRPr="00217D5E" w:rsidRDefault="000D178D" w:rsidP="00217D5E">
      <w:pPr>
        <w:spacing w:after="0" w:line="360" w:lineRule="auto"/>
        <w:ind w:firstLine="709"/>
        <w:jc w:val="both"/>
        <w:rPr>
          <w:rFonts w:ascii="Times New Roman" w:eastAsia="Times New Roman" w:hAnsi="Times New Roman" w:cs="Times New Roman"/>
          <w:sz w:val="28"/>
          <w:szCs w:val="28"/>
          <w:lang w:eastAsia="ru-RU"/>
        </w:rPr>
      </w:pPr>
      <w:r w:rsidRPr="000D178D">
        <w:rPr>
          <w:rFonts w:ascii="Times New Roman" w:eastAsia="Times New Roman" w:hAnsi="Times New Roman" w:cs="Times New Roman"/>
          <w:sz w:val="28"/>
          <w:szCs w:val="28"/>
          <w:lang w:eastAsia="ru-RU"/>
        </w:rPr>
        <w:t>Характер потребности в кредите зависит от пола, возраста и уровня дохода физического лица. Например, важные решения о покупке движимого и недвижимого имущества чаще принимают мужчины в возрасте от 21 до 45 лет с высоким уровнем доходов (свыше 80 тыс. руб.). Потребность в кредитных средствах для обустройства дома и хозяйства (ремонт, покупка мебели и бытовой техники) чаще возникает у женщин средних лет (от 31 до 45) с невысоким и средним уровнем дохода (менее 80 тыс. руб.). Поэтому при формировании стандартов коммуникации с клиентами банки должны учитывать принадлежность клиента к той или иной группе. Результаты опроса позволяют также выявить «критические точки» в течение года, когда</w:t>
      </w:r>
      <w:r w:rsidR="00217D5E">
        <w:rPr>
          <w:rFonts w:ascii="Times New Roman" w:eastAsia="Times New Roman" w:hAnsi="Times New Roman" w:cs="Times New Roman"/>
          <w:sz w:val="28"/>
          <w:szCs w:val="28"/>
          <w:lang w:eastAsia="ru-RU"/>
        </w:rPr>
        <w:t xml:space="preserve"> </w:t>
      </w:r>
      <w:r w:rsidR="00217D5E" w:rsidRPr="00217D5E">
        <w:rPr>
          <w:rFonts w:ascii="Times New Roman" w:eastAsia="Times New Roman" w:hAnsi="Times New Roman" w:cs="Times New Roman"/>
          <w:sz w:val="28"/>
          <w:szCs w:val="28"/>
          <w:lang w:eastAsia="ru-RU"/>
        </w:rPr>
        <w:t>у населения возникает наиболее острая необходимость в кредитных средствах для покупки подарков, путевок и проч. В первую очередь - это общенациональные праздники. Следует также учитывать «критические точки» в разрезе групп клиентов, которые выделяются на основе возрастного и социального признаков.</w:t>
      </w:r>
    </w:p>
    <w:p w:rsidR="00217D5E" w:rsidRPr="00217D5E" w:rsidRDefault="00217D5E" w:rsidP="00217D5E">
      <w:pPr>
        <w:spacing w:after="0" w:line="360" w:lineRule="auto"/>
        <w:ind w:firstLine="709"/>
        <w:jc w:val="both"/>
        <w:rPr>
          <w:rFonts w:ascii="Times New Roman" w:eastAsia="Times New Roman" w:hAnsi="Times New Roman" w:cs="Times New Roman"/>
          <w:sz w:val="28"/>
          <w:szCs w:val="28"/>
          <w:lang w:eastAsia="ru-RU"/>
        </w:rPr>
      </w:pPr>
      <w:r w:rsidRPr="00217D5E">
        <w:rPr>
          <w:rFonts w:ascii="Times New Roman" w:eastAsia="Times New Roman" w:hAnsi="Times New Roman" w:cs="Times New Roman"/>
          <w:sz w:val="28"/>
          <w:szCs w:val="28"/>
          <w:lang w:eastAsia="ru-RU"/>
        </w:rPr>
        <w:t>Анализ способов оповещения клиентов о предлагаемых кредитных услугах коммерческими банками и их систематизация по нескольким критериям (объем ресурсо- и трудозатрат, степень обратной связи с клиентом) показали, что наиболее эффективными были рассылки электронных писем и смс-оповещений. В организации сбыта кредитных услуг населению большую роль играет реклама. При этом в последнее время становится все значительнее роль Internet, особенно в части социальных сетей.</w:t>
      </w:r>
    </w:p>
    <w:p w:rsidR="00217D5E" w:rsidRPr="00217D5E" w:rsidRDefault="00217D5E" w:rsidP="00217D5E">
      <w:pPr>
        <w:spacing w:after="0" w:line="360" w:lineRule="auto"/>
        <w:ind w:firstLine="709"/>
        <w:jc w:val="both"/>
        <w:rPr>
          <w:rFonts w:ascii="Times New Roman" w:eastAsia="Times New Roman" w:hAnsi="Times New Roman" w:cs="Times New Roman"/>
          <w:sz w:val="28"/>
          <w:szCs w:val="28"/>
          <w:lang w:eastAsia="ru-RU"/>
        </w:rPr>
      </w:pPr>
      <w:r w:rsidRPr="00217D5E">
        <w:rPr>
          <w:rFonts w:ascii="Times New Roman" w:eastAsia="Times New Roman" w:hAnsi="Times New Roman" w:cs="Times New Roman"/>
          <w:sz w:val="28"/>
          <w:szCs w:val="28"/>
          <w:lang w:eastAsia="ru-RU"/>
        </w:rPr>
        <w:t>Потребительское кредитование - достаточно рисковая операция, и увеличение доли таких кредитов в портфеле увеличивает кредитный риск банка. Поэтому одна из основных мер по предотвращению возможных потерь - правильная оценка способности заемщика выполнять свои обязательства. Выбор критериев для нее был актуален во все периоды развития банковского дела и уже вошел в экономическую литературу в качестве одной из основных задач при определении кредитоспособности заемщика. Не менее важной является проблема правильной организации процедуры оценки кредитоспособности как наиболее важной в кредитном процессе.</w:t>
      </w:r>
    </w:p>
    <w:p w:rsidR="00217D5E" w:rsidRPr="00217D5E" w:rsidRDefault="00217D5E" w:rsidP="00217D5E">
      <w:pPr>
        <w:spacing w:after="0" w:line="360" w:lineRule="auto"/>
        <w:ind w:firstLine="709"/>
        <w:jc w:val="both"/>
        <w:rPr>
          <w:rFonts w:ascii="Times New Roman" w:eastAsia="Times New Roman" w:hAnsi="Times New Roman" w:cs="Times New Roman"/>
          <w:sz w:val="28"/>
          <w:szCs w:val="28"/>
          <w:lang w:eastAsia="ru-RU"/>
        </w:rPr>
      </w:pPr>
      <w:r w:rsidRPr="00217D5E">
        <w:rPr>
          <w:rFonts w:ascii="Times New Roman" w:eastAsia="Times New Roman" w:hAnsi="Times New Roman" w:cs="Times New Roman"/>
          <w:sz w:val="28"/>
          <w:szCs w:val="28"/>
          <w:lang w:eastAsia="ru-RU"/>
        </w:rPr>
        <w:t>Кредитоспособность клиента в мировой банковской практике фигурирует как один из основных объектов оценки при определении целесообразности и форм кредитных отношений. В сфере потребительского кредитования способность к возврату долга связывается с моральными качествами клиента, его искусством и родом занятий, степенью вложения капитала в недвижимое имущество, возможностью заработать средства для погашения ссуды и других обязательств.</w:t>
      </w:r>
    </w:p>
    <w:p w:rsidR="00FC52F1" w:rsidRDefault="00FC52F1" w:rsidP="00217D5E">
      <w:pPr>
        <w:spacing w:after="0" w:line="360" w:lineRule="auto"/>
        <w:ind w:firstLine="709"/>
        <w:jc w:val="both"/>
        <w:rPr>
          <w:rFonts w:ascii="Times New Roman" w:eastAsia="Times New Roman" w:hAnsi="Times New Roman" w:cs="Times New Roman"/>
          <w:sz w:val="28"/>
          <w:szCs w:val="28"/>
          <w:lang w:eastAsia="ru-RU"/>
        </w:rPr>
      </w:pPr>
    </w:p>
    <w:p w:rsidR="00FC52F1" w:rsidRPr="000D178D" w:rsidRDefault="00FC52F1" w:rsidP="00217D5E">
      <w:pPr>
        <w:spacing w:after="0" w:line="360" w:lineRule="auto"/>
        <w:ind w:firstLine="709"/>
        <w:jc w:val="both"/>
        <w:rPr>
          <w:rFonts w:ascii="Times New Roman" w:eastAsia="Times New Roman" w:hAnsi="Times New Roman" w:cs="Times New Roman"/>
          <w:sz w:val="28"/>
          <w:szCs w:val="28"/>
          <w:lang w:eastAsia="ru-RU"/>
        </w:rPr>
      </w:pPr>
    </w:p>
    <w:p w:rsidR="00765390" w:rsidRPr="00FC52F1" w:rsidRDefault="00765390" w:rsidP="00FC52F1">
      <w:pPr>
        <w:spacing w:line="360" w:lineRule="auto"/>
        <w:ind w:firstLine="709"/>
        <w:jc w:val="both"/>
        <w:rPr>
          <w:rFonts w:ascii="Times New Roman" w:hAnsi="Times New Roman" w:cs="Times New Roman"/>
          <w:b/>
          <w:sz w:val="28"/>
          <w:szCs w:val="28"/>
        </w:rPr>
      </w:pPr>
      <w:r w:rsidRPr="00FC52F1">
        <w:rPr>
          <w:rFonts w:ascii="Times New Roman" w:hAnsi="Times New Roman" w:cs="Times New Roman"/>
          <w:b/>
          <w:sz w:val="28"/>
          <w:szCs w:val="28"/>
        </w:rPr>
        <w:t xml:space="preserve">3.2. Предложения по совершенствованию показателей бухгалтерского баланса банка </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Финансовые потоки, составляя наиболее ликвидную часть оборотного капитала и выполняя жизнеобеспечивающую функцию, разветвляются в сторону выполнения внутренних и внешних обязательств предприятия. В финансовых потоках отражается интенсивность движения оборотного капитала, которая генерируется повышением производительной силы труда. При ускорении оборачиваемости, при каждом дополнительном кругообороте оборотных средств за счет повышения производительной силы предприятие получает дополнительный доход в виде прибыли с начислением амортизации основных средств. При этом экономическая суть амортизационных отчислений сводится не столько к возмещению износа, сколько к возврату капитальных вложений от эксплуатации основных фондов предприятия.</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Эффективность движения капитала в производственной системе исследуется фундаментально разработанными методами финансового анализа. Структурные характеристики капитала в бухгалтерском балансе дают представление о результативности повышения производительной силы труда за данный период, где прибыль и заемный капитал выступают как главные факторы структурных изменений. Исследование динамики использования капитала решает многочисленные задачи, в том числе связанные с выяснением условий равновесного имущественного состоя-</w:t>
      </w:r>
      <w:r w:rsidRPr="00EE3595">
        <w:t xml:space="preserve"> </w:t>
      </w:r>
      <w:r w:rsidRPr="00EE3595">
        <w:rPr>
          <w:rFonts w:ascii="Times New Roman" w:eastAsia="Times New Roman" w:hAnsi="Times New Roman" w:cs="Times New Roman"/>
          <w:sz w:val="28"/>
          <w:szCs w:val="28"/>
          <w:lang w:eastAsia="ru-RU"/>
        </w:rPr>
        <w:t>ния предприятия, условий его финансовой устойчивости. Основная информация для исследований принимается из стандартного бухгалтерского баланса с использованием инструментария балансо-ведения и составлением как первичных, так и вторичных бухгалтерских балансов. Первые - статистические балансовые отчеты - составляются в соответствии с действующим законодательством и разработанными на этой основе стандартами и инструктивно-методическими указаниями. Вторые -производные балансы с определенным целевым назначением - составляются с некоторыми видоизменениями, упрощениями и допущениями путем трансформации первичных статистических балансовых отчетов. Такого рода балансы в финансовом анализе могут применяться для оценки экономического потенциала предприятия, для выяснения адаптивных качеств бизнеса при использовании производительной силы труда персонала. Структура капитала в этих балансах характеризует как рыночные, так и производственные возможности предпринимательства - деловой потенциал.</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В дополнение к экономической диагностике как распознаванию жизнеспособности предприятия с позиций повышения производительной силы труда можно отнести самостоятельную область знаний:</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w:t>
      </w:r>
      <w:r w:rsidRPr="00EE3595">
        <w:rPr>
          <w:rFonts w:ascii="Times New Roman" w:eastAsia="Times New Roman" w:hAnsi="Times New Roman" w:cs="Times New Roman"/>
          <w:sz w:val="28"/>
          <w:szCs w:val="28"/>
          <w:lang w:eastAsia="ru-RU"/>
        </w:rPr>
        <w:tab/>
        <w:t>изучающую природу капитала предприятия;</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w:t>
      </w:r>
      <w:r w:rsidRPr="00EE3595">
        <w:rPr>
          <w:rFonts w:ascii="Times New Roman" w:eastAsia="Times New Roman" w:hAnsi="Times New Roman" w:cs="Times New Roman"/>
          <w:sz w:val="28"/>
          <w:szCs w:val="28"/>
          <w:lang w:eastAsia="ru-RU"/>
        </w:rPr>
        <w:tab/>
        <w:t>исследующую капитал при взаимоотношениях предпринимателя как с рынком, так и с трудовым коллективом, включая как благоприятные, так и неблагоприятные моменты, с которыми предприниматель входит непосредственно в контакт;</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w:t>
      </w:r>
      <w:r w:rsidRPr="00EE3595">
        <w:rPr>
          <w:rFonts w:ascii="Times New Roman" w:eastAsia="Times New Roman" w:hAnsi="Times New Roman" w:cs="Times New Roman"/>
          <w:sz w:val="28"/>
          <w:szCs w:val="28"/>
          <w:lang w:eastAsia="ru-RU"/>
        </w:rPr>
        <w:tab/>
        <w:t>распознающую роль и преимущества капитала данного предприятия в сложных конкурентных взаимоотношениях, определяющих условия борьбы за выживание.</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 xml:space="preserve">При этом некоторые методы балансоведения </w:t>
      </w:r>
      <w:r w:rsidR="006E3413">
        <w:rPr>
          <w:rFonts w:ascii="Times New Roman" w:eastAsia="Times New Roman" w:hAnsi="Times New Roman" w:cs="Times New Roman"/>
          <w:sz w:val="28"/>
          <w:szCs w:val="28"/>
          <w:lang w:eastAsia="ru-RU"/>
        </w:rPr>
        <w:t>рассматриваются</w:t>
      </w:r>
      <w:r w:rsidRPr="00EE3595">
        <w:rPr>
          <w:rFonts w:ascii="Times New Roman" w:eastAsia="Times New Roman" w:hAnsi="Times New Roman" w:cs="Times New Roman"/>
          <w:sz w:val="28"/>
          <w:szCs w:val="28"/>
          <w:lang w:eastAsia="ru-RU"/>
        </w:rPr>
        <w:t xml:space="preserve"> как один из инструмен</w:t>
      </w:r>
      <w:r w:rsidR="00F76758">
        <w:rPr>
          <w:rFonts w:ascii="Times New Roman" w:eastAsia="Times New Roman" w:hAnsi="Times New Roman" w:cs="Times New Roman"/>
          <w:sz w:val="28"/>
          <w:szCs w:val="28"/>
          <w:lang w:eastAsia="ru-RU"/>
        </w:rPr>
        <w:t>та</w:t>
      </w:r>
      <w:r w:rsidRPr="00EE3595">
        <w:rPr>
          <w:rFonts w:ascii="Times New Roman" w:eastAsia="Times New Roman" w:hAnsi="Times New Roman" w:cs="Times New Roman"/>
          <w:sz w:val="28"/>
          <w:szCs w:val="28"/>
          <w:lang w:eastAsia="ru-RU"/>
        </w:rPr>
        <w:t>риев экономической диагностики.</w:t>
      </w:r>
    </w:p>
    <w:p w:rsidR="006E3413"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 xml:space="preserve">Не акцентируя внимание на данной области знаний, авторы курса «балансоведение» и другие исследователи капитала, подчеркивая значимость учета потенциальных возможностей предпринимательской деятельности, принимают их в основу при выяснении сущности потенциала предприятия. Но, формируя методологию оценки потенциала предприятия, следует отметить, что в бухгалтерском балансе отражается отчетная информация, которая не раскрывает реально существующих скрытых потенциальных возможностей предпринимательской деятельности. </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Так, «скромные возможности» бухгалтерского баланса в отражении динамических явлений экономики, принимаемых для финансового анализа, отмечают многие исследователи, в том числе и профессор А. П. Латкин: «Подобный подход, по нашему мнению, представляется несколько упрощенным, а данные, полученные на его основе, не вполне корректными, поскольку информация бухгалтерского баланса дает весьма приблизительную характеристику финансового состояния предприятия. Это связано с тем, что бухгалтерская отчетность, в том числе баланс, составляется с определенной периодичностью и является «фотографией» состояния на определенную дату. Следовательно, рассчитанные на его основе показатели также приблизительно характеризуют финансовое состояние предприятия» [1, 76].</w:t>
      </w:r>
    </w:p>
    <w:p w:rsidR="006E3413"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 xml:space="preserve">Недостаток данных в бухгалтерском балансе для выяснения потенциала предприятия подтверждает и приводимая авторами балансоведения цитата профессора Питера Друкера «потенциал бизнеса всегда выше реализованной действительности», которая свидетельствует о фиксировании уже случившихся структурных изменениях капитала и оставшихся непознанными скрытых от учета потенциальных возможностях предпринимателя. Дело в том, что динамика финансовых процессов и факторы, способствующие процветанию бизнеса, в отчетной информации конкретно не раскрываются [2, 258]. </w:t>
      </w:r>
    </w:p>
    <w:p w:rsidR="00765390"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В нашем представлении непредсказуемость бизнеса заключается в том, что при любом росте объемов работ, их рентабельности можно дополнительно выявить непредвиденные возможности повышения эффективности использования ресурсов предприятия. Отсюда и реализованная действительность, представляя только часть использованных производственных возможностей, не может на 100 % раскрыть производственный потенциал предприятия. Это как раз и подтверждает профессор П. Друкер в приведенной выше цитате. Развитие предприятия можно связать с постоянно определяемой вероятностной оценкой его производственных возможностей и их интенсивным использованием.</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Основываясь на приведенных высказываниях в составе основополагающих принципов диагностического подхода к распознаванию потенциала бизнеса на организационно-прикладном уровне, можно представить принцип превышения потенциальных возможностей (потенциала) над реальной действительностью (достигнутым объемом производства).</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Отсюда можно сделать вывод, к которому приходят многие исследователи, что потенциал любого предприятия равен сумме достигнутого объема продукции (работ, услуг) плюс неиспользованные возможности роста объемов производства.</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Капитал в бухгалтерском балансе можно рассматривать как количественную характеристику ресурса, потенциально используемого для производственных целей. Ресурсная характеристика капитала присутствует при трактовке активов бухгалтерского баланса во многих зарубежных странах (США, Франции, Голландии и др.).</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Ресурсное представление капитала непосредственно связано с характеристикой имущественного положения предприятия. Так, В. В. Ковалев финансовую оценку имущественного (в нашем понимании - ресурсного) потенциала предприятия представляет активом баланса предприятия, а также данными в приложениях к основной отчетности. В курсе балансоведения стоимость предприятия обосновывается определением его «общего потенциала». При этом потенциал организации представляет ее реальную или вероятную способность выполнить целенаправленную работу [3].</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Авторский коллектив во главе с доктором экономических наук, профессором Н. А. Бреславцевой, а также авторы других изданий наделяют капитал таким, в какой-то степени органическим свойством, как способность [3]. Но следует отметить, что данное качество, на наш взгляд, может применяться для характеристики трудового коллектива, в использовании которого находится производственный капитал, который и характеризует производительную силу труда. Все структурные изменения производственного капитала в результате его движения в основном зависят от усилий трудового коллектива, от его способности интенсивно использовать потенциал производственной деятельности. Можно согласиться с тем, что активы и источники образования активов характеризуют, в частности в балансоведении, ресурсный потенциал. Но производственные возможности его использования целиком зависят от активности трудового коллектива, от эффективности использования ресурсов во времени. Только такая способность труда может принести в бизнесе доход при осуществлении производственно-финансовой деятельности. В балансоведении, игнорируя эту активность персонала, представляют данную категорию «действующим потенциалом». Определенные финансовые результаты при этом принимаются во внимание для оценки «общего потенциала предприятия», представляющего его стоимость. Потенциал с позиций его энергетической сущности, т.е. запасенной потенциальной энергии, можно рассматривать, с одной стороны, как ресурс, а с другой, принимая во внимание активность использования этого ресурса -</w:t>
      </w:r>
      <w:r w:rsidR="006E3413">
        <w:rPr>
          <w:rFonts w:ascii="Times New Roman" w:eastAsia="Times New Roman" w:hAnsi="Times New Roman" w:cs="Times New Roman"/>
          <w:sz w:val="28"/>
          <w:szCs w:val="28"/>
          <w:lang w:eastAsia="ru-RU"/>
        </w:rPr>
        <w:t xml:space="preserve"> </w:t>
      </w:r>
      <w:r w:rsidRPr="00EE3595">
        <w:rPr>
          <w:rFonts w:ascii="Times New Roman" w:eastAsia="Times New Roman" w:hAnsi="Times New Roman" w:cs="Times New Roman"/>
          <w:sz w:val="28"/>
          <w:szCs w:val="28"/>
          <w:lang w:eastAsia="ru-RU"/>
        </w:rPr>
        <w:t>как потенциальную силу воздействия этого ресурса в производстве продукции.</w:t>
      </w:r>
    </w:p>
    <w:p w:rsid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Принимая во внимание математическую модель производительной силы капитала F = m х a, ее ресурсная составляющая может быть представлена как m - масса капитала, а воздействие или активность ресурса - это a - ускорение наращения капитала. Ресурсный потенциал как m - масса капитала с позиций его использования в бухгалтерском балансе представляется активами. Активы, находящиеся в собственности предприятия (включая имущественные права), можно назвать ядром такого ресурсного потенциала. Собственные активы, характеризуя финансовую обеспеченность кредита, обусловливают возможности, связанные с источниками образования других активов, за счет которых можно увеличить капитал предприятия. В основном такие перспективные устремления связываются с наращением объема производства, реинвестированием прибыли и другими источниками наращения капитала. В данной интерпретации потенциал, как и структура капитала, характеризуется в статике. Для стоимостной характеристики ресурсного потенциала используются «Стандарты оценки, обязательные к применению субъектами оценочной деятельности» (утверждены Постановлением Правительства Российской Федерации от 6 июля 2001 г. № 519). Для выявления его возможной активности анализируется и изучается будущее изменение структуры капитала, обусловленное потенциалом деловой активности персонала. При этом количественная оценка активности производится на базе статических бухгалтерских балансов.</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С позиций инвестиционного анализа активность использования капитала определяется внутренней нормой доходности и определением чистого дисконтированного дохода. Так, при возникновении предприятия в основе формирования его собственного капитала лежит уставный капитал (УК). Его величина, как правило, обосновывается инвестиционным проектом с возникающими денежными потоками от использования производственного капитала. Согласно действующим методическим разработкам по оценке эффективности инвестиционных проектов, принимается во внимание система показателей, характеризующих движение капитала. При выявлении «общего потенциала предприятия» следовало бы также учитывать эти показатели, в том числе временную стоимость денежного потока с дисконтированием будущих доходов и в сопоставлении с используемыми разновременными капитальными вложениями. В этом случае УК может приниматься за отправную базу отсчета прироста ресурсной части потенциала предприятия.</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Ссылаясь на разработки В. В. Ковалева и других экономистов, можно считать, что важнейшим показателем, характеризующим ресурсный потенциал предприятия, является показатель чистых активов или показатель собственного капитала (СЧА - стоимость имущества и имущественные права). Этот показатель учитывает прирост собственности в стоимостном выражении, когда стоимость чистых пассивов превышает УК (СЧП &gt; УК), либо величину потерь собственников в результате неэффективного использования собственности (СЧП &lt; УК). Показатель чистых активов, учитывая наращение капитала, служит одним из основных показателей благополучия предприятия. Для коммерческих организаций размер чистых активов свидетельствует об их экономическом состоянии. Как известно, в соответствии с действующим в России законодательством величина чистых активов подсчитывается вычитанием из общей суммы активов суммы ее обязательств, принимаемых к расчету.</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Используемое в экономическом анализе понятие «имущественного потенциала» предприятия численно определяется чистыми активами, которые характеризуют его имущественное положение - реальное богатство. При таком подходе учитывается и то, что какая-то часть имущества предприятия может быть отдана под залог. Прирост «имущественного потенциала» при стоимостной оценке имущества предприятия обусловливается приращением капитала за счет реинвестирования прибыли, а также дополнительными вкладами собственников фирмы, привлечением новых собственников, временным привлечением средств, безвозмездными поступлениями, целевыми поступлениями, переоценкой основных фондов.</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При диагностике (распознавании) изменений структуры капитала по данным баланса, как и в экономическом анализе, необходимо соблюдать сопоставимость сравниваемых величин во времени. Сопоставимость обеспечивается переоценкой основных фондов по их восстановительной стоимости. При переоценке исторические цены «сглаживаются» и более объективно отражают количественную величину внеооборотных активов в их вещественном виде.</w:t>
      </w:r>
    </w:p>
    <w:p w:rsidR="00EE3595" w:rsidRP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Проблеме определения собственности как финансового ресурса производственной деятельности посвящены многочисленные работы отечественных и зарубежных ученых. Как правило, в основу оценки и анализа собственности, а также процессов, связанных с управлением ею на действующем предприятии, принимается концепция создания (сохранения) стоимости (ценности) предприятия. Профессор Роберт Холт (Вирджинский Университет - США) отмечает два основополагающих принципа этой концепции: «повышение ценности фирмы» и «важность комплексного анализа при принятии финансовых решений» [3, 299]. Поскольку собственность может быть количественно оценена и представлена с помощью стоимостных показателей, то используют три основных концептуальных подхода к оценке стоимости предприятия: имущественный или затратный, рыночный или сравнительный и доходный.</w:t>
      </w:r>
    </w:p>
    <w:p w:rsidR="00EE3595" w:rsidRDefault="00EE3595" w:rsidP="00EE3595">
      <w:pPr>
        <w:spacing w:after="0" w:line="360" w:lineRule="auto"/>
        <w:ind w:firstLine="709"/>
        <w:jc w:val="both"/>
        <w:rPr>
          <w:rFonts w:ascii="Times New Roman" w:eastAsia="Times New Roman" w:hAnsi="Times New Roman" w:cs="Times New Roman"/>
          <w:sz w:val="28"/>
          <w:szCs w:val="28"/>
          <w:lang w:eastAsia="ru-RU"/>
        </w:rPr>
      </w:pPr>
      <w:r w:rsidRPr="00EE3595">
        <w:rPr>
          <w:rFonts w:ascii="Times New Roman" w:eastAsia="Times New Roman" w:hAnsi="Times New Roman" w:cs="Times New Roman"/>
          <w:sz w:val="28"/>
          <w:szCs w:val="28"/>
          <w:lang w:eastAsia="ru-RU"/>
        </w:rPr>
        <w:t>Считается, что оценка стоимости предприятия по балансовой структуре капитала - это первый обобщающий уровень стоимостной оценки его ресурсного потенциала. Чистая балансовая стоимость (ЧБС) предприятия характеризуется так же, как «чистая стоимость имущества», «собственный капитал», «стоимость чистых активов», «стоимость чистых пассивов». Для характеристики экономического потенциала предприятия некоторые авторы выделяют также показатель «действительной стоимости», под которым понимают только стоимость имущественного комплекса, генерирующего результаты хозяйственной деятельности.</w:t>
      </w:r>
    </w:p>
    <w:p w:rsidR="007B3CF9" w:rsidRPr="007B3CF9" w:rsidRDefault="007B3CF9" w:rsidP="007B3CF9">
      <w:pPr>
        <w:spacing w:after="0" w:line="360" w:lineRule="auto"/>
        <w:ind w:firstLine="709"/>
        <w:jc w:val="both"/>
        <w:rPr>
          <w:rFonts w:ascii="Times New Roman" w:eastAsia="Times New Roman" w:hAnsi="Times New Roman" w:cs="Times New Roman"/>
          <w:sz w:val="28"/>
          <w:szCs w:val="28"/>
          <w:lang w:eastAsia="ru-RU"/>
        </w:rPr>
      </w:pPr>
      <w:r w:rsidRPr="007B3CF9">
        <w:rPr>
          <w:rFonts w:ascii="Times New Roman" w:eastAsia="Times New Roman" w:hAnsi="Times New Roman" w:cs="Times New Roman"/>
          <w:sz w:val="28"/>
          <w:szCs w:val="28"/>
          <w:lang w:eastAsia="ru-RU"/>
        </w:rPr>
        <w:t>Профессор А. П. Латкин, проведя анализ значительного количества опубликованных методик анализа имущества предприятия и выделив в их среде методику А. Д. Шеремета, Р. С. Сейфу-лина и Е. В. Негашева, пишет: «Однако, несмотря на ряд преимуществ, она также не учитывает всех особенностей экономического анализа в условиях развития рыночных отношений в нашей стране». Наиболее приемлемой профессор А. П. Латкин считает методику анализа финансового состояния О. В. Ефимовой, которая значительно расширяет рамки информационной базы, что, на его взгляд, «позволяет углубить и качественно улучшить сам финансовый анализ. Согласно этой методике, включающей в себя пять этапов, анализ баланса и рассчитанных на его основе коэффициентов, следует рассматривать в качестве предварительного этапа ознакомления с финансовым положением предприятия. В дальнейшем при анализе должны широко привлекаться данные аналитического и внутрипроизводственного учета» [1, 76-784].</w:t>
      </w:r>
    </w:p>
    <w:p w:rsidR="007B3CF9" w:rsidRPr="007B3CF9" w:rsidRDefault="007B3CF9" w:rsidP="007B3CF9">
      <w:pPr>
        <w:spacing w:after="0" w:line="360" w:lineRule="auto"/>
        <w:ind w:firstLine="709"/>
        <w:jc w:val="both"/>
        <w:rPr>
          <w:rFonts w:ascii="Times New Roman" w:eastAsia="Times New Roman" w:hAnsi="Times New Roman" w:cs="Times New Roman"/>
          <w:sz w:val="28"/>
          <w:szCs w:val="28"/>
          <w:lang w:eastAsia="ru-RU"/>
        </w:rPr>
      </w:pPr>
      <w:r w:rsidRPr="007B3CF9">
        <w:rPr>
          <w:rFonts w:ascii="Times New Roman" w:eastAsia="Times New Roman" w:hAnsi="Times New Roman" w:cs="Times New Roman"/>
          <w:sz w:val="28"/>
          <w:szCs w:val="28"/>
          <w:lang w:eastAsia="ru-RU"/>
        </w:rPr>
        <w:t>При рыночном и доходном методе оценки предприятия используют стоимость чистых пассивов предприятия, т.е. величину активов, остающуюся в распоряжении предприятия после вычета всех обязательств. Используя рыночный подход к характеристике производственного потенциала предприятия, можно обратиться к уже имеющимся разработкам и положениям теории балансоведения. Так, профессор, доктор экономических наук И. Н. Богатая, формирующая положения эволюционно-адаптивного учета, считает, что при оценке потенциала предприятия следует рассматривать перспективы его развития на основе данных стратегического учета. Эволюционно-адаптивный учет предполагает составление производных балансовых отчетов для целей принятия управленческих решений, направленных на развитие предприятия. В качестве инструментария для оценки возможностей развития предприятия предлагается использовать метод стратегических балансов. При этом, исходя из влияния внешних и внутренних факторов, составляют внешние и внутренние балансы. Цель внешних - выявление и измерение шансов и рисков предприятия на рынке (во внешней среде). Цель внутренних - выявление узких мест на предприятии путем определения сильных и слабых сторон направлений его деятельности. Данный подход можно рассматривать, на наш взгляд, как одно из направлений диагностики равновесного состояния предприятия. Однако баланс дает представление лишь о структурной характеристике капитала на определенный момент времени, не раскрывая потенциальных возможностей персонала предприятия. В какой-то степени характеристики активности персонала и потенциальные возможности капитала предприятия можно представить при составлении стратегических балансов. Для их составления, как утверждает И. Н. Богатая, чаще всего используются методики, основанные на балльной или процентной оценке сопоставления сфер деятельности предприятия. При этом устанавливаются различные внутренние нормативы или ограничения, определяющие момент наступления критического значения узкого места. Балансы могут строиться как в форме классической схемы баланса, так и в виде диаграммы в полярных координатах. При анализе балансов может производиться сопоставление стратегических балансов собственного предприятия и конкурентов.</w:t>
      </w:r>
    </w:p>
    <w:p w:rsidR="007B3CF9" w:rsidRPr="007B3CF9" w:rsidRDefault="007B3CF9" w:rsidP="007B3CF9">
      <w:pPr>
        <w:spacing w:after="0" w:line="360" w:lineRule="auto"/>
        <w:ind w:firstLine="709"/>
        <w:jc w:val="both"/>
        <w:rPr>
          <w:rFonts w:ascii="Times New Roman" w:eastAsia="Times New Roman" w:hAnsi="Times New Roman" w:cs="Times New Roman"/>
          <w:sz w:val="28"/>
          <w:szCs w:val="28"/>
          <w:lang w:eastAsia="ru-RU"/>
        </w:rPr>
      </w:pPr>
      <w:r w:rsidRPr="007B3CF9">
        <w:rPr>
          <w:rFonts w:ascii="Times New Roman" w:eastAsia="Times New Roman" w:hAnsi="Times New Roman" w:cs="Times New Roman"/>
          <w:sz w:val="28"/>
          <w:szCs w:val="28"/>
          <w:lang w:eastAsia="ru-RU"/>
        </w:rPr>
        <w:t>Представляется важным выяснить, в какой степени методика построения балансов, используемая при финансовых прогнозах, способствует выяснению действительной величины потенциала предприятия. Дело в том, что в условиях рыночной экономики система балансовых отчетов считается основой финансового прогноза, анализа и управления. Но при этом особое значение приобретают производные балансы, которые считают неотъемлемой частью стратегического учета собственности.</w:t>
      </w:r>
    </w:p>
    <w:p w:rsidR="007B3CF9" w:rsidRPr="00EE3595" w:rsidRDefault="007B3CF9" w:rsidP="007B3CF9">
      <w:pPr>
        <w:spacing w:after="0" w:line="360" w:lineRule="auto"/>
        <w:ind w:firstLine="709"/>
        <w:jc w:val="both"/>
        <w:rPr>
          <w:rFonts w:ascii="Times New Roman" w:eastAsia="Times New Roman" w:hAnsi="Times New Roman" w:cs="Times New Roman"/>
          <w:sz w:val="28"/>
          <w:szCs w:val="28"/>
          <w:lang w:eastAsia="ru-RU"/>
        </w:rPr>
      </w:pPr>
      <w:r w:rsidRPr="007B3CF9">
        <w:rPr>
          <w:rFonts w:ascii="Times New Roman" w:eastAsia="Times New Roman" w:hAnsi="Times New Roman" w:cs="Times New Roman"/>
          <w:sz w:val="28"/>
          <w:szCs w:val="28"/>
          <w:lang w:eastAsia="ru-RU"/>
        </w:rPr>
        <w:t>Не подлежит сомнению, что бухгалтерская информация является важнейшим и основным источником для составления производных балансов и формирования модели оценки стоимости предприятия, а отсюда и его ресурсного потенциала. Но качество этой информации, используемой для этих целей, подлежит тщательной проверке.</w:t>
      </w: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6E3413" w:rsidRDefault="006E3413"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Default="00780AC5" w:rsidP="00A036CD">
      <w:pPr>
        <w:spacing w:before="180" w:after="180" w:line="240" w:lineRule="auto"/>
        <w:ind w:left="3760"/>
        <w:rPr>
          <w:rFonts w:ascii="Times New Roman" w:eastAsia="Times New Roman" w:hAnsi="Times New Roman" w:cs="Times New Roman"/>
          <w:sz w:val="31"/>
          <w:szCs w:val="31"/>
          <w:lang w:eastAsia="ru-RU"/>
        </w:rPr>
      </w:pPr>
    </w:p>
    <w:p w:rsidR="00780AC5" w:rsidRPr="00275550" w:rsidRDefault="00275550" w:rsidP="00275550">
      <w:pPr>
        <w:spacing w:before="180" w:after="180" w:line="240" w:lineRule="auto"/>
        <w:ind w:firstLine="709"/>
        <w:jc w:val="both"/>
        <w:rPr>
          <w:rFonts w:ascii="Times New Roman" w:eastAsia="Times New Roman" w:hAnsi="Times New Roman" w:cs="Times New Roman"/>
          <w:b/>
          <w:sz w:val="31"/>
          <w:szCs w:val="31"/>
          <w:lang w:eastAsia="ru-RU"/>
        </w:rPr>
      </w:pPr>
      <w:r w:rsidRPr="00275550">
        <w:rPr>
          <w:rFonts w:ascii="Times New Roman" w:eastAsia="Times New Roman" w:hAnsi="Times New Roman" w:cs="Times New Roman"/>
          <w:b/>
          <w:sz w:val="31"/>
          <w:szCs w:val="31"/>
          <w:lang w:eastAsia="ru-RU"/>
        </w:rPr>
        <w:t>Заключение</w:t>
      </w:r>
    </w:p>
    <w:p w:rsidR="00275550" w:rsidRDefault="00275550" w:rsidP="00AE4CC2">
      <w:pPr>
        <w:spacing w:before="180" w:after="180" w:line="240" w:lineRule="auto"/>
        <w:ind w:firstLine="709"/>
        <w:jc w:val="both"/>
        <w:rPr>
          <w:rFonts w:ascii="Times New Roman" w:eastAsia="Times New Roman" w:hAnsi="Times New Roman" w:cs="Times New Roman"/>
          <w:sz w:val="31"/>
          <w:szCs w:val="31"/>
          <w:lang w:eastAsia="ru-RU"/>
        </w:rPr>
      </w:pPr>
    </w:p>
    <w:p w:rsidR="00260C8E" w:rsidRDefault="00260C8E" w:rsidP="00260C8E">
      <w:pPr>
        <w:spacing w:after="0" w:line="360" w:lineRule="auto"/>
        <w:ind w:firstLine="709"/>
        <w:jc w:val="both"/>
        <w:rPr>
          <w:rFonts w:ascii="Times New Roman" w:eastAsia="Times New Roman" w:hAnsi="Times New Roman" w:cs="Times New Roman"/>
          <w:sz w:val="28"/>
          <w:szCs w:val="28"/>
          <w:lang w:eastAsia="ru-RU"/>
        </w:rPr>
      </w:pPr>
      <w:r w:rsidRPr="00260C8E">
        <w:rPr>
          <w:rFonts w:ascii="Times New Roman" w:eastAsia="Times New Roman" w:hAnsi="Times New Roman" w:cs="Times New Roman"/>
          <w:sz w:val="28"/>
          <w:szCs w:val="28"/>
          <w:lang w:eastAsia="ru-RU"/>
        </w:rPr>
        <w:t>Современный этап развития бан</w:t>
      </w:r>
      <w:r>
        <w:rPr>
          <w:rFonts w:ascii="Times New Roman" w:eastAsia="Times New Roman" w:hAnsi="Times New Roman" w:cs="Times New Roman"/>
          <w:sz w:val="28"/>
          <w:szCs w:val="28"/>
          <w:lang w:eastAsia="ru-RU"/>
        </w:rPr>
        <w:t xml:space="preserve">ковской системы характеризуется </w:t>
      </w:r>
      <w:r w:rsidRPr="00260C8E">
        <w:rPr>
          <w:rFonts w:ascii="Times New Roman" w:eastAsia="Times New Roman" w:hAnsi="Times New Roman" w:cs="Times New Roman"/>
          <w:sz w:val="28"/>
          <w:szCs w:val="28"/>
          <w:lang w:eastAsia="ru-RU"/>
        </w:rPr>
        <w:t xml:space="preserve">некоторой стабилизацией и умеренным </w:t>
      </w:r>
      <w:r>
        <w:rPr>
          <w:rFonts w:ascii="Times New Roman" w:eastAsia="Times New Roman" w:hAnsi="Times New Roman" w:cs="Times New Roman"/>
          <w:sz w:val="28"/>
          <w:szCs w:val="28"/>
          <w:lang w:eastAsia="ru-RU"/>
        </w:rPr>
        <w:t xml:space="preserve">развитием после нескольких </w:t>
      </w:r>
      <w:r w:rsidRPr="00260C8E">
        <w:rPr>
          <w:rFonts w:ascii="Times New Roman" w:eastAsia="Times New Roman" w:hAnsi="Times New Roman" w:cs="Times New Roman"/>
          <w:sz w:val="28"/>
          <w:szCs w:val="28"/>
          <w:lang w:eastAsia="ru-RU"/>
        </w:rPr>
        <w:t xml:space="preserve">пережитых системных кризисов. На </w:t>
      </w:r>
      <w:r>
        <w:rPr>
          <w:rFonts w:ascii="Times New Roman" w:eastAsia="Times New Roman" w:hAnsi="Times New Roman" w:cs="Times New Roman"/>
          <w:sz w:val="28"/>
          <w:szCs w:val="28"/>
          <w:lang w:eastAsia="ru-RU"/>
        </w:rPr>
        <w:t xml:space="preserve">данном этапе банки начинают все </w:t>
      </w:r>
      <w:r w:rsidRPr="00260C8E">
        <w:rPr>
          <w:rFonts w:ascii="Times New Roman" w:eastAsia="Times New Roman" w:hAnsi="Times New Roman" w:cs="Times New Roman"/>
          <w:sz w:val="28"/>
          <w:szCs w:val="28"/>
          <w:lang w:eastAsia="ru-RU"/>
        </w:rPr>
        <w:t>взвешеннее подходить к оценке всех рисков, в том числе к риску активных</w:t>
      </w:r>
      <w:r>
        <w:rPr>
          <w:rFonts w:ascii="Times New Roman" w:eastAsia="Times New Roman" w:hAnsi="Times New Roman" w:cs="Times New Roman"/>
          <w:sz w:val="28"/>
          <w:szCs w:val="28"/>
          <w:lang w:eastAsia="ru-RU"/>
        </w:rPr>
        <w:t xml:space="preserve"> </w:t>
      </w:r>
      <w:r w:rsidRPr="00260C8E">
        <w:rPr>
          <w:rFonts w:ascii="Times New Roman" w:eastAsia="Times New Roman" w:hAnsi="Times New Roman" w:cs="Times New Roman"/>
          <w:sz w:val="28"/>
          <w:szCs w:val="28"/>
          <w:lang w:eastAsia="ru-RU"/>
        </w:rPr>
        <w:t>межбанковских операций, к к</w:t>
      </w:r>
      <w:r>
        <w:rPr>
          <w:rFonts w:ascii="Times New Roman" w:eastAsia="Times New Roman" w:hAnsi="Times New Roman" w:cs="Times New Roman"/>
          <w:sz w:val="28"/>
          <w:szCs w:val="28"/>
          <w:lang w:eastAsia="ru-RU"/>
        </w:rPr>
        <w:t xml:space="preserve">оторым относятся: межбанковское </w:t>
      </w:r>
      <w:r w:rsidRPr="00260C8E">
        <w:rPr>
          <w:rFonts w:ascii="Times New Roman" w:eastAsia="Times New Roman" w:hAnsi="Times New Roman" w:cs="Times New Roman"/>
          <w:sz w:val="28"/>
          <w:szCs w:val="28"/>
          <w:lang w:eastAsia="ru-RU"/>
        </w:rPr>
        <w:t>кредитование, открытие и ведение операций через счета НОСТРО в других</w:t>
      </w:r>
      <w:r>
        <w:rPr>
          <w:rFonts w:ascii="Times New Roman" w:eastAsia="Times New Roman" w:hAnsi="Times New Roman" w:cs="Times New Roman"/>
          <w:sz w:val="28"/>
          <w:szCs w:val="28"/>
          <w:lang w:eastAsia="ru-RU"/>
        </w:rPr>
        <w:t xml:space="preserve"> </w:t>
      </w:r>
      <w:r w:rsidRPr="00260C8E">
        <w:rPr>
          <w:rFonts w:ascii="Times New Roman" w:eastAsia="Times New Roman" w:hAnsi="Times New Roman" w:cs="Times New Roman"/>
          <w:sz w:val="28"/>
          <w:szCs w:val="28"/>
          <w:lang w:eastAsia="ru-RU"/>
        </w:rPr>
        <w:t>банках, открытие депозитных счетов в других банках, операции с ценными</w:t>
      </w:r>
      <w:r>
        <w:rPr>
          <w:rFonts w:ascii="Times New Roman" w:eastAsia="Times New Roman" w:hAnsi="Times New Roman" w:cs="Times New Roman"/>
          <w:sz w:val="28"/>
          <w:szCs w:val="28"/>
          <w:lang w:eastAsia="ru-RU"/>
        </w:rPr>
        <w:t xml:space="preserve"> </w:t>
      </w:r>
      <w:r w:rsidRPr="00260C8E">
        <w:rPr>
          <w:rFonts w:ascii="Times New Roman" w:eastAsia="Times New Roman" w:hAnsi="Times New Roman" w:cs="Times New Roman"/>
          <w:sz w:val="28"/>
          <w:szCs w:val="28"/>
          <w:lang w:eastAsia="ru-RU"/>
        </w:rPr>
        <w:t>бумагами других банков и тд. С друг</w:t>
      </w:r>
      <w:r>
        <w:rPr>
          <w:rFonts w:ascii="Times New Roman" w:eastAsia="Times New Roman" w:hAnsi="Times New Roman" w:cs="Times New Roman"/>
          <w:sz w:val="28"/>
          <w:szCs w:val="28"/>
          <w:lang w:eastAsia="ru-RU"/>
        </w:rPr>
        <w:t xml:space="preserve">ой стороны, клиенты банков, как </w:t>
      </w:r>
      <w:r w:rsidRPr="00260C8E">
        <w:rPr>
          <w:rFonts w:ascii="Times New Roman" w:eastAsia="Times New Roman" w:hAnsi="Times New Roman" w:cs="Times New Roman"/>
          <w:sz w:val="28"/>
          <w:szCs w:val="28"/>
          <w:lang w:eastAsia="ru-RU"/>
        </w:rPr>
        <w:t>юридические, так и физические лица, сейчас стали более ответственно и</w:t>
      </w:r>
      <w:r>
        <w:rPr>
          <w:rFonts w:ascii="Times New Roman" w:eastAsia="Times New Roman" w:hAnsi="Times New Roman" w:cs="Times New Roman"/>
          <w:sz w:val="28"/>
          <w:szCs w:val="28"/>
          <w:lang w:eastAsia="ru-RU"/>
        </w:rPr>
        <w:t xml:space="preserve"> </w:t>
      </w:r>
      <w:r w:rsidRPr="00260C8E">
        <w:rPr>
          <w:rFonts w:ascii="Times New Roman" w:eastAsia="Times New Roman" w:hAnsi="Times New Roman" w:cs="Times New Roman"/>
          <w:sz w:val="28"/>
          <w:szCs w:val="28"/>
          <w:lang w:eastAsia="ru-RU"/>
        </w:rPr>
        <w:t>обдуманно относится к обслуж</w:t>
      </w:r>
      <w:r>
        <w:rPr>
          <w:rFonts w:ascii="Times New Roman" w:eastAsia="Times New Roman" w:hAnsi="Times New Roman" w:cs="Times New Roman"/>
          <w:sz w:val="28"/>
          <w:szCs w:val="28"/>
          <w:lang w:eastAsia="ru-RU"/>
        </w:rPr>
        <w:t xml:space="preserve">ивающему банку. Все эти факторы </w:t>
      </w:r>
      <w:r w:rsidRPr="00260C8E">
        <w:rPr>
          <w:rFonts w:ascii="Times New Roman" w:eastAsia="Times New Roman" w:hAnsi="Times New Roman" w:cs="Times New Roman"/>
          <w:sz w:val="28"/>
          <w:szCs w:val="28"/>
          <w:lang w:eastAsia="ru-RU"/>
        </w:rPr>
        <w:t>обуславливают актуальность развития и совершенствования методик анализа</w:t>
      </w:r>
      <w:r>
        <w:rPr>
          <w:rFonts w:ascii="Times New Roman" w:eastAsia="Times New Roman" w:hAnsi="Times New Roman" w:cs="Times New Roman"/>
          <w:sz w:val="28"/>
          <w:szCs w:val="28"/>
          <w:lang w:eastAsia="ru-RU"/>
        </w:rPr>
        <w:t xml:space="preserve"> финансового состояния банков,  в том числе и посредством бухгалтерского баланса. </w:t>
      </w:r>
    </w:p>
    <w:p w:rsidR="00296048" w:rsidRDefault="00296048" w:rsidP="00296048">
      <w:pPr>
        <w:spacing w:after="0" w:line="360" w:lineRule="auto"/>
        <w:ind w:firstLine="709"/>
        <w:jc w:val="both"/>
        <w:rPr>
          <w:rFonts w:ascii="Times New Roman" w:eastAsia="Times New Roman" w:hAnsi="Times New Roman" w:cs="Times New Roman"/>
          <w:sz w:val="28"/>
          <w:szCs w:val="28"/>
          <w:lang w:eastAsia="ru-RU"/>
        </w:rPr>
      </w:pPr>
      <w:r w:rsidRPr="00296048">
        <w:rPr>
          <w:rFonts w:ascii="Times New Roman" w:eastAsia="Times New Roman" w:hAnsi="Times New Roman" w:cs="Times New Roman"/>
          <w:sz w:val="28"/>
          <w:szCs w:val="28"/>
          <w:lang w:eastAsia="ru-RU"/>
        </w:rPr>
        <w:t xml:space="preserve">Анализ финансового состояния </w:t>
      </w:r>
      <w:r>
        <w:rPr>
          <w:rFonts w:ascii="Times New Roman" w:eastAsia="Times New Roman" w:hAnsi="Times New Roman" w:cs="Times New Roman"/>
          <w:sz w:val="28"/>
          <w:szCs w:val="28"/>
          <w:lang w:eastAsia="ru-RU"/>
        </w:rPr>
        <w:t xml:space="preserve">является важнейшим инструментом </w:t>
      </w:r>
      <w:r w:rsidRPr="00296048">
        <w:rPr>
          <w:rFonts w:ascii="Times New Roman" w:eastAsia="Times New Roman" w:hAnsi="Times New Roman" w:cs="Times New Roman"/>
          <w:sz w:val="28"/>
          <w:szCs w:val="28"/>
          <w:lang w:eastAsia="ru-RU"/>
        </w:rPr>
        <w:t>эффективного управления коммерческ</w:t>
      </w:r>
      <w:r w:rsidR="00260C8E">
        <w:rPr>
          <w:rFonts w:ascii="Times New Roman" w:eastAsia="Times New Roman" w:hAnsi="Times New Roman" w:cs="Times New Roman"/>
          <w:sz w:val="28"/>
          <w:szCs w:val="28"/>
          <w:lang w:eastAsia="ru-RU"/>
        </w:rPr>
        <w:t>им банком.</w:t>
      </w:r>
      <w:r w:rsidRPr="00296048">
        <w:rPr>
          <w:rFonts w:ascii="Times New Roman" w:eastAsia="Times New Roman" w:hAnsi="Times New Roman" w:cs="Times New Roman"/>
          <w:sz w:val="28"/>
          <w:szCs w:val="28"/>
          <w:lang w:eastAsia="ru-RU"/>
        </w:rPr>
        <w:t xml:space="preserve"> Результаты анализа</w:t>
      </w:r>
      <w:r>
        <w:rPr>
          <w:rFonts w:ascii="Times New Roman" w:eastAsia="Times New Roman" w:hAnsi="Times New Roman" w:cs="Times New Roman"/>
          <w:sz w:val="28"/>
          <w:szCs w:val="28"/>
          <w:lang w:eastAsia="ru-RU"/>
        </w:rPr>
        <w:t xml:space="preserve"> </w:t>
      </w:r>
      <w:r w:rsidRPr="00296048">
        <w:rPr>
          <w:rFonts w:ascii="Times New Roman" w:eastAsia="Times New Roman" w:hAnsi="Times New Roman" w:cs="Times New Roman"/>
          <w:sz w:val="28"/>
          <w:szCs w:val="28"/>
          <w:lang w:eastAsia="ru-RU"/>
        </w:rPr>
        <w:t xml:space="preserve">определяют конкурентоспособность </w:t>
      </w:r>
      <w:r w:rsidR="00260C8E">
        <w:rPr>
          <w:rFonts w:ascii="Times New Roman" w:eastAsia="Times New Roman" w:hAnsi="Times New Roman" w:cs="Times New Roman"/>
          <w:sz w:val="28"/>
          <w:szCs w:val="28"/>
          <w:lang w:eastAsia="ru-RU"/>
        </w:rPr>
        <w:t xml:space="preserve">банка </w:t>
      </w:r>
      <w:r w:rsidRPr="00296048">
        <w:rPr>
          <w:rFonts w:ascii="Times New Roman" w:eastAsia="Times New Roman" w:hAnsi="Times New Roman" w:cs="Times New Roman"/>
          <w:sz w:val="28"/>
          <w:szCs w:val="28"/>
          <w:lang w:eastAsia="ru-RU"/>
        </w:rPr>
        <w:t>и е</w:t>
      </w:r>
      <w:r w:rsidR="00260C8E">
        <w:rPr>
          <w:rFonts w:ascii="Times New Roman" w:eastAsia="Times New Roman" w:hAnsi="Times New Roman" w:cs="Times New Roman"/>
          <w:sz w:val="28"/>
          <w:szCs w:val="28"/>
          <w:lang w:eastAsia="ru-RU"/>
        </w:rPr>
        <w:t>го</w:t>
      </w:r>
      <w:r w:rsidRPr="00296048">
        <w:rPr>
          <w:rFonts w:ascii="Times New Roman" w:eastAsia="Times New Roman" w:hAnsi="Times New Roman" w:cs="Times New Roman"/>
          <w:sz w:val="28"/>
          <w:szCs w:val="28"/>
          <w:lang w:eastAsia="ru-RU"/>
        </w:rPr>
        <w:t xml:space="preserve"> потенциал в деловом</w:t>
      </w:r>
      <w:r>
        <w:rPr>
          <w:rFonts w:ascii="Times New Roman" w:eastAsia="Times New Roman" w:hAnsi="Times New Roman" w:cs="Times New Roman"/>
          <w:sz w:val="28"/>
          <w:szCs w:val="28"/>
          <w:lang w:eastAsia="ru-RU"/>
        </w:rPr>
        <w:t xml:space="preserve"> </w:t>
      </w:r>
      <w:r w:rsidRPr="00296048">
        <w:rPr>
          <w:rFonts w:ascii="Times New Roman" w:eastAsia="Times New Roman" w:hAnsi="Times New Roman" w:cs="Times New Roman"/>
          <w:sz w:val="28"/>
          <w:szCs w:val="28"/>
          <w:lang w:eastAsia="ru-RU"/>
        </w:rPr>
        <w:t>сотрудничестве, являются гарантом эффективной реализации экономических</w:t>
      </w:r>
      <w:r>
        <w:rPr>
          <w:rFonts w:ascii="Times New Roman" w:eastAsia="Times New Roman" w:hAnsi="Times New Roman" w:cs="Times New Roman"/>
          <w:sz w:val="28"/>
          <w:szCs w:val="28"/>
          <w:lang w:eastAsia="ru-RU"/>
        </w:rPr>
        <w:t xml:space="preserve"> </w:t>
      </w:r>
      <w:r w:rsidRPr="00296048">
        <w:rPr>
          <w:rFonts w:ascii="Times New Roman" w:eastAsia="Times New Roman" w:hAnsi="Times New Roman" w:cs="Times New Roman"/>
          <w:sz w:val="28"/>
          <w:szCs w:val="28"/>
          <w:lang w:eastAsia="ru-RU"/>
        </w:rPr>
        <w:t>интересов всех участников хозяйс</w:t>
      </w:r>
      <w:r>
        <w:rPr>
          <w:rFonts w:ascii="Times New Roman" w:eastAsia="Times New Roman" w:hAnsi="Times New Roman" w:cs="Times New Roman"/>
          <w:sz w:val="28"/>
          <w:szCs w:val="28"/>
          <w:lang w:eastAsia="ru-RU"/>
        </w:rPr>
        <w:t xml:space="preserve">твенной деятельности, как </w:t>
      </w:r>
      <w:r w:rsidR="00260C8E">
        <w:rPr>
          <w:rFonts w:ascii="Times New Roman" w:eastAsia="Times New Roman" w:hAnsi="Times New Roman" w:cs="Times New Roman"/>
          <w:sz w:val="28"/>
          <w:szCs w:val="28"/>
          <w:lang w:eastAsia="ru-RU"/>
        </w:rPr>
        <w:t xml:space="preserve">самого банка, так и его </w:t>
      </w:r>
      <w:r w:rsidRPr="00296048">
        <w:rPr>
          <w:rFonts w:ascii="Times New Roman" w:eastAsia="Times New Roman" w:hAnsi="Times New Roman" w:cs="Times New Roman"/>
          <w:sz w:val="28"/>
          <w:szCs w:val="28"/>
          <w:lang w:eastAsia="ru-RU"/>
        </w:rPr>
        <w:t xml:space="preserve">партнёров. </w:t>
      </w:r>
      <w:r w:rsidR="00260C8E">
        <w:rPr>
          <w:rFonts w:ascii="Times New Roman" w:eastAsia="Times New Roman" w:hAnsi="Times New Roman" w:cs="Times New Roman"/>
          <w:sz w:val="28"/>
          <w:szCs w:val="28"/>
          <w:lang w:eastAsia="ru-RU"/>
        </w:rPr>
        <w:t xml:space="preserve">Анализ бухгалтерского баланса банка позволяет </w:t>
      </w:r>
      <w:r w:rsidRPr="00296048">
        <w:rPr>
          <w:rFonts w:ascii="Times New Roman" w:eastAsia="Times New Roman" w:hAnsi="Times New Roman" w:cs="Times New Roman"/>
          <w:sz w:val="28"/>
          <w:szCs w:val="28"/>
          <w:lang w:eastAsia="ru-RU"/>
        </w:rPr>
        <w:t xml:space="preserve">выявить причины неустойчивого положения </w:t>
      </w:r>
      <w:r w:rsidR="00260C8E">
        <w:rPr>
          <w:rFonts w:ascii="Times New Roman" w:eastAsia="Times New Roman" w:hAnsi="Times New Roman" w:cs="Times New Roman"/>
          <w:sz w:val="28"/>
          <w:szCs w:val="28"/>
          <w:lang w:eastAsia="ru-RU"/>
        </w:rPr>
        <w:t>банка</w:t>
      </w:r>
      <w:r w:rsidRPr="00296048">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w:t>
      </w:r>
      <w:r w:rsidR="00260C8E">
        <w:rPr>
          <w:rFonts w:ascii="Times New Roman" w:eastAsia="Times New Roman" w:hAnsi="Times New Roman" w:cs="Times New Roman"/>
          <w:sz w:val="28"/>
          <w:szCs w:val="28"/>
          <w:lang w:eastAsia="ru-RU"/>
        </w:rPr>
        <w:t>наметить пути его</w:t>
      </w:r>
      <w:r w:rsidRPr="00296048">
        <w:rPr>
          <w:rFonts w:ascii="Times New Roman" w:eastAsia="Times New Roman" w:hAnsi="Times New Roman" w:cs="Times New Roman"/>
          <w:sz w:val="28"/>
          <w:szCs w:val="28"/>
          <w:lang w:eastAsia="ru-RU"/>
        </w:rPr>
        <w:t xml:space="preserve"> улучшения.</w:t>
      </w:r>
    </w:p>
    <w:p w:rsidR="00260C8E" w:rsidRDefault="00260C8E" w:rsidP="00260C8E">
      <w:pPr>
        <w:spacing w:after="0" w:line="360" w:lineRule="auto"/>
        <w:ind w:firstLine="709"/>
        <w:jc w:val="both"/>
        <w:rPr>
          <w:rFonts w:ascii="Times New Roman" w:eastAsia="Times New Roman" w:hAnsi="Times New Roman" w:cs="Times New Roman"/>
          <w:sz w:val="28"/>
          <w:szCs w:val="28"/>
          <w:lang w:eastAsia="ru-RU"/>
        </w:rPr>
      </w:pPr>
      <w:r w:rsidRPr="00260C8E">
        <w:rPr>
          <w:rFonts w:ascii="Times New Roman" w:eastAsia="Times New Roman" w:hAnsi="Times New Roman" w:cs="Times New Roman"/>
          <w:sz w:val="28"/>
          <w:szCs w:val="28"/>
          <w:lang w:eastAsia="ru-RU"/>
        </w:rPr>
        <w:t>В первой главе были рас</w:t>
      </w:r>
      <w:r>
        <w:rPr>
          <w:rFonts w:ascii="Times New Roman" w:eastAsia="Times New Roman" w:hAnsi="Times New Roman" w:cs="Times New Roman"/>
          <w:sz w:val="28"/>
          <w:szCs w:val="28"/>
          <w:lang w:eastAsia="ru-RU"/>
        </w:rPr>
        <w:t xml:space="preserve">смотрены теоретические аспекты бухгалтерского баланса коммерческого банка, его содержание и функции. Так же в рамках теоретических исследований были рассмотрены особенности построения баланса коммерческого банка. </w:t>
      </w:r>
    </w:p>
    <w:p w:rsidR="00260C8E" w:rsidRPr="00260C8E" w:rsidRDefault="00260C8E" w:rsidP="00894D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второй главе </w:t>
      </w:r>
      <w:r w:rsidR="00894D8E">
        <w:rPr>
          <w:rFonts w:ascii="Times New Roman" w:eastAsia="Times New Roman" w:hAnsi="Times New Roman" w:cs="Times New Roman"/>
          <w:sz w:val="28"/>
          <w:szCs w:val="28"/>
          <w:lang w:eastAsia="ru-RU"/>
        </w:rPr>
        <w:t>в</w:t>
      </w:r>
      <w:r w:rsidRPr="00260C8E">
        <w:rPr>
          <w:rFonts w:ascii="Times New Roman" w:eastAsia="Times New Roman" w:hAnsi="Times New Roman" w:cs="Times New Roman"/>
          <w:sz w:val="28"/>
          <w:szCs w:val="28"/>
          <w:lang w:eastAsia="ru-RU"/>
        </w:rPr>
        <w:t xml:space="preserve"> ходе проведенного анализа финансовые резуль</w:t>
      </w:r>
      <w:r w:rsidR="00894D8E">
        <w:rPr>
          <w:rFonts w:ascii="Times New Roman" w:eastAsia="Times New Roman" w:hAnsi="Times New Roman" w:cs="Times New Roman"/>
          <w:sz w:val="28"/>
          <w:szCs w:val="28"/>
          <w:lang w:eastAsia="ru-RU"/>
        </w:rPr>
        <w:t>татов сделаны следующие выводы:</w:t>
      </w:r>
      <w:r w:rsidRPr="00260C8E">
        <w:rPr>
          <w:rFonts w:ascii="Times New Roman" w:eastAsia="Times New Roman" w:hAnsi="Times New Roman" w:cs="Times New Roman"/>
          <w:sz w:val="28"/>
          <w:szCs w:val="28"/>
          <w:lang w:eastAsia="ru-RU"/>
        </w:rPr>
        <w:t xml:space="preserve"> ПАО «Сбербанк России» осуществляет стабильную деятельность. В 2014 г. прирост доходов составил 13,29%, за 2015 г. – 5,90%. Этот прирост обеспечен ростом чистых процентных доходов (+11,70% в 2014 г.), чистых доходов от операций с иностранной валютой (+58,51% в 2014 г., +1812,36% в 2015 г.), доходов от участия в капитале других юридических лиц (+35,65% в 2015 г.), комиссионных доходов (+18,16% в 2014 г., +27,64% в 2015 г.), прочих операционных доходов (+37,19% в 2014 г., +133,67% в 2015 г.);</w:t>
      </w:r>
    </w:p>
    <w:p w:rsidR="00260C8E" w:rsidRDefault="00894D8E" w:rsidP="00260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течение 2014</w:t>
      </w:r>
      <w:r w:rsidR="00260C8E" w:rsidRPr="00260C8E">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6</w:t>
      </w:r>
      <w:r w:rsidR="00260C8E" w:rsidRPr="00260C8E">
        <w:rPr>
          <w:rFonts w:ascii="Times New Roman" w:eastAsia="Times New Roman" w:hAnsi="Times New Roman" w:cs="Times New Roman"/>
          <w:sz w:val="28"/>
          <w:szCs w:val="28"/>
          <w:lang w:eastAsia="ru-RU"/>
        </w:rPr>
        <w:t xml:space="preserve"> гг. банк работал эффективно, о чем свидетельствует получение чистого процентного дохода. Вместе с тем, его величина снизилась в </w:t>
      </w:r>
      <w:r>
        <w:rPr>
          <w:rFonts w:ascii="Times New Roman" w:eastAsia="Times New Roman" w:hAnsi="Times New Roman" w:cs="Times New Roman"/>
          <w:sz w:val="28"/>
          <w:szCs w:val="28"/>
          <w:lang w:eastAsia="ru-RU"/>
        </w:rPr>
        <w:t>2016 г. по сравнению с 2014</w:t>
      </w:r>
      <w:r w:rsidR="00260C8E" w:rsidRPr="00260C8E">
        <w:rPr>
          <w:rFonts w:ascii="Times New Roman" w:eastAsia="Times New Roman" w:hAnsi="Times New Roman" w:cs="Times New Roman"/>
          <w:sz w:val="28"/>
          <w:szCs w:val="28"/>
          <w:lang w:eastAsia="ru-RU"/>
        </w:rPr>
        <w:t xml:space="preserve"> г. на 1,71%, что негативно характеризует работу банка. </w:t>
      </w:r>
      <w:r>
        <w:rPr>
          <w:rFonts w:ascii="Times New Roman" w:eastAsia="Times New Roman" w:hAnsi="Times New Roman" w:cs="Times New Roman"/>
          <w:sz w:val="28"/>
          <w:szCs w:val="28"/>
          <w:lang w:eastAsia="ru-RU"/>
        </w:rPr>
        <w:t>О</w:t>
      </w:r>
      <w:r w:rsidR="00260C8E" w:rsidRPr="00260C8E">
        <w:rPr>
          <w:rFonts w:ascii="Times New Roman" w:eastAsia="Times New Roman" w:hAnsi="Times New Roman" w:cs="Times New Roman"/>
          <w:sz w:val="28"/>
          <w:szCs w:val="28"/>
          <w:lang w:eastAsia="ru-RU"/>
        </w:rPr>
        <w:t>бщая сумма операционных расходов банка увеличилась с 397351665 тыс. руб. в 201</w:t>
      </w:r>
      <w:r>
        <w:rPr>
          <w:rFonts w:ascii="Times New Roman" w:eastAsia="Times New Roman" w:hAnsi="Times New Roman" w:cs="Times New Roman"/>
          <w:sz w:val="28"/>
          <w:szCs w:val="28"/>
          <w:lang w:eastAsia="ru-RU"/>
        </w:rPr>
        <w:t>4</w:t>
      </w:r>
      <w:r w:rsidR="00260C8E" w:rsidRPr="00260C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 до 598666217 тыс. руб. в 2016</w:t>
      </w:r>
      <w:r w:rsidR="00260C8E" w:rsidRPr="00260C8E">
        <w:rPr>
          <w:rFonts w:ascii="Times New Roman" w:eastAsia="Times New Roman" w:hAnsi="Times New Roman" w:cs="Times New Roman"/>
          <w:sz w:val="28"/>
          <w:szCs w:val="28"/>
          <w:lang w:eastAsia="ru-RU"/>
        </w:rPr>
        <w:t xml:space="preserve"> г. Пророст за 2014 г. составил 17,37%, за 2015 г. – еще на 128,36%. В целом за два года величина операционных расходов увеличилась на 63,23%. Рассмотрим, какие именно расходы стали драйвером динамики операционных расходов ПАО «Сбербанк России». Помимо прочих расходов, которые выросли в наибольшей степени (+122,86%), самую быструю динамику показали расходы на амортизацию нематериальных активов (+79,26%). Это связано с увеличением стоимости нематериальных активов, числящихся на балансе банка, что, в свою очередь, связано с расширением масштабов осуществления операций банка с клиентами, а также с проведением мероприятий, направленных на совершенствование информационной инфраструктуры. Расходы на содержание персонала увеличились на 60,03% в связи с ростом заработной платы банковских работников, а также с увеличением расходов на обучение работников, что также связано с внедрением в работу банка новых информационных технологий. Следует также отметить, что банк сократил расходы на операционную аренду активов (-30,72%) в связи с тем, что вместо арендованных помещений банк с течением времени все больше использует помещения, которые приобретаются в собственность.</w:t>
      </w:r>
    </w:p>
    <w:p w:rsidR="00894D8E" w:rsidRDefault="00894D8E" w:rsidP="00894D8E">
      <w:pPr>
        <w:spacing w:after="0" w:line="360" w:lineRule="auto"/>
        <w:ind w:firstLine="709"/>
        <w:jc w:val="both"/>
        <w:rPr>
          <w:rFonts w:ascii="Times New Roman" w:eastAsia="Times New Roman" w:hAnsi="Times New Roman" w:cs="Times New Roman"/>
          <w:sz w:val="28"/>
          <w:szCs w:val="28"/>
          <w:lang w:eastAsia="ru-RU"/>
        </w:rPr>
      </w:pPr>
      <w:r w:rsidRPr="00296048">
        <w:rPr>
          <w:rFonts w:ascii="Times New Roman" w:eastAsia="Times New Roman" w:hAnsi="Times New Roman" w:cs="Times New Roman"/>
          <w:sz w:val="28"/>
          <w:szCs w:val="28"/>
          <w:lang w:eastAsia="ru-RU"/>
        </w:rPr>
        <w:t>Из произведенных в работе расчетов можно сделать вывод, что хотя активы Сбербанка за 2016 г. увеличились, ликвидные активы не только не увеличились, а даже снизились. Обязательства же Сбербанка увеличились, в основном за счет роста средств на расчетных и текущих счетах предприятий и организаций. Не смотря на то, что Сбербанк и работает прибыльно, нужно увеличить объем ликвидных активов и активов приносящих доход, свести до минимума просроченную задолженность по кредитам, повысить качество кредитного портфеля, увеличить объем стандартной ссудной задолженности, увеличить количество кредитных ресурсов, путем привлечения средств во вклады населения и на счета предприятий и организаций, снижать непроцентные расходы.</w:t>
      </w:r>
    </w:p>
    <w:p w:rsidR="00894D8E" w:rsidRPr="00296048" w:rsidRDefault="00894D8E" w:rsidP="00894D8E">
      <w:pPr>
        <w:spacing w:after="0" w:line="360" w:lineRule="auto"/>
        <w:ind w:firstLine="709"/>
        <w:jc w:val="both"/>
        <w:rPr>
          <w:rFonts w:ascii="Times New Roman" w:eastAsia="Times New Roman" w:hAnsi="Times New Roman" w:cs="Times New Roman"/>
          <w:sz w:val="28"/>
          <w:szCs w:val="28"/>
          <w:lang w:eastAsia="ru-RU"/>
        </w:rPr>
      </w:pPr>
      <w:r w:rsidRPr="00296048">
        <w:rPr>
          <w:rFonts w:ascii="Times New Roman" w:eastAsia="Times New Roman" w:hAnsi="Times New Roman" w:cs="Times New Roman"/>
          <w:sz w:val="28"/>
          <w:szCs w:val="28"/>
          <w:lang w:eastAsia="ru-RU"/>
        </w:rPr>
        <w:t>В работе Сбербанка есть и некоторые отрицательные моменты. При анализе основных показателей деятельности было установлено, что вклады в основном привлекаются на короткий срок - средний срок хранения вкладного рубля составляет 260 дней. Удельный вес просроченной задолженности увеличивается быстрее, чем темпы роста остатка ссудной задолженности.</w:t>
      </w:r>
    </w:p>
    <w:p w:rsidR="00894D8E" w:rsidRPr="00296048" w:rsidRDefault="00894D8E" w:rsidP="00894D8E">
      <w:pPr>
        <w:spacing w:after="0" w:line="360" w:lineRule="auto"/>
        <w:ind w:firstLine="709"/>
        <w:jc w:val="both"/>
        <w:rPr>
          <w:rFonts w:ascii="Times New Roman" w:eastAsia="Times New Roman" w:hAnsi="Times New Roman" w:cs="Times New Roman"/>
          <w:sz w:val="28"/>
          <w:szCs w:val="28"/>
          <w:lang w:eastAsia="ru-RU"/>
        </w:rPr>
      </w:pPr>
      <w:r w:rsidRPr="00296048">
        <w:rPr>
          <w:rFonts w:ascii="Times New Roman" w:eastAsia="Times New Roman" w:hAnsi="Times New Roman" w:cs="Times New Roman"/>
          <w:sz w:val="28"/>
          <w:szCs w:val="28"/>
          <w:lang w:eastAsia="ru-RU"/>
        </w:rPr>
        <w:t>В целях привлечения ресурсов для своей деятельности Сбербанку важно разработать стратегию политики исходя из целей и задач, закрепленных в уставе, для получения максимальной прибыли и сохранения банковской ликвидности. Политика банка в области сбережений населения нацелена на сохранение лидирующего положения в этом секторе финансового рынка, путем совершенствования действующих и внедрения новых видов вкладов и депозитов.</w:t>
      </w:r>
    </w:p>
    <w:p w:rsidR="00260C8E" w:rsidRPr="00260C8E" w:rsidRDefault="00260C8E" w:rsidP="00260C8E">
      <w:pPr>
        <w:spacing w:after="0" w:line="360" w:lineRule="auto"/>
        <w:ind w:firstLine="709"/>
        <w:jc w:val="both"/>
        <w:rPr>
          <w:rFonts w:ascii="Times New Roman" w:eastAsia="Times New Roman" w:hAnsi="Times New Roman" w:cs="Times New Roman"/>
          <w:sz w:val="28"/>
          <w:szCs w:val="28"/>
          <w:lang w:eastAsia="ru-RU"/>
        </w:rPr>
      </w:pPr>
      <w:r w:rsidRPr="00260C8E">
        <w:rPr>
          <w:rFonts w:ascii="Times New Roman" w:eastAsia="Times New Roman" w:hAnsi="Times New Roman" w:cs="Times New Roman"/>
          <w:sz w:val="28"/>
          <w:szCs w:val="28"/>
          <w:lang w:eastAsia="ru-RU"/>
        </w:rPr>
        <w:t>С целью повышения финансовых результатов ПАО «Сбербанк России» предлагается:</w:t>
      </w:r>
    </w:p>
    <w:p w:rsidR="00260C8E" w:rsidRPr="00260C8E" w:rsidRDefault="00260C8E" w:rsidP="00260C8E">
      <w:pPr>
        <w:spacing w:after="0" w:line="360" w:lineRule="auto"/>
        <w:ind w:firstLine="709"/>
        <w:jc w:val="both"/>
        <w:rPr>
          <w:rFonts w:ascii="Times New Roman" w:eastAsia="Times New Roman" w:hAnsi="Times New Roman" w:cs="Times New Roman"/>
          <w:sz w:val="28"/>
          <w:szCs w:val="28"/>
          <w:lang w:eastAsia="ru-RU"/>
        </w:rPr>
      </w:pPr>
      <w:r w:rsidRPr="00260C8E">
        <w:rPr>
          <w:rFonts w:ascii="Times New Roman" w:eastAsia="Times New Roman" w:hAnsi="Times New Roman" w:cs="Times New Roman"/>
          <w:sz w:val="28"/>
          <w:szCs w:val="28"/>
          <w:lang w:eastAsia="ru-RU"/>
        </w:rPr>
        <w:t>Во-первых, расширить предложение услуг, реализация которых</w:t>
      </w:r>
      <w:r>
        <w:rPr>
          <w:rFonts w:ascii="Times New Roman" w:eastAsia="Times New Roman" w:hAnsi="Times New Roman" w:cs="Times New Roman"/>
          <w:sz w:val="28"/>
          <w:szCs w:val="28"/>
          <w:lang w:eastAsia="ru-RU"/>
        </w:rPr>
        <w:t xml:space="preserve"> </w:t>
      </w:r>
      <w:r w:rsidRPr="00260C8E">
        <w:rPr>
          <w:rFonts w:ascii="Times New Roman" w:eastAsia="Times New Roman" w:hAnsi="Times New Roman" w:cs="Times New Roman"/>
          <w:sz w:val="28"/>
          <w:szCs w:val="28"/>
          <w:lang w:eastAsia="ru-RU"/>
        </w:rPr>
        <w:t>позволит банку нарастить комиссионные доходы. Увеличение доходов, получаемых от комиссионных операций ПАО «Сбербанк России», является одним из перспективных резервов роста абсолютных и относительных показателей финансовых результатов данного банковского учреждения. Речь идет о таких услугах, как операции с пластиковыми картами; рассчетно-кассовое обслуживание; валютные операции; консультации и информационные услуги и др. ПАО «Сбербанк России» имеет условия и возможности для того, чтобы развивать данные услуги и повышать тем самым финансовые результаты за счет задействования резервов наращивания комиссионных доходов.</w:t>
      </w:r>
    </w:p>
    <w:p w:rsidR="00260C8E" w:rsidRPr="00260C8E" w:rsidRDefault="00260C8E" w:rsidP="00260C8E">
      <w:pPr>
        <w:spacing w:after="0" w:line="360" w:lineRule="auto"/>
        <w:ind w:firstLine="709"/>
        <w:jc w:val="both"/>
        <w:rPr>
          <w:rFonts w:ascii="Times New Roman" w:eastAsia="Times New Roman" w:hAnsi="Times New Roman" w:cs="Times New Roman"/>
          <w:sz w:val="28"/>
          <w:szCs w:val="28"/>
          <w:lang w:eastAsia="ru-RU"/>
        </w:rPr>
      </w:pPr>
      <w:r w:rsidRPr="00260C8E">
        <w:rPr>
          <w:rFonts w:ascii="Times New Roman" w:eastAsia="Times New Roman" w:hAnsi="Times New Roman" w:cs="Times New Roman"/>
          <w:sz w:val="28"/>
          <w:szCs w:val="28"/>
          <w:lang w:eastAsia="ru-RU"/>
        </w:rPr>
        <w:t>Во-вторых, осуществить оптимизацию затрат банка за счет разработки и внедрения модели управления затратами ПАО «Сбербанк России» на основе принципов управленческого учета. При этом реализуется стратегия формирования затрат банка и определения их оптимальной структуры исходя из целей и задач функционирования банка, а также осуществляется контроль реализации данной стратегии, формирование организационной структуры управления затратами и разработка принципов формирования затрат банка.</w:t>
      </w:r>
    </w:p>
    <w:p w:rsidR="00260C8E" w:rsidRDefault="00260C8E" w:rsidP="00260C8E">
      <w:pPr>
        <w:spacing w:after="0" w:line="360" w:lineRule="auto"/>
        <w:ind w:firstLine="709"/>
        <w:jc w:val="both"/>
        <w:rPr>
          <w:rFonts w:ascii="Times New Roman" w:eastAsia="Times New Roman" w:hAnsi="Times New Roman" w:cs="Times New Roman"/>
          <w:sz w:val="28"/>
          <w:szCs w:val="28"/>
          <w:lang w:eastAsia="ru-RU"/>
        </w:rPr>
      </w:pPr>
      <w:r w:rsidRPr="00260C8E">
        <w:rPr>
          <w:rFonts w:ascii="Times New Roman" w:eastAsia="Times New Roman" w:hAnsi="Times New Roman" w:cs="Times New Roman"/>
          <w:sz w:val="28"/>
          <w:szCs w:val="28"/>
          <w:lang w:eastAsia="ru-RU"/>
        </w:rPr>
        <w:t>В-третьих, осуществить расширение линейки предлагаемых ПАО «Сбербанк России» кредитных продуктов. Это позволит увеличить объем кредитования банком в целом. А поскольку условно-постоянные издержки, связанные с обеспечение работы банка, останутся на прежнем уровне, чистые процентные доходы вырастут, как и показали наши расчеты. Это позволит существенно увеличить финансовые результаты ПАО «Сбербанк России».</w:t>
      </w: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894D8E" w:rsidRPr="00894D8E" w:rsidRDefault="00894D8E" w:rsidP="00894D8E">
      <w:pPr>
        <w:jc w:val="center"/>
        <w:rPr>
          <w:rFonts w:ascii="Times New Roman" w:hAnsi="Times New Roman" w:cs="Times New Roman"/>
          <w:b/>
          <w:sz w:val="28"/>
          <w:szCs w:val="28"/>
        </w:rPr>
      </w:pPr>
      <w:r w:rsidRPr="00894D8E">
        <w:rPr>
          <w:rFonts w:ascii="Times New Roman" w:hAnsi="Times New Roman" w:cs="Times New Roman"/>
          <w:b/>
          <w:sz w:val="28"/>
          <w:szCs w:val="28"/>
        </w:rPr>
        <w:t>Список использованных источников</w:t>
      </w:r>
    </w:p>
    <w:p w:rsidR="00275550" w:rsidRDefault="00275550" w:rsidP="00275550">
      <w:pPr>
        <w:spacing w:before="180" w:after="180" w:line="240" w:lineRule="auto"/>
        <w:ind w:left="3760"/>
        <w:jc w:val="both"/>
        <w:rPr>
          <w:rFonts w:ascii="Times New Roman" w:eastAsia="Times New Roman" w:hAnsi="Times New Roman" w:cs="Times New Roman"/>
          <w:sz w:val="31"/>
          <w:szCs w:val="31"/>
          <w:lang w:eastAsia="ru-RU"/>
        </w:rPr>
      </w:pP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6D5325">
        <w:rPr>
          <w:rFonts w:ascii="Times New Roman" w:hAnsi="Times New Roman" w:cs="Times New Roman"/>
          <w:sz w:val="28"/>
          <w:szCs w:val="28"/>
        </w:rPr>
        <w:t xml:space="preserve">Гражданский кодекс Российской Федерации </w:t>
      </w:r>
      <w:r w:rsidRPr="00B00A8C">
        <w:rPr>
          <w:rFonts w:ascii="Times New Roman" w:hAnsi="Times New Roman" w:cs="Times New Roman"/>
          <w:sz w:val="28"/>
          <w:szCs w:val="28"/>
        </w:rPr>
        <w:t xml:space="preserve"> </w:t>
      </w:r>
      <w:r>
        <w:rPr>
          <w:rFonts w:ascii="Times New Roman" w:hAnsi="Times New Roman" w:cs="Times New Roman"/>
          <w:sz w:val="28"/>
          <w:szCs w:val="28"/>
        </w:rPr>
        <w:t xml:space="preserve">от 26 января 1996 года № 14-ФЗ </w:t>
      </w:r>
      <w:r w:rsidRPr="00B00A8C">
        <w:rPr>
          <w:rFonts w:ascii="Times New Roman" w:hAnsi="Times New Roman" w:cs="Times New Roman"/>
          <w:sz w:val="28"/>
          <w:szCs w:val="28"/>
        </w:rPr>
        <w:t>(ред. от 23.05.2016)</w:t>
      </w:r>
      <w:r>
        <w:rPr>
          <w:rFonts w:ascii="Times New Roman" w:hAnsi="Times New Roman" w:cs="Times New Roman"/>
          <w:sz w:val="28"/>
          <w:szCs w:val="28"/>
        </w:rPr>
        <w:t xml:space="preserve"> // Справочная правовая система «КонсультантПлюс» </w:t>
      </w:r>
      <w:r w:rsidRPr="00B00A8C">
        <w:rPr>
          <w:rFonts w:ascii="Times New Roman" w:hAnsi="Times New Roman" w:cs="Times New Roman"/>
          <w:sz w:val="28"/>
          <w:szCs w:val="28"/>
        </w:rPr>
        <w:t>[</w:t>
      </w:r>
      <w:r>
        <w:rPr>
          <w:rFonts w:ascii="Times New Roman" w:hAnsi="Times New Roman" w:cs="Times New Roman"/>
          <w:sz w:val="28"/>
          <w:szCs w:val="28"/>
        </w:rPr>
        <w:t>Электронный ресурс</w:t>
      </w:r>
      <w:r w:rsidRPr="00B00A8C">
        <w:rPr>
          <w:rFonts w:ascii="Times New Roman" w:hAnsi="Times New Roman" w:cs="Times New Roman"/>
          <w:sz w:val="28"/>
          <w:szCs w:val="28"/>
        </w:rPr>
        <w:t>]</w:t>
      </w:r>
      <w:r>
        <w:rPr>
          <w:rFonts w:ascii="Times New Roman" w:hAnsi="Times New Roman" w:cs="Times New Roman"/>
          <w:sz w:val="28"/>
          <w:szCs w:val="28"/>
        </w:rPr>
        <w:t xml:space="preserve">: </w:t>
      </w:r>
      <w:r w:rsidRPr="00B00A8C">
        <w:rPr>
          <w:rFonts w:ascii="Times New Roman" w:hAnsi="Times New Roman" w:cs="Times New Roman"/>
          <w:sz w:val="28"/>
          <w:szCs w:val="28"/>
        </w:rPr>
        <w:t>http://www.consultant.ru/document/cons_doc_LAW_9027/</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6D5325">
        <w:rPr>
          <w:rFonts w:ascii="Times New Roman" w:hAnsi="Times New Roman" w:cs="Times New Roman"/>
          <w:sz w:val="28"/>
          <w:szCs w:val="28"/>
        </w:rPr>
        <w:t xml:space="preserve">Федеральный закон от 02.12.1990 N 395-1 (ред. от 03.07.2016) </w:t>
      </w:r>
      <w:r>
        <w:rPr>
          <w:rFonts w:ascii="Times New Roman" w:hAnsi="Times New Roman" w:cs="Times New Roman"/>
          <w:sz w:val="28"/>
          <w:szCs w:val="28"/>
        </w:rPr>
        <w:t>«</w:t>
      </w:r>
      <w:r w:rsidRPr="006D5325">
        <w:rPr>
          <w:rFonts w:ascii="Times New Roman" w:hAnsi="Times New Roman" w:cs="Times New Roman"/>
          <w:sz w:val="28"/>
          <w:szCs w:val="28"/>
        </w:rPr>
        <w:t>О банках и банковской деятельности</w:t>
      </w:r>
      <w:r>
        <w:rPr>
          <w:rFonts w:ascii="Times New Roman" w:hAnsi="Times New Roman" w:cs="Times New Roman"/>
          <w:sz w:val="28"/>
          <w:szCs w:val="28"/>
        </w:rPr>
        <w:t xml:space="preserve">» </w:t>
      </w:r>
      <w:r w:rsidRPr="006D5325">
        <w:rPr>
          <w:rFonts w:ascii="Times New Roman" w:hAnsi="Times New Roman" w:cs="Times New Roman"/>
          <w:sz w:val="28"/>
          <w:szCs w:val="28"/>
        </w:rPr>
        <w:t xml:space="preserve"> (с изм. и доп., вступ. в силу с 01.01.2017)</w:t>
      </w:r>
      <w:r>
        <w:rPr>
          <w:rFonts w:ascii="Times New Roman" w:hAnsi="Times New Roman" w:cs="Times New Roman"/>
          <w:sz w:val="28"/>
          <w:szCs w:val="28"/>
        </w:rPr>
        <w:t xml:space="preserve"> // </w:t>
      </w:r>
      <w:r w:rsidRPr="00B00A8C">
        <w:rPr>
          <w:rFonts w:ascii="Times New Roman" w:hAnsi="Times New Roman" w:cs="Times New Roman"/>
          <w:sz w:val="28"/>
          <w:szCs w:val="28"/>
        </w:rPr>
        <w:t>Справочная правовая система «КонсультантПлюс» [Электронный ресурс]:</w:t>
      </w:r>
      <w:r w:rsidRPr="00B00A8C">
        <w:t xml:space="preserve"> </w:t>
      </w:r>
      <w:r w:rsidRPr="00B00A8C">
        <w:rPr>
          <w:rFonts w:ascii="Times New Roman" w:hAnsi="Times New Roman" w:cs="Times New Roman"/>
          <w:sz w:val="28"/>
          <w:szCs w:val="28"/>
        </w:rPr>
        <w:t>http://www.consultant.ru/document/cons_doc_LAW_5842/</w:t>
      </w:r>
    </w:p>
    <w:p w:rsidR="003E6DB1" w:rsidRPr="003E6DB1" w:rsidRDefault="003E6DB1" w:rsidP="003E6DB1">
      <w:pPr>
        <w:pStyle w:val="a4"/>
        <w:numPr>
          <w:ilvl w:val="0"/>
          <w:numId w:val="24"/>
        </w:numPr>
        <w:spacing w:line="360" w:lineRule="auto"/>
        <w:ind w:left="0" w:firstLine="709"/>
        <w:rPr>
          <w:rFonts w:ascii="Times New Roman" w:hAnsi="Times New Roman" w:cs="Times New Roman"/>
          <w:sz w:val="28"/>
          <w:szCs w:val="28"/>
        </w:rPr>
      </w:pPr>
      <w:r w:rsidRPr="003E6DB1">
        <w:rPr>
          <w:rFonts w:ascii="Times New Roman" w:hAnsi="Times New Roman" w:cs="Times New Roman"/>
          <w:sz w:val="28"/>
          <w:szCs w:val="28"/>
        </w:rPr>
        <w:t>Федеральный Закон «О бухгалтерском учете», утвержден¬ный Президентом РФ 6 декабря 2010 г. № 402-ФЗ: [Электронный ресурс]. - Ресурс доступа. - www.buhgalt.ru.</w:t>
      </w:r>
    </w:p>
    <w:p w:rsidR="003E6DB1" w:rsidRP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Методические рекомендации о порядке формирования по-казателей бухгалтерской отчетности организации, утвержденные приказом Минфина России от 22.07.2011 № 67н [Электронный ресурс]. - Ресурс доступа. - www.consultant.ru/popular/buch/.</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Абдукаримов И. Т., Беспалов М. В. Бухгалтерская (финансовая) отчетность коммерческих предприятий. М.: ИНФРА-М, 2014. С. 118-126.</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Алиев Б.Х., Аликберова А.М. Оценка факторов регулирования прибыли коммерческого банка // Финансы и кредит. – 2014. – №20. – С. 11-19.</w:t>
      </w:r>
    </w:p>
    <w:p w:rsidR="003E6DB1" w:rsidRPr="003E6DB1" w:rsidRDefault="003E6DB1" w:rsidP="003E6DB1">
      <w:pPr>
        <w:pStyle w:val="a4"/>
        <w:numPr>
          <w:ilvl w:val="0"/>
          <w:numId w:val="24"/>
        </w:numPr>
        <w:spacing w:line="360" w:lineRule="auto"/>
        <w:ind w:left="0" w:firstLine="709"/>
        <w:rPr>
          <w:rFonts w:ascii="Times New Roman" w:hAnsi="Times New Roman" w:cs="Times New Roman"/>
          <w:sz w:val="28"/>
          <w:szCs w:val="28"/>
        </w:rPr>
      </w:pPr>
      <w:r w:rsidRPr="003E6DB1">
        <w:rPr>
          <w:rFonts w:ascii="Times New Roman" w:hAnsi="Times New Roman" w:cs="Times New Roman"/>
          <w:sz w:val="28"/>
          <w:szCs w:val="28"/>
        </w:rPr>
        <w:t xml:space="preserve">Антипят В. В. Бухгалтерский баланс [Электронный ре¬сурс]. </w:t>
      </w:r>
      <w:r>
        <w:rPr>
          <w:rFonts w:ascii="Times New Roman" w:hAnsi="Times New Roman" w:cs="Times New Roman"/>
          <w:sz w:val="28"/>
          <w:szCs w:val="28"/>
        </w:rPr>
        <w:t>- М.: Финансы и статистика, 2011</w:t>
      </w:r>
      <w:r w:rsidRPr="003E6DB1">
        <w:rPr>
          <w:rFonts w:ascii="Times New Roman" w:hAnsi="Times New Roman" w:cs="Times New Roman"/>
          <w:sz w:val="28"/>
          <w:szCs w:val="28"/>
        </w:rPr>
        <w:t>.</w:t>
      </w:r>
      <w:r>
        <w:rPr>
          <w:rFonts w:ascii="Times New Roman" w:hAnsi="Times New Roman" w:cs="Times New Roman"/>
          <w:sz w:val="28"/>
          <w:szCs w:val="28"/>
        </w:rPr>
        <w:t xml:space="preserve"> – 459 с.</w:t>
      </w:r>
    </w:p>
    <w:p w:rsidR="003E6DB1" w:rsidRPr="003E6DB1" w:rsidRDefault="003E6DB1" w:rsidP="003E6DB1">
      <w:pPr>
        <w:pStyle w:val="a4"/>
        <w:numPr>
          <w:ilvl w:val="0"/>
          <w:numId w:val="24"/>
        </w:numPr>
        <w:spacing w:line="360" w:lineRule="auto"/>
        <w:ind w:left="0" w:firstLine="709"/>
        <w:rPr>
          <w:rFonts w:ascii="Times New Roman" w:hAnsi="Times New Roman" w:cs="Times New Roman"/>
          <w:sz w:val="28"/>
          <w:szCs w:val="28"/>
        </w:rPr>
      </w:pPr>
      <w:r w:rsidRPr="003E6DB1">
        <w:rPr>
          <w:rFonts w:ascii="Times New Roman" w:hAnsi="Times New Roman" w:cs="Times New Roman"/>
          <w:sz w:val="28"/>
          <w:szCs w:val="28"/>
        </w:rPr>
        <w:t>Бабаев Ю. А. Теория бухгалтерского учета: учебник [Электронный ресурс]. - М., 2009.</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Балансоведение. Серия «Высшее образование». - Ростов н/Д.: Феникс, 2004. - 480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Банковское дело: розничный бизнес: учебное пособие / коллектив авторов; под ред. Г.Н. Белоглазовой и Л.П. Кроливецкой. – М.: КНОРУС, 2016. – 414 c.</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Банковское дело в 2 ч. Часть 1: учебник и практикум / В.А. Боровкова [и др.] ; под ред. В. А. Боровковой. - 4-е изд., перераб. и доп. - М. : Издательство Юрайт, 2016. - 390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Банковское дело в 2 ч. Часть 1: учебник / Е.Ф. Жуков [и др.]; под ред. Е.Ф. Жукову, Ю.А. Соколова. - М.: Издательство Юрайт, 2016. - 312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Банковский менеджмент: Учебник / Ю.Ю. Русанов, Л.А. Бадалов, В.В. Маганов, О.М. Русанова; Под ред. Ю.Ю. Русанова. - М.: Магистр: НИЦ ИНФРА-М, 2015. - 480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Банковский менеджмент учебник под ред. О.И. Лаврушина. – 4-е изд., перераб. И доп. – М. КНОРУС, 2015. – 554 с.</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Банк и банковские операции: учебник / коллектив авторов; под ред. О.И.</w:t>
      </w:r>
      <w:r>
        <w:rPr>
          <w:rFonts w:ascii="Times New Roman" w:hAnsi="Times New Roman" w:cs="Times New Roman"/>
          <w:sz w:val="28"/>
          <w:szCs w:val="28"/>
        </w:rPr>
        <w:t xml:space="preserve"> </w:t>
      </w:r>
      <w:r w:rsidRPr="00E26419">
        <w:rPr>
          <w:rFonts w:ascii="Times New Roman" w:hAnsi="Times New Roman" w:cs="Times New Roman"/>
          <w:sz w:val="28"/>
          <w:szCs w:val="28"/>
        </w:rPr>
        <w:t>Лаврушина. – М.: КНОРУС, 2015. – 272 с.</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Белолипецкий, В. Г. Финансы фирмы: курс лекций / В. Г. Белолипецкий; под ред. И. П. Мерзлякова. -М.: ИНФРА-М, 2010. - 298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Биджев К. С., Глотова И. И. Финансовое планирование и прогнозирование // Научно-методический электронный журнал «Концепт». – 2016. – Т. 11. – С. 4016–4020. – URL: http://e-koncept.ru/2016/86842.htm</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CE0618">
        <w:rPr>
          <w:rFonts w:ascii="Times New Roman" w:hAnsi="Times New Roman" w:cs="Times New Roman"/>
          <w:sz w:val="28"/>
          <w:szCs w:val="28"/>
        </w:rPr>
        <w:t>Брусов, П.Н. Финансовый менеджмент. Математические основы. Краткосрочная финансовая политика: Учебное пособие / П.Н. Брусов, Т.В. Филатова. - М.: КноРус, 2013. - 304 c.</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Внутрифирменное планирование: учебник и практикум / С.Н. Кукушкин [и др.]; под ред. С. Н. Кукушкина, В. Я. Позднякова, Е. С. Васильевой. – 3-е изд., перераб. и доп. – М.: Издательство Юрайт, 2017. – 322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Горемыкин В.А. Планирование на предприятии: учебник и практикум / В. А. Горемыкин. – 9-е изд., перераб. и доп. – М.: Издательство Юрайт, 2016. – 857 с.</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Горчаков Н.Н. Эффективность деятельности многопрофильного банка: некоторые вопросы и оценки // Интеграл. – 2013. – Т. 50. – №6. – С. 68-69.</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Деньги, кредит, банки и денежно-кредитная система: учебное пособие / коллектив авторов; под общ. ред. М.А.Абрамовой, Л.С. Александровой. – 2-е изд., стер. – М.: КНОРУС, 2016. – 312 с.</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Долан, Эдвин Дж; Кэмпбелл Колин Д. Деньги, банковское дело и денежно-кредитная политика / Долан, Эдвин Дж; Кэмпбелл, Колин Д., Кэмпбелл, Розмари Дж. - М.: ИЛ, 2014. - 448 c.</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Ефимова, Л. Г. Банковские сделки: право и практика / Л.Г. Ефимова. - М.: Наука, 2015. - 656 c.</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Загуменнов Н., Колесниченко Е., Радюкова Я. Повышение инвестиционной привлекательности промышленного предприятия на основе анализа бухгалтерской отчетности // РИСК: Ресурсы, информация, снабжение, конкуренция. 2016. № 3. С. 271-277.</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CE0618">
        <w:rPr>
          <w:rFonts w:ascii="Times New Roman" w:hAnsi="Times New Roman" w:cs="Times New Roman"/>
          <w:sz w:val="28"/>
          <w:szCs w:val="28"/>
        </w:rPr>
        <w:t>Когденко, В.Г. Краткосрочная и долгосрочная финансовая политика: Учебное пособие / В.Г. Когденко, М.В. Мельник, Быковников . - М.: ЮНИТИ, 2012. - 471 c.</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Колесников, В.И. Банковское дело / В.И. Колесников, Л.П. Кроливецкая, и др.. - М.: Машиностроение, 2012. - 480 c.</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Коршунова Л. Н., Проданова Н. А. Оценка и анализ рисков. Ростов-на-Дону: Феникс, 2017. С. 24-40.</w:t>
      </w:r>
    </w:p>
    <w:p w:rsidR="003E6DB1" w:rsidRPr="003E6DB1" w:rsidRDefault="003E6DB1" w:rsidP="003E6DB1">
      <w:pPr>
        <w:pStyle w:val="a4"/>
        <w:numPr>
          <w:ilvl w:val="0"/>
          <w:numId w:val="24"/>
        </w:numPr>
        <w:spacing w:line="360" w:lineRule="auto"/>
        <w:ind w:left="0" w:firstLine="709"/>
        <w:rPr>
          <w:rFonts w:ascii="Times New Roman" w:hAnsi="Times New Roman" w:cs="Times New Roman"/>
          <w:sz w:val="28"/>
          <w:szCs w:val="28"/>
        </w:rPr>
      </w:pPr>
      <w:r w:rsidRPr="003E6DB1">
        <w:rPr>
          <w:rFonts w:ascii="Times New Roman" w:hAnsi="Times New Roman" w:cs="Times New Roman"/>
          <w:sz w:val="28"/>
          <w:szCs w:val="28"/>
        </w:rPr>
        <w:t xml:space="preserve">Кондраков Н. П. Бухгалтерский учет: учеб. пособие. - 5-е изд., перераб. и доп. [Электронный ресурс]. - М.: ИНФРА-М, 2013. – 309 с. </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Костерина Т.М. Банковское дело: учебник / Т.М. Костерина. - 3-е изд., перераб. И доп. - М.: Издательство Юрайт, 2016. - 332 с.</w:t>
      </w:r>
    </w:p>
    <w:p w:rsidR="003E6DB1"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Кузнецова, Е. И. Финансы. Денежное обращение. Кредит [Электронный ресурс] : учеб. пособие для студентов вузов / Е. И. К</w:t>
      </w:r>
      <w:r>
        <w:rPr>
          <w:rFonts w:ascii="Times New Roman" w:hAnsi="Times New Roman" w:cs="Times New Roman"/>
          <w:sz w:val="28"/>
          <w:szCs w:val="28"/>
        </w:rPr>
        <w:t>узнецова. - М.: ЮНИТИ-ДАНА, 2013</w:t>
      </w:r>
      <w:r w:rsidRPr="00A415FC">
        <w:rPr>
          <w:rFonts w:ascii="Times New Roman" w:hAnsi="Times New Roman" w:cs="Times New Roman"/>
          <w:sz w:val="28"/>
          <w:szCs w:val="28"/>
        </w:rPr>
        <w:t>. - 687 с.</w:t>
      </w:r>
    </w:p>
    <w:p w:rsidR="003E6DB1" w:rsidRP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Леонтьев, В. В. Межотраслевая экономика / В. В. Леонтьев; пер. с англ ; предисл. и науч. ред. А. Г. Гран-берг. - М.: Экономика, 2009. - 479 с.</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Лукасевич И.Я. Финансовый менеджмент в 2 ч. Часть 1: учебник и практикум / И. Я. Лукасевич. - 4-е изд., перераб. и доп. - М.: Издательство Юрайт, 2017. - 355 с.</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Лыгин Н.З. Сравнительная оценка методики определения стоимости финансовых  ресурсов предприятия / Н.З. Лыгин// Экономический анализ: теория и практика. – 2015. - №11. - С.5-9</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Люблинский Я. Г. Анализ затрат на создание, производство и эксплуатацию изделий [Электронный ресурс]. - М.: «Финансы и статистика», 2010.</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Моримото, Т. Большая банковская война: (Система финансирования в Японии трещит по швам) / Т. Моримото. - М.: Наука, 2015. - 270 c.</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Никитина Е.Б. Резервы прибыли банков // Вестник Пермского университета. Серия: Экономика. – 2014. – №4 (19). – С. 125-130.</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 xml:space="preserve">Насырова А. П. Депозитная политика коммерческого банка // Молодой ученый. — 2014. — №2. — </w:t>
      </w:r>
      <w:r>
        <w:rPr>
          <w:rFonts w:ascii="Times New Roman" w:hAnsi="Times New Roman" w:cs="Times New Roman"/>
          <w:sz w:val="28"/>
          <w:szCs w:val="28"/>
        </w:rPr>
        <w:t xml:space="preserve">274 с. </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Омаров О.М., Исаева Ш.М. Анализ финансовых показателей как путь повышения эффективности управления банком // Научное обозрение. Серия 1: Экономика и право. – 2013. – №3-4. – С. 103-107.</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Османова Х.О. Финансовый менеджмент в системе управления коммерческими банками // Наука и современность. – 2014. – №24. – С. 280-283.</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Островская, О.М. Банковское дело. Толковый словарь / О.М. Островская.</w:t>
      </w:r>
      <w:r>
        <w:rPr>
          <w:rFonts w:ascii="Times New Roman" w:hAnsi="Times New Roman" w:cs="Times New Roman"/>
          <w:sz w:val="28"/>
          <w:szCs w:val="28"/>
        </w:rPr>
        <w:t xml:space="preserve"> - М.: Высшая школа, 2013. - 430</w:t>
      </w:r>
      <w:r w:rsidRPr="00A415FC">
        <w:rPr>
          <w:rFonts w:ascii="Times New Roman" w:hAnsi="Times New Roman" w:cs="Times New Roman"/>
          <w:sz w:val="28"/>
          <w:szCs w:val="28"/>
        </w:rPr>
        <w:t xml:space="preserve"> c.</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 xml:space="preserve">Р. Пашков. Депозитная политика банка. Ю. Юденков. Журнал "Бухгалтерия и банки", N 4, апрель 2016 г., </w:t>
      </w:r>
      <w:r>
        <w:rPr>
          <w:rFonts w:ascii="Times New Roman" w:hAnsi="Times New Roman" w:cs="Times New Roman"/>
          <w:sz w:val="28"/>
          <w:szCs w:val="28"/>
        </w:rPr>
        <w:t xml:space="preserve">- 378 с. </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Печникова, А. В. Банковские операции / А.В. Печникова, О.М. Маркова, Е.Б. Стародубцева. - Москва: Форум, Инфра-М, 2013</w:t>
      </w:r>
      <w:r>
        <w:rPr>
          <w:rFonts w:ascii="Times New Roman" w:hAnsi="Times New Roman" w:cs="Times New Roman"/>
          <w:sz w:val="28"/>
          <w:szCs w:val="28"/>
        </w:rPr>
        <w:t>. - 36</w:t>
      </w:r>
      <w:r w:rsidRPr="00A415FC">
        <w:rPr>
          <w:rFonts w:ascii="Times New Roman" w:hAnsi="Times New Roman" w:cs="Times New Roman"/>
          <w:sz w:val="28"/>
          <w:szCs w:val="28"/>
        </w:rPr>
        <w:t>2 c.</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CE0618">
        <w:rPr>
          <w:rFonts w:ascii="Times New Roman" w:hAnsi="Times New Roman" w:cs="Times New Roman"/>
          <w:sz w:val="28"/>
          <w:szCs w:val="28"/>
        </w:rPr>
        <w:t>Плахова, Л.В. Финансовый менеджмент. Математические основы. Краткосрочная финансовая политика (для бакалавров) / Л.В. Плахова, Т.М. Анурина. - М.: КноРус, 2013. - 304 c.</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Сафрончук, М.В. Банковское дело. Розничный бизнес: Учебное пособие / М.В. Сафрончук. - М.: КноРус, 2013. - 416 c.</w:t>
      </w:r>
    </w:p>
    <w:p w:rsidR="00E26419" w:rsidRP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Семибратова, О.И. Банковское дело: Учеб. для учащихся нач. проф. образования / О.И. Семибратова. - М.: ИЦ Академия, 2012. - 224 c.</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Стародубцева, Е.Б. Банковское дело: Учебник для бакалавров / Е.Ф. Жуков, Ю.А. Соколов, Е.Б. Стародубцева; Под ред. Е.Ф. Жукова. - М.: Юрайт, 2012. - 591 c.</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2840D9">
        <w:rPr>
          <w:rFonts w:ascii="Times New Roman" w:hAnsi="Times New Roman" w:cs="Times New Roman"/>
          <w:sz w:val="28"/>
          <w:szCs w:val="28"/>
        </w:rPr>
        <w:t>С. В. Сплошнов, Н. Л. Давыдова. Банковский розничный бизнес. / Сплошнов С.В., Давыдова Н. Л., 2012.  УП «Издательство “Вышэйшая школа”», 2012.- 258 с.</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E26419">
        <w:rPr>
          <w:rFonts w:ascii="Times New Roman" w:hAnsi="Times New Roman" w:cs="Times New Roman"/>
          <w:sz w:val="28"/>
          <w:szCs w:val="28"/>
        </w:rPr>
        <w:t>Тавасиев А.М. Банковское дело в 2 ч. Часть 1. Общие вопросы банковской деятельности: учебник / А.М. Тавасиев. - 2-е изд., перераб. и доп. - М.: Издательство Юрайт, 2017. - 186 с.</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Тосунян, Г. А. Банковское и смежное законодательство Российской Федерации / Г.А. Тосунян, А.Ю. Викулин. - Москва: Дело, 2012. - 368 c.</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CE0618">
        <w:rPr>
          <w:rFonts w:ascii="Times New Roman" w:hAnsi="Times New Roman" w:cs="Times New Roman"/>
          <w:sz w:val="28"/>
          <w:szCs w:val="28"/>
        </w:rPr>
        <w:t>Тесля, П.Н. Денежно-кредитная и финансовая политика государства: Учебное пособие / П.Н. Тесля. - М.: НИЦ ИНФРА-М, 2013. - 174 c.</w:t>
      </w:r>
    </w:p>
    <w:p w:rsidR="003E6DB1" w:rsidRDefault="003E6DB1" w:rsidP="003E6DB1">
      <w:pPr>
        <w:pStyle w:val="a4"/>
        <w:numPr>
          <w:ilvl w:val="0"/>
          <w:numId w:val="24"/>
        </w:numPr>
        <w:spacing w:after="0" w:line="360" w:lineRule="auto"/>
        <w:ind w:left="0" w:firstLine="709"/>
        <w:jc w:val="both"/>
        <w:rPr>
          <w:rFonts w:ascii="Times New Roman" w:hAnsi="Times New Roman" w:cs="Times New Roman"/>
          <w:sz w:val="28"/>
          <w:szCs w:val="28"/>
        </w:rPr>
      </w:pPr>
      <w:r w:rsidRPr="003E6DB1">
        <w:rPr>
          <w:rFonts w:ascii="Times New Roman" w:hAnsi="Times New Roman" w:cs="Times New Roman"/>
          <w:sz w:val="28"/>
          <w:szCs w:val="28"/>
        </w:rPr>
        <w:t>Трошин В. А. Проблематика оценки финансовой устойчивости коммерческого банка // Молодой ученый. 2014. № 10. С. 263-266.</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Челноков, В. А. Банки и банковские операции / В.А. Челноков. - Москва: Высшая школа, 2014. - 292 c.</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2840D9">
        <w:rPr>
          <w:rFonts w:ascii="Times New Roman" w:hAnsi="Times New Roman" w:cs="Times New Roman"/>
          <w:sz w:val="28"/>
          <w:szCs w:val="28"/>
        </w:rPr>
        <w:t>Чижик В.П. Финансовые рынки и институты: Учебное пособие / Чижик В.П. - М.: Форум, НИЦ ИНФРА-М, 2016. – 298 с.</w:t>
      </w:r>
    </w:p>
    <w:p w:rsidR="00E26419" w:rsidRPr="00A415FC"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Эриашвили, Н. Д. Банковское право / Н.Д. Эриашвили. - Москва: Юнити-Дана, Закон и право, 2013. - 544 c.</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sidRPr="00A415FC">
        <w:rPr>
          <w:rFonts w:ascii="Times New Roman" w:hAnsi="Times New Roman" w:cs="Times New Roman"/>
          <w:sz w:val="28"/>
          <w:szCs w:val="28"/>
        </w:rPr>
        <w:t>Ярочкин, В. И. Безопасность банковских систем / В.И. Ярочкин. - М.: Ось-89, 2015. - 416 c.</w:t>
      </w:r>
    </w:p>
    <w:p w:rsidR="00E26419" w:rsidRPr="00E26419" w:rsidRDefault="00E26419" w:rsidP="003E6DB1">
      <w:pPr>
        <w:spacing w:after="0" w:line="360" w:lineRule="auto"/>
        <w:ind w:firstLine="709"/>
        <w:contextualSpacing/>
        <w:jc w:val="both"/>
        <w:rPr>
          <w:rFonts w:ascii="Times New Roman" w:hAnsi="Times New Roman" w:cs="Times New Roman"/>
          <w:sz w:val="28"/>
          <w:szCs w:val="28"/>
        </w:rPr>
      </w:pPr>
      <w:r w:rsidRPr="00E26419">
        <w:rPr>
          <w:rFonts w:ascii="Times New Roman" w:hAnsi="Times New Roman" w:cs="Times New Roman"/>
          <w:sz w:val="28"/>
          <w:szCs w:val="28"/>
        </w:rPr>
        <w:t xml:space="preserve"> Сбербанк России [Электронный ресурс] // Офиц</w:t>
      </w:r>
      <w:r>
        <w:rPr>
          <w:rFonts w:ascii="Times New Roman" w:hAnsi="Times New Roman" w:cs="Times New Roman"/>
          <w:sz w:val="28"/>
          <w:szCs w:val="28"/>
        </w:rPr>
        <w:t xml:space="preserve">иальный сайт – Электрон. дан. – </w:t>
      </w:r>
      <w:r w:rsidRPr="00E26419">
        <w:rPr>
          <w:rFonts w:ascii="Times New Roman" w:hAnsi="Times New Roman" w:cs="Times New Roman"/>
          <w:sz w:val="28"/>
          <w:szCs w:val="28"/>
        </w:rPr>
        <w:t>Москва, 1997-2016 – URL: http://www.sberbank.ru/ru (дата обращения: 29.01.2017)</w:t>
      </w:r>
    </w:p>
    <w:p w:rsidR="00E26419" w:rsidRDefault="00E26419" w:rsidP="003E6DB1">
      <w:pPr>
        <w:pStyle w:val="a4"/>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Годовой отчет ПАО «Сбербанк»  за 2016 год.</w:t>
      </w:r>
    </w:p>
    <w:p w:rsidR="00275550" w:rsidRDefault="00275550" w:rsidP="00E26419">
      <w:pPr>
        <w:spacing w:before="180" w:after="180" w:line="240" w:lineRule="auto"/>
        <w:jc w:val="both"/>
        <w:rPr>
          <w:rFonts w:ascii="Times New Roman" w:eastAsia="Times New Roman" w:hAnsi="Times New Roman" w:cs="Times New Roman"/>
          <w:sz w:val="31"/>
          <w:szCs w:val="31"/>
          <w:lang w:eastAsia="ru-RU"/>
        </w:rPr>
      </w:pPr>
    </w:p>
    <w:p w:rsidR="00A036CD" w:rsidRPr="00A036CD" w:rsidRDefault="00A036CD" w:rsidP="00A036CD">
      <w:pPr>
        <w:spacing w:after="0" w:line="360" w:lineRule="auto"/>
        <w:ind w:firstLine="709"/>
        <w:jc w:val="both"/>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780AC5" w:rsidRPr="00780AC5" w:rsidRDefault="00780AC5" w:rsidP="00780AC5">
      <w:pPr>
        <w:rPr>
          <w:rFonts w:ascii="Times New Roman" w:hAnsi="Times New Roman" w:cs="Times New Roman"/>
          <w:sz w:val="28"/>
          <w:szCs w:val="28"/>
        </w:rPr>
      </w:pPr>
    </w:p>
    <w:p w:rsidR="00780AC5" w:rsidRPr="00780AC5" w:rsidRDefault="00780AC5" w:rsidP="00780AC5">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Default="008130EA" w:rsidP="008130EA">
      <w:pPr>
        <w:rPr>
          <w:rFonts w:ascii="Times New Roman" w:hAnsi="Times New Roman" w:cs="Times New Roman"/>
          <w:sz w:val="28"/>
          <w:szCs w:val="28"/>
        </w:rPr>
      </w:pPr>
      <w:r w:rsidRPr="008130EA">
        <w:rPr>
          <w:rFonts w:ascii="Times New Roman" w:hAnsi="Times New Roman" w:cs="Times New Roman"/>
          <w:sz w:val="28"/>
          <w:szCs w:val="28"/>
        </w:rPr>
        <w:tab/>
      </w: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Pr="00937B0C" w:rsidRDefault="00937B0C" w:rsidP="00937B0C">
      <w:pPr>
        <w:jc w:val="right"/>
        <w:rPr>
          <w:rFonts w:ascii="Times New Roman" w:hAnsi="Times New Roman" w:cs="Times New Roman"/>
          <w:b/>
          <w:sz w:val="28"/>
          <w:szCs w:val="28"/>
        </w:rPr>
      </w:pPr>
      <w:r w:rsidRPr="00937B0C">
        <w:rPr>
          <w:rFonts w:ascii="Times New Roman" w:hAnsi="Times New Roman" w:cs="Times New Roman"/>
          <w:b/>
          <w:sz w:val="28"/>
          <w:szCs w:val="28"/>
        </w:rPr>
        <w:t>ПРИЛОЖЕНИЕ 1</w:t>
      </w:r>
    </w:p>
    <w:p w:rsidR="00937B0C" w:rsidRDefault="00937B0C" w:rsidP="00937B0C">
      <w:pPr>
        <w:jc w:val="center"/>
        <w:rPr>
          <w:rFonts w:ascii="Times New Roman" w:hAnsi="Times New Roman" w:cs="Times New Roman"/>
          <w:b/>
          <w:sz w:val="28"/>
          <w:szCs w:val="28"/>
        </w:rPr>
      </w:pPr>
      <w:r w:rsidRPr="00937B0C">
        <w:rPr>
          <w:rFonts w:ascii="Times New Roman" w:hAnsi="Times New Roman" w:cs="Times New Roman"/>
          <w:b/>
          <w:sz w:val="28"/>
          <w:szCs w:val="28"/>
        </w:rPr>
        <w:t xml:space="preserve">БУХГАЛТЕРСКИЙ БАЛАНС ПАО «СБЕРБАНК» </w:t>
      </w:r>
    </w:p>
    <w:p w:rsidR="00937B0C" w:rsidRPr="00937B0C" w:rsidRDefault="00937B0C" w:rsidP="00937B0C">
      <w:pPr>
        <w:jc w:val="center"/>
        <w:rPr>
          <w:rFonts w:ascii="Times New Roman" w:hAnsi="Times New Roman" w:cs="Times New Roman"/>
          <w:b/>
          <w:sz w:val="28"/>
          <w:szCs w:val="28"/>
        </w:rPr>
      </w:pPr>
      <w:r w:rsidRPr="00937B0C">
        <w:rPr>
          <w:rFonts w:ascii="Times New Roman" w:hAnsi="Times New Roman" w:cs="Times New Roman"/>
          <w:b/>
          <w:sz w:val="28"/>
          <w:szCs w:val="28"/>
        </w:rPr>
        <w:t>НА 1 ЯНВАРЯ 2017 ГОДА</w:t>
      </w:r>
    </w:p>
    <w:p w:rsidR="00937B0C" w:rsidRDefault="00937B0C" w:rsidP="00937B0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005768"/>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005768"/>
                    </a:xfrm>
                    <a:prstGeom prst="rect">
                      <a:avLst/>
                    </a:prstGeom>
                    <a:noFill/>
                    <a:ln>
                      <a:noFill/>
                    </a:ln>
                  </pic:spPr>
                </pic:pic>
              </a:graphicData>
            </a:graphic>
          </wp:inline>
        </w:drawing>
      </w: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937B0C" w:rsidRDefault="00937B0C" w:rsidP="00937B0C">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1</w:t>
      </w:r>
    </w:p>
    <w:p w:rsidR="006D5983" w:rsidRDefault="00937B0C" w:rsidP="008130E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68349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683497"/>
                    </a:xfrm>
                    <a:prstGeom prst="rect">
                      <a:avLst/>
                    </a:prstGeom>
                    <a:noFill/>
                    <a:ln>
                      <a:noFill/>
                    </a:ln>
                  </pic:spPr>
                </pic:pic>
              </a:graphicData>
            </a:graphic>
          </wp:inline>
        </w:drawing>
      </w: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6D5983" w:rsidRDefault="006D5983"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37B0C" w:rsidRPr="00937B0C" w:rsidRDefault="00937B0C" w:rsidP="00937B0C">
      <w:pPr>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937B0C" w:rsidRDefault="00937B0C" w:rsidP="00937B0C">
      <w:pPr>
        <w:jc w:val="center"/>
        <w:rPr>
          <w:rFonts w:ascii="Times New Roman" w:hAnsi="Times New Roman" w:cs="Times New Roman"/>
          <w:b/>
          <w:sz w:val="28"/>
          <w:szCs w:val="28"/>
        </w:rPr>
      </w:pPr>
      <w:r>
        <w:rPr>
          <w:rFonts w:ascii="Times New Roman" w:hAnsi="Times New Roman" w:cs="Times New Roman"/>
          <w:b/>
          <w:sz w:val="28"/>
          <w:szCs w:val="28"/>
        </w:rPr>
        <w:t>ОТЧЕТ О ФИНАНСОВЫХ РЕЗУЛЬТАТАХ</w:t>
      </w:r>
      <w:r w:rsidRPr="00937B0C">
        <w:rPr>
          <w:rFonts w:ascii="Times New Roman" w:hAnsi="Times New Roman" w:cs="Times New Roman"/>
          <w:b/>
          <w:sz w:val="28"/>
          <w:szCs w:val="28"/>
        </w:rPr>
        <w:t xml:space="preserve"> ПАО «СБЕРБАНК»</w:t>
      </w:r>
    </w:p>
    <w:p w:rsidR="00937B0C" w:rsidRDefault="00937B0C" w:rsidP="00937B0C">
      <w:pPr>
        <w:jc w:val="center"/>
        <w:rPr>
          <w:rFonts w:ascii="Times New Roman" w:hAnsi="Times New Roman" w:cs="Times New Roman"/>
          <w:b/>
          <w:sz w:val="28"/>
          <w:szCs w:val="28"/>
        </w:rPr>
      </w:pPr>
      <w:r>
        <w:rPr>
          <w:rFonts w:ascii="Times New Roman" w:hAnsi="Times New Roman" w:cs="Times New Roman"/>
          <w:b/>
          <w:sz w:val="28"/>
          <w:szCs w:val="28"/>
        </w:rPr>
        <w:t xml:space="preserve"> ЗА </w:t>
      </w:r>
      <w:r w:rsidRPr="00937B0C">
        <w:rPr>
          <w:rFonts w:ascii="Times New Roman" w:hAnsi="Times New Roman" w:cs="Times New Roman"/>
          <w:b/>
          <w:sz w:val="28"/>
          <w:szCs w:val="28"/>
        </w:rPr>
        <w:t>201</w:t>
      </w:r>
      <w:r>
        <w:rPr>
          <w:rFonts w:ascii="Times New Roman" w:hAnsi="Times New Roman" w:cs="Times New Roman"/>
          <w:b/>
          <w:sz w:val="28"/>
          <w:szCs w:val="28"/>
        </w:rPr>
        <w:t>6 ГОД</w:t>
      </w:r>
    </w:p>
    <w:p w:rsidR="00937B0C" w:rsidRDefault="00937B0C" w:rsidP="00937B0C">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283765" cy="6709356"/>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961" cy="6712795"/>
                    </a:xfrm>
                    <a:prstGeom prst="rect">
                      <a:avLst/>
                    </a:prstGeom>
                    <a:noFill/>
                    <a:ln>
                      <a:noFill/>
                    </a:ln>
                  </pic:spPr>
                </pic:pic>
              </a:graphicData>
            </a:graphic>
          </wp:inline>
        </w:drawing>
      </w:r>
    </w:p>
    <w:p w:rsidR="00937B0C" w:rsidRDefault="00937B0C" w:rsidP="00937B0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4850" cy="5217795"/>
            <wp:effectExtent l="0" t="0" r="635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850" cy="5217795"/>
                    </a:xfrm>
                    <a:prstGeom prst="rect">
                      <a:avLst/>
                    </a:prstGeom>
                    <a:noFill/>
                    <a:ln>
                      <a:noFill/>
                    </a:ln>
                  </pic:spPr>
                </pic:pic>
              </a:graphicData>
            </a:graphic>
          </wp:inline>
        </w:drawing>
      </w:r>
    </w:p>
    <w:p w:rsidR="00937B0C" w:rsidRDefault="00937B0C"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37B0C" w:rsidRDefault="00937B0C" w:rsidP="008130EA">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Default="009D16B8">
      <w:pPr>
        <w:rPr>
          <w:rFonts w:ascii="Times New Roman" w:hAnsi="Times New Roman" w:cs="Times New Roman"/>
          <w:sz w:val="28"/>
          <w:szCs w:val="28"/>
        </w:rPr>
      </w:pPr>
    </w:p>
    <w:p w:rsidR="009D16B8" w:rsidRPr="009D16B8" w:rsidRDefault="009D16B8">
      <w:pPr>
        <w:rPr>
          <w:rFonts w:ascii="Times New Roman" w:hAnsi="Times New Roman" w:cs="Times New Roman"/>
          <w:sz w:val="28"/>
          <w:szCs w:val="28"/>
        </w:rPr>
      </w:pPr>
    </w:p>
    <w:sectPr w:rsidR="009D16B8" w:rsidRPr="009D16B8" w:rsidSect="00FC52F1">
      <w:headerReference w:type="default" r:id="rId21"/>
      <w:footerReference w:type="default" r:id="rId22"/>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F80" w:rsidRDefault="00D11F80" w:rsidP="00FC52F1">
      <w:pPr>
        <w:spacing w:after="0" w:line="240" w:lineRule="auto"/>
      </w:pPr>
      <w:r>
        <w:separator/>
      </w:r>
    </w:p>
  </w:endnote>
  <w:endnote w:type="continuationSeparator" w:id="0">
    <w:p w:rsidR="00D11F80" w:rsidRDefault="00D11F80" w:rsidP="00FC52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427958"/>
      <w:docPartObj>
        <w:docPartGallery w:val="Page Numbers (Bottom of Page)"/>
        <w:docPartUnique/>
      </w:docPartObj>
    </w:sdtPr>
    <w:sdtContent>
      <w:p w:rsidR="004F38ED" w:rsidRDefault="00E77821">
        <w:pPr>
          <w:pStyle w:val="a9"/>
          <w:jc w:val="center"/>
        </w:pPr>
        <w:r>
          <w:fldChar w:fldCharType="begin"/>
        </w:r>
        <w:r w:rsidR="004F38ED">
          <w:instrText>PAGE   \* MERGEFORMAT</w:instrText>
        </w:r>
        <w:r>
          <w:fldChar w:fldCharType="separate"/>
        </w:r>
        <w:r w:rsidR="001542A3">
          <w:rPr>
            <w:noProof/>
          </w:rPr>
          <w:t>59</w:t>
        </w:r>
        <w:r>
          <w:fldChar w:fldCharType="end"/>
        </w:r>
      </w:p>
    </w:sdtContent>
  </w:sdt>
  <w:p w:rsidR="004F38ED" w:rsidRDefault="004F38E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F80" w:rsidRDefault="00D11F80" w:rsidP="00FC52F1">
      <w:pPr>
        <w:spacing w:after="0" w:line="240" w:lineRule="auto"/>
      </w:pPr>
      <w:r>
        <w:separator/>
      </w:r>
    </w:p>
  </w:footnote>
  <w:footnote w:type="continuationSeparator" w:id="0">
    <w:p w:rsidR="00D11F80" w:rsidRDefault="00D11F80" w:rsidP="00FC52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2A3" w:rsidRDefault="001542A3" w:rsidP="001542A3">
    <w:pPr>
      <w:pStyle w:val="a7"/>
      <w:jc w:val="center"/>
      <w:rPr>
        <w:b/>
        <w:color w:val="FF0000"/>
        <w:sz w:val="32"/>
        <w:szCs w:val="32"/>
      </w:rPr>
    </w:pPr>
    <w:bookmarkStart w:id="2" w:name="OLE_LINK1"/>
    <w:bookmarkStart w:id="3" w:name="OLE_LINK2"/>
    <w:bookmarkStart w:id="4" w:name="_Hlk3275812"/>
    <w:bookmarkStart w:id="5" w:name="OLE_LINK3"/>
    <w:bookmarkStart w:id="6" w:name="OLE_LINK4"/>
    <w:bookmarkStart w:id="7" w:name="_Hlk3275814"/>
    <w:bookmarkStart w:id="8" w:name="OLE_LINK5"/>
    <w:bookmarkStart w:id="9" w:name="OLE_LINK6"/>
    <w:bookmarkStart w:id="10" w:name="_Hlk3275827"/>
    <w:bookmarkStart w:id="11" w:name="OLE_LINK7"/>
    <w:bookmarkStart w:id="12" w:name="OLE_LINK8"/>
    <w:bookmarkStart w:id="13" w:name="_Hlk3275839"/>
    <w:bookmarkStart w:id="14" w:name="OLE_LINK9"/>
    <w:bookmarkStart w:id="15" w:name="OLE_LINK10"/>
    <w:bookmarkStart w:id="16" w:name="_Hlk3275855"/>
    <w:bookmarkStart w:id="17" w:name="OLE_LINK11"/>
    <w:bookmarkStart w:id="18" w:name="OLE_LINK12"/>
    <w:bookmarkStart w:id="19" w:name="_Hlk3275872"/>
    <w:bookmarkStart w:id="20" w:name="OLE_LINK13"/>
    <w:bookmarkStart w:id="21" w:name="OLE_LINK14"/>
    <w:bookmarkStart w:id="22" w:name="OLE_LINK15"/>
    <w:r>
      <w:rPr>
        <w:b/>
        <w:color w:val="FF0000"/>
        <w:sz w:val="32"/>
        <w:szCs w:val="32"/>
      </w:rPr>
      <w:t xml:space="preserve">Работа выполнена авторами сайта </w:t>
    </w:r>
    <w:hyperlink r:id="rId1" w:history="1">
      <w:r>
        <w:rPr>
          <w:rStyle w:val="ab"/>
          <w:b/>
          <w:color w:val="FF0000"/>
          <w:sz w:val="32"/>
          <w:szCs w:val="32"/>
        </w:rPr>
        <w:t>ДЦО.РФ</w:t>
      </w:r>
    </w:hyperlink>
  </w:p>
  <w:p w:rsidR="001542A3" w:rsidRDefault="001542A3" w:rsidP="001542A3">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1542A3" w:rsidRDefault="001542A3" w:rsidP="001542A3">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1542A3" w:rsidRDefault="001542A3" w:rsidP="001542A3">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b"/>
          <w:rFonts w:ascii="Helvetica" w:hAnsi="Helvetica"/>
          <w:bCs/>
          <w:color w:val="FF0000"/>
          <w:sz w:val="32"/>
          <w:szCs w:val="32"/>
        </w:rPr>
        <w:t>INFO@ДЦО.РФ</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1542A3" w:rsidRDefault="001542A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31"/>
        <w:szCs w:val="31"/>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695317D"/>
    <w:multiLevelType w:val="hybridMultilevel"/>
    <w:tmpl w:val="AB3218E2"/>
    <w:lvl w:ilvl="0" w:tplc="F43C2DAA">
      <w:start w:val="6"/>
      <w:numFmt w:val="bullet"/>
      <w:lvlText w:val=""/>
      <w:lvlJc w:val="left"/>
      <w:pPr>
        <w:tabs>
          <w:tab w:val="num" w:pos="720"/>
        </w:tabs>
        <w:ind w:left="720" w:hanging="360"/>
      </w:pPr>
      <w:rPr>
        <w:rFonts w:ascii="Symbol" w:hAnsi="Symbol" w:hint="default"/>
        <w:sz w:val="20"/>
      </w:rPr>
    </w:lvl>
    <w:lvl w:ilvl="1" w:tplc="5A0E65AE" w:tentative="1">
      <w:start w:val="1"/>
      <w:numFmt w:val="decimal"/>
      <w:lvlText w:val="%2."/>
      <w:lvlJc w:val="left"/>
      <w:pPr>
        <w:tabs>
          <w:tab w:val="num" w:pos="1440"/>
        </w:tabs>
        <w:ind w:left="1440" w:hanging="360"/>
      </w:pPr>
    </w:lvl>
    <w:lvl w:ilvl="2" w:tplc="4D622316" w:tentative="1">
      <w:start w:val="1"/>
      <w:numFmt w:val="decimal"/>
      <w:lvlText w:val="%3."/>
      <w:lvlJc w:val="left"/>
      <w:pPr>
        <w:tabs>
          <w:tab w:val="num" w:pos="2160"/>
        </w:tabs>
        <w:ind w:left="2160" w:hanging="360"/>
      </w:pPr>
    </w:lvl>
    <w:lvl w:ilvl="3" w:tplc="515CAA46" w:tentative="1">
      <w:start w:val="1"/>
      <w:numFmt w:val="decimal"/>
      <w:lvlText w:val="%4."/>
      <w:lvlJc w:val="left"/>
      <w:pPr>
        <w:tabs>
          <w:tab w:val="num" w:pos="2880"/>
        </w:tabs>
        <w:ind w:left="2880" w:hanging="360"/>
      </w:pPr>
    </w:lvl>
    <w:lvl w:ilvl="4" w:tplc="B18A873A" w:tentative="1">
      <w:start w:val="1"/>
      <w:numFmt w:val="decimal"/>
      <w:lvlText w:val="%5."/>
      <w:lvlJc w:val="left"/>
      <w:pPr>
        <w:tabs>
          <w:tab w:val="num" w:pos="3600"/>
        </w:tabs>
        <w:ind w:left="3600" w:hanging="360"/>
      </w:pPr>
    </w:lvl>
    <w:lvl w:ilvl="5" w:tplc="1D0231B4" w:tentative="1">
      <w:start w:val="1"/>
      <w:numFmt w:val="decimal"/>
      <w:lvlText w:val="%6."/>
      <w:lvlJc w:val="left"/>
      <w:pPr>
        <w:tabs>
          <w:tab w:val="num" w:pos="4320"/>
        </w:tabs>
        <w:ind w:left="4320" w:hanging="360"/>
      </w:pPr>
    </w:lvl>
    <w:lvl w:ilvl="6" w:tplc="5310F5EE" w:tentative="1">
      <w:start w:val="1"/>
      <w:numFmt w:val="decimal"/>
      <w:lvlText w:val="%7."/>
      <w:lvlJc w:val="left"/>
      <w:pPr>
        <w:tabs>
          <w:tab w:val="num" w:pos="5040"/>
        </w:tabs>
        <w:ind w:left="5040" w:hanging="360"/>
      </w:pPr>
    </w:lvl>
    <w:lvl w:ilvl="7" w:tplc="51A6BA68" w:tentative="1">
      <w:start w:val="1"/>
      <w:numFmt w:val="decimal"/>
      <w:lvlText w:val="%8."/>
      <w:lvlJc w:val="left"/>
      <w:pPr>
        <w:tabs>
          <w:tab w:val="num" w:pos="5760"/>
        </w:tabs>
        <w:ind w:left="5760" w:hanging="360"/>
      </w:pPr>
    </w:lvl>
    <w:lvl w:ilvl="8" w:tplc="AC360A72" w:tentative="1">
      <w:start w:val="1"/>
      <w:numFmt w:val="decimal"/>
      <w:lvlText w:val="%9."/>
      <w:lvlJc w:val="left"/>
      <w:pPr>
        <w:tabs>
          <w:tab w:val="num" w:pos="6480"/>
        </w:tabs>
        <w:ind w:left="6480" w:hanging="360"/>
      </w:pPr>
    </w:lvl>
  </w:abstractNum>
  <w:abstractNum w:abstractNumId="2">
    <w:nsid w:val="10D4415A"/>
    <w:multiLevelType w:val="multilevel"/>
    <w:tmpl w:val="A0E4B79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1AA90211"/>
    <w:multiLevelType w:val="multilevel"/>
    <w:tmpl w:val="E560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D1488"/>
    <w:multiLevelType w:val="multilevel"/>
    <w:tmpl w:val="C1486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C327D2"/>
    <w:multiLevelType w:val="hybridMultilevel"/>
    <w:tmpl w:val="99BAED76"/>
    <w:lvl w:ilvl="0" w:tplc="66485006">
      <w:start w:val="2"/>
      <w:numFmt w:val="bullet"/>
      <w:lvlText w:val=""/>
      <w:lvlJc w:val="left"/>
      <w:pPr>
        <w:tabs>
          <w:tab w:val="num" w:pos="720"/>
        </w:tabs>
        <w:ind w:left="720" w:hanging="360"/>
      </w:pPr>
      <w:rPr>
        <w:rFonts w:ascii="Symbol" w:hAnsi="Symbol" w:hint="default"/>
        <w:sz w:val="20"/>
      </w:rPr>
    </w:lvl>
    <w:lvl w:ilvl="1" w:tplc="70E0E232" w:tentative="1">
      <w:start w:val="1"/>
      <w:numFmt w:val="decimal"/>
      <w:lvlText w:val="%2."/>
      <w:lvlJc w:val="left"/>
      <w:pPr>
        <w:tabs>
          <w:tab w:val="num" w:pos="1440"/>
        </w:tabs>
        <w:ind w:left="1440" w:hanging="360"/>
      </w:pPr>
    </w:lvl>
    <w:lvl w:ilvl="2" w:tplc="35B258B4" w:tentative="1">
      <w:start w:val="1"/>
      <w:numFmt w:val="decimal"/>
      <w:lvlText w:val="%3."/>
      <w:lvlJc w:val="left"/>
      <w:pPr>
        <w:tabs>
          <w:tab w:val="num" w:pos="2160"/>
        </w:tabs>
        <w:ind w:left="2160" w:hanging="360"/>
      </w:pPr>
    </w:lvl>
    <w:lvl w:ilvl="3" w:tplc="7B88B038" w:tentative="1">
      <w:start w:val="1"/>
      <w:numFmt w:val="decimal"/>
      <w:lvlText w:val="%4."/>
      <w:lvlJc w:val="left"/>
      <w:pPr>
        <w:tabs>
          <w:tab w:val="num" w:pos="2880"/>
        </w:tabs>
        <w:ind w:left="2880" w:hanging="360"/>
      </w:pPr>
    </w:lvl>
    <w:lvl w:ilvl="4" w:tplc="F0547986" w:tentative="1">
      <w:start w:val="1"/>
      <w:numFmt w:val="decimal"/>
      <w:lvlText w:val="%5."/>
      <w:lvlJc w:val="left"/>
      <w:pPr>
        <w:tabs>
          <w:tab w:val="num" w:pos="3600"/>
        </w:tabs>
        <w:ind w:left="3600" w:hanging="360"/>
      </w:pPr>
    </w:lvl>
    <w:lvl w:ilvl="5" w:tplc="B0C886EE" w:tentative="1">
      <w:start w:val="1"/>
      <w:numFmt w:val="decimal"/>
      <w:lvlText w:val="%6."/>
      <w:lvlJc w:val="left"/>
      <w:pPr>
        <w:tabs>
          <w:tab w:val="num" w:pos="4320"/>
        </w:tabs>
        <w:ind w:left="4320" w:hanging="360"/>
      </w:pPr>
    </w:lvl>
    <w:lvl w:ilvl="6" w:tplc="FF921BE2" w:tentative="1">
      <w:start w:val="1"/>
      <w:numFmt w:val="decimal"/>
      <w:lvlText w:val="%7."/>
      <w:lvlJc w:val="left"/>
      <w:pPr>
        <w:tabs>
          <w:tab w:val="num" w:pos="5040"/>
        </w:tabs>
        <w:ind w:left="5040" w:hanging="360"/>
      </w:pPr>
    </w:lvl>
    <w:lvl w:ilvl="7" w:tplc="14708BE2" w:tentative="1">
      <w:start w:val="1"/>
      <w:numFmt w:val="decimal"/>
      <w:lvlText w:val="%8."/>
      <w:lvlJc w:val="left"/>
      <w:pPr>
        <w:tabs>
          <w:tab w:val="num" w:pos="5760"/>
        </w:tabs>
        <w:ind w:left="5760" w:hanging="360"/>
      </w:pPr>
    </w:lvl>
    <w:lvl w:ilvl="8" w:tplc="F2CABFA6" w:tentative="1">
      <w:start w:val="1"/>
      <w:numFmt w:val="decimal"/>
      <w:lvlText w:val="%9."/>
      <w:lvlJc w:val="left"/>
      <w:pPr>
        <w:tabs>
          <w:tab w:val="num" w:pos="6480"/>
        </w:tabs>
        <w:ind w:left="6480" w:hanging="360"/>
      </w:pPr>
    </w:lvl>
  </w:abstractNum>
  <w:abstractNum w:abstractNumId="6">
    <w:nsid w:val="20952BA8"/>
    <w:multiLevelType w:val="hybridMultilevel"/>
    <w:tmpl w:val="0F8E34A8"/>
    <w:lvl w:ilvl="0" w:tplc="6422DFEA">
      <w:start w:val="2"/>
      <w:numFmt w:val="bullet"/>
      <w:lvlText w:val=""/>
      <w:lvlJc w:val="right"/>
      <w:pPr>
        <w:tabs>
          <w:tab w:val="num" w:pos="720"/>
        </w:tabs>
        <w:ind w:left="720" w:hanging="360"/>
      </w:pPr>
      <w:rPr>
        <w:rFonts w:ascii="Symbol" w:hAnsi="Symbol" w:hint="default"/>
        <w:sz w:val="20"/>
      </w:rPr>
    </w:lvl>
    <w:lvl w:ilvl="1" w:tplc="93CC92F0" w:tentative="1">
      <w:start w:val="1"/>
      <w:numFmt w:val="upperRoman"/>
      <w:lvlText w:val="%2."/>
      <w:lvlJc w:val="right"/>
      <w:pPr>
        <w:tabs>
          <w:tab w:val="num" w:pos="1440"/>
        </w:tabs>
        <w:ind w:left="1440" w:hanging="360"/>
      </w:pPr>
    </w:lvl>
    <w:lvl w:ilvl="2" w:tplc="90045BE6" w:tentative="1">
      <w:start w:val="1"/>
      <w:numFmt w:val="upperRoman"/>
      <w:lvlText w:val="%3."/>
      <w:lvlJc w:val="right"/>
      <w:pPr>
        <w:tabs>
          <w:tab w:val="num" w:pos="2160"/>
        </w:tabs>
        <w:ind w:left="2160" w:hanging="360"/>
      </w:pPr>
    </w:lvl>
    <w:lvl w:ilvl="3" w:tplc="1CAC316A" w:tentative="1">
      <w:start w:val="1"/>
      <w:numFmt w:val="upperRoman"/>
      <w:lvlText w:val="%4."/>
      <w:lvlJc w:val="right"/>
      <w:pPr>
        <w:tabs>
          <w:tab w:val="num" w:pos="2880"/>
        </w:tabs>
        <w:ind w:left="2880" w:hanging="360"/>
      </w:pPr>
    </w:lvl>
    <w:lvl w:ilvl="4" w:tplc="23805C7E" w:tentative="1">
      <w:start w:val="1"/>
      <w:numFmt w:val="upperRoman"/>
      <w:lvlText w:val="%5."/>
      <w:lvlJc w:val="right"/>
      <w:pPr>
        <w:tabs>
          <w:tab w:val="num" w:pos="3600"/>
        </w:tabs>
        <w:ind w:left="3600" w:hanging="360"/>
      </w:pPr>
    </w:lvl>
    <w:lvl w:ilvl="5" w:tplc="A5DEDD5C" w:tentative="1">
      <w:start w:val="1"/>
      <w:numFmt w:val="upperRoman"/>
      <w:lvlText w:val="%6."/>
      <w:lvlJc w:val="right"/>
      <w:pPr>
        <w:tabs>
          <w:tab w:val="num" w:pos="4320"/>
        </w:tabs>
        <w:ind w:left="4320" w:hanging="360"/>
      </w:pPr>
    </w:lvl>
    <w:lvl w:ilvl="6" w:tplc="C54C6E60" w:tentative="1">
      <w:start w:val="1"/>
      <w:numFmt w:val="upperRoman"/>
      <w:lvlText w:val="%7."/>
      <w:lvlJc w:val="right"/>
      <w:pPr>
        <w:tabs>
          <w:tab w:val="num" w:pos="5040"/>
        </w:tabs>
        <w:ind w:left="5040" w:hanging="360"/>
      </w:pPr>
    </w:lvl>
    <w:lvl w:ilvl="7" w:tplc="F6280196" w:tentative="1">
      <w:start w:val="1"/>
      <w:numFmt w:val="upperRoman"/>
      <w:lvlText w:val="%8."/>
      <w:lvlJc w:val="right"/>
      <w:pPr>
        <w:tabs>
          <w:tab w:val="num" w:pos="5760"/>
        </w:tabs>
        <w:ind w:left="5760" w:hanging="360"/>
      </w:pPr>
    </w:lvl>
    <w:lvl w:ilvl="8" w:tplc="359E67CC" w:tentative="1">
      <w:start w:val="1"/>
      <w:numFmt w:val="upperRoman"/>
      <w:lvlText w:val="%9."/>
      <w:lvlJc w:val="right"/>
      <w:pPr>
        <w:tabs>
          <w:tab w:val="num" w:pos="6480"/>
        </w:tabs>
        <w:ind w:left="6480" w:hanging="360"/>
      </w:pPr>
    </w:lvl>
  </w:abstractNum>
  <w:abstractNum w:abstractNumId="7">
    <w:nsid w:val="20B03F0F"/>
    <w:multiLevelType w:val="multilevel"/>
    <w:tmpl w:val="AB30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236871"/>
    <w:multiLevelType w:val="hybridMultilevel"/>
    <w:tmpl w:val="FA04F136"/>
    <w:lvl w:ilvl="0" w:tplc="3022CD4A">
      <w:start w:val="8"/>
      <w:numFmt w:val="bullet"/>
      <w:lvlText w:val=""/>
      <w:lvlJc w:val="left"/>
      <w:pPr>
        <w:tabs>
          <w:tab w:val="num" w:pos="720"/>
        </w:tabs>
        <w:ind w:left="720" w:hanging="360"/>
      </w:pPr>
      <w:rPr>
        <w:rFonts w:ascii="Symbol" w:hAnsi="Symbol" w:hint="default"/>
        <w:sz w:val="20"/>
      </w:rPr>
    </w:lvl>
    <w:lvl w:ilvl="1" w:tplc="23C6C620" w:tentative="1">
      <w:start w:val="1"/>
      <w:numFmt w:val="decimal"/>
      <w:lvlText w:val="%2."/>
      <w:lvlJc w:val="left"/>
      <w:pPr>
        <w:tabs>
          <w:tab w:val="num" w:pos="1440"/>
        </w:tabs>
        <w:ind w:left="1440" w:hanging="360"/>
      </w:pPr>
    </w:lvl>
    <w:lvl w:ilvl="2" w:tplc="5B183DE8" w:tentative="1">
      <w:start w:val="1"/>
      <w:numFmt w:val="decimal"/>
      <w:lvlText w:val="%3."/>
      <w:lvlJc w:val="left"/>
      <w:pPr>
        <w:tabs>
          <w:tab w:val="num" w:pos="2160"/>
        </w:tabs>
        <w:ind w:left="2160" w:hanging="360"/>
      </w:pPr>
    </w:lvl>
    <w:lvl w:ilvl="3" w:tplc="812E304E" w:tentative="1">
      <w:start w:val="1"/>
      <w:numFmt w:val="decimal"/>
      <w:lvlText w:val="%4."/>
      <w:lvlJc w:val="left"/>
      <w:pPr>
        <w:tabs>
          <w:tab w:val="num" w:pos="2880"/>
        </w:tabs>
        <w:ind w:left="2880" w:hanging="360"/>
      </w:pPr>
    </w:lvl>
    <w:lvl w:ilvl="4" w:tplc="9CCCDC60" w:tentative="1">
      <w:start w:val="1"/>
      <w:numFmt w:val="decimal"/>
      <w:lvlText w:val="%5."/>
      <w:lvlJc w:val="left"/>
      <w:pPr>
        <w:tabs>
          <w:tab w:val="num" w:pos="3600"/>
        </w:tabs>
        <w:ind w:left="3600" w:hanging="360"/>
      </w:pPr>
    </w:lvl>
    <w:lvl w:ilvl="5" w:tplc="FE3C0EB0" w:tentative="1">
      <w:start w:val="1"/>
      <w:numFmt w:val="decimal"/>
      <w:lvlText w:val="%6."/>
      <w:lvlJc w:val="left"/>
      <w:pPr>
        <w:tabs>
          <w:tab w:val="num" w:pos="4320"/>
        </w:tabs>
        <w:ind w:left="4320" w:hanging="360"/>
      </w:pPr>
    </w:lvl>
    <w:lvl w:ilvl="6" w:tplc="CFE41852" w:tentative="1">
      <w:start w:val="1"/>
      <w:numFmt w:val="decimal"/>
      <w:lvlText w:val="%7."/>
      <w:lvlJc w:val="left"/>
      <w:pPr>
        <w:tabs>
          <w:tab w:val="num" w:pos="5040"/>
        </w:tabs>
        <w:ind w:left="5040" w:hanging="360"/>
      </w:pPr>
    </w:lvl>
    <w:lvl w:ilvl="7" w:tplc="87D68A4A" w:tentative="1">
      <w:start w:val="1"/>
      <w:numFmt w:val="decimal"/>
      <w:lvlText w:val="%8."/>
      <w:lvlJc w:val="left"/>
      <w:pPr>
        <w:tabs>
          <w:tab w:val="num" w:pos="5760"/>
        </w:tabs>
        <w:ind w:left="5760" w:hanging="360"/>
      </w:pPr>
    </w:lvl>
    <w:lvl w:ilvl="8" w:tplc="BC1E4346" w:tentative="1">
      <w:start w:val="1"/>
      <w:numFmt w:val="decimal"/>
      <w:lvlText w:val="%9."/>
      <w:lvlJc w:val="left"/>
      <w:pPr>
        <w:tabs>
          <w:tab w:val="num" w:pos="6480"/>
        </w:tabs>
        <w:ind w:left="6480" w:hanging="360"/>
      </w:pPr>
    </w:lvl>
  </w:abstractNum>
  <w:abstractNum w:abstractNumId="9">
    <w:nsid w:val="2DCD5FDF"/>
    <w:multiLevelType w:val="multilevel"/>
    <w:tmpl w:val="4FB2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ED1241"/>
    <w:multiLevelType w:val="multilevel"/>
    <w:tmpl w:val="EAEC1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6F28DC"/>
    <w:multiLevelType w:val="hybridMultilevel"/>
    <w:tmpl w:val="4F863168"/>
    <w:lvl w:ilvl="0" w:tplc="D5B2C974">
      <w:start w:val="4"/>
      <w:numFmt w:val="bullet"/>
      <w:lvlText w:val=""/>
      <w:lvlJc w:val="left"/>
      <w:pPr>
        <w:tabs>
          <w:tab w:val="num" w:pos="720"/>
        </w:tabs>
        <w:ind w:left="720" w:hanging="360"/>
      </w:pPr>
      <w:rPr>
        <w:rFonts w:ascii="Symbol" w:hAnsi="Symbol" w:hint="default"/>
        <w:sz w:val="20"/>
      </w:rPr>
    </w:lvl>
    <w:lvl w:ilvl="1" w:tplc="0D1660BA" w:tentative="1">
      <w:start w:val="1"/>
      <w:numFmt w:val="decimal"/>
      <w:lvlText w:val="%2."/>
      <w:lvlJc w:val="left"/>
      <w:pPr>
        <w:tabs>
          <w:tab w:val="num" w:pos="1440"/>
        </w:tabs>
        <w:ind w:left="1440" w:hanging="360"/>
      </w:pPr>
    </w:lvl>
    <w:lvl w:ilvl="2" w:tplc="3C0AD12A" w:tentative="1">
      <w:start w:val="1"/>
      <w:numFmt w:val="decimal"/>
      <w:lvlText w:val="%3."/>
      <w:lvlJc w:val="left"/>
      <w:pPr>
        <w:tabs>
          <w:tab w:val="num" w:pos="2160"/>
        </w:tabs>
        <w:ind w:left="2160" w:hanging="360"/>
      </w:pPr>
    </w:lvl>
    <w:lvl w:ilvl="3" w:tplc="BDD8B10E" w:tentative="1">
      <w:start w:val="1"/>
      <w:numFmt w:val="decimal"/>
      <w:lvlText w:val="%4."/>
      <w:lvlJc w:val="left"/>
      <w:pPr>
        <w:tabs>
          <w:tab w:val="num" w:pos="2880"/>
        </w:tabs>
        <w:ind w:left="2880" w:hanging="360"/>
      </w:pPr>
    </w:lvl>
    <w:lvl w:ilvl="4" w:tplc="D4D8FC56" w:tentative="1">
      <w:start w:val="1"/>
      <w:numFmt w:val="decimal"/>
      <w:lvlText w:val="%5."/>
      <w:lvlJc w:val="left"/>
      <w:pPr>
        <w:tabs>
          <w:tab w:val="num" w:pos="3600"/>
        </w:tabs>
        <w:ind w:left="3600" w:hanging="360"/>
      </w:pPr>
    </w:lvl>
    <w:lvl w:ilvl="5" w:tplc="0170A51E" w:tentative="1">
      <w:start w:val="1"/>
      <w:numFmt w:val="decimal"/>
      <w:lvlText w:val="%6."/>
      <w:lvlJc w:val="left"/>
      <w:pPr>
        <w:tabs>
          <w:tab w:val="num" w:pos="4320"/>
        </w:tabs>
        <w:ind w:left="4320" w:hanging="360"/>
      </w:pPr>
    </w:lvl>
    <w:lvl w:ilvl="6" w:tplc="13C27896" w:tentative="1">
      <w:start w:val="1"/>
      <w:numFmt w:val="decimal"/>
      <w:lvlText w:val="%7."/>
      <w:lvlJc w:val="left"/>
      <w:pPr>
        <w:tabs>
          <w:tab w:val="num" w:pos="5040"/>
        </w:tabs>
        <w:ind w:left="5040" w:hanging="360"/>
      </w:pPr>
    </w:lvl>
    <w:lvl w:ilvl="7" w:tplc="9F70039C" w:tentative="1">
      <w:start w:val="1"/>
      <w:numFmt w:val="decimal"/>
      <w:lvlText w:val="%8."/>
      <w:lvlJc w:val="left"/>
      <w:pPr>
        <w:tabs>
          <w:tab w:val="num" w:pos="5760"/>
        </w:tabs>
        <w:ind w:left="5760" w:hanging="360"/>
      </w:pPr>
    </w:lvl>
    <w:lvl w:ilvl="8" w:tplc="E4DEADB6" w:tentative="1">
      <w:start w:val="1"/>
      <w:numFmt w:val="decimal"/>
      <w:lvlText w:val="%9."/>
      <w:lvlJc w:val="left"/>
      <w:pPr>
        <w:tabs>
          <w:tab w:val="num" w:pos="6480"/>
        </w:tabs>
        <w:ind w:left="6480" w:hanging="360"/>
      </w:pPr>
    </w:lvl>
  </w:abstractNum>
  <w:abstractNum w:abstractNumId="12">
    <w:nsid w:val="5793610E"/>
    <w:multiLevelType w:val="multilevel"/>
    <w:tmpl w:val="28DA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D97F52"/>
    <w:multiLevelType w:val="multilevel"/>
    <w:tmpl w:val="5C94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7D21FC3"/>
    <w:multiLevelType w:val="multilevel"/>
    <w:tmpl w:val="C40A67F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C9F4D5A"/>
    <w:multiLevelType w:val="hybridMultilevel"/>
    <w:tmpl w:val="68644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436F42"/>
    <w:multiLevelType w:val="hybridMultilevel"/>
    <w:tmpl w:val="FF8425B0"/>
    <w:lvl w:ilvl="0" w:tplc="4C42F604">
      <w:start w:val="3"/>
      <w:numFmt w:val="bullet"/>
      <w:lvlText w:val=""/>
      <w:lvlJc w:val="right"/>
      <w:pPr>
        <w:tabs>
          <w:tab w:val="num" w:pos="720"/>
        </w:tabs>
        <w:ind w:left="720" w:hanging="360"/>
      </w:pPr>
      <w:rPr>
        <w:rFonts w:ascii="Symbol" w:hAnsi="Symbol" w:hint="default"/>
        <w:sz w:val="20"/>
      </w:rPr>
    </w:lvl>
    <w:lvl w:ilvl="1" w:tplc="9594C63A" w:tentative="1">
      <w:start w:val="1"/>
      <w:numFmt w:val="upperRoman"/>
      <w:lvlText w:val="%2."/>
      <w:lvlJc w:val="right"/>
      <w:pPr>
        <w:tabs>
          <w:tab w:val="num" w:pos="1440"/>
        </w:tabs>
        <w:ind w:left="1440" w:hanging="360"/>
      </w:pPr>
    </w:lvl>
    <w:lvl w:ilvl="2" w:tplc="5C964DAC" w:tentative="1">
      <w:start w:val="1"/>
      <w:numFmt w:val="upperRoman"/>
      <w:lvlText w:val="%3."/>
      <w:lvlJc w:val="right"/>
      <w:pPr>
        <w:tabs>
          <w:tab w:val="num" w:pos="2160"/>
        </w:tabs>
        <w:ind w:left="2160" w:hanging="360"/>
      </w:pPr>
    </w:lvl>
    <w:lvl w:ilvl="3" w:tplc="522EFDEA" w:tentative="1">
      <w:start w:val="1"/>
      <w:numFmt w:val="upperRoman"/>
      <w:lvlText w:val="%4."/>
      <w:lvlJc w:val="right"/>
      <w:pPr>
        <w:tabs>
          <w:tab w:val="num" w:pos="2880"/>
        </w:tabs>
        <w:ind w:left="2880" w:hanging="360"/>
      </w:pPr>
    </w:lvl>
    <w:lvl w:ilvl="4" w:tplc="B0BA6CF8" w:tentative="1">
      <w:start w:val="1"/>
      <w:numFmt w:val="upperRoman"/>
      <w:lvlText w:val="%5."/>
      <w:lvlJc w:val="right"/>
      <w:pPr>
        <w:tabs>
          <w:tab w:val="num" w:pos="3600"/>
        </w:tabs>
        <w:ind w:left="3600" w:hanging="360"/>
      </w:pPr>
    </w:lvl>
    <w:lvl w:ilvl="5" w:tplc="F0D25910" w:tentative="1">
      <w:start w:val="1"/>
      <w:numFmt w:val="upperRoman"/>
      <w:lvlText w:val="%6."/>
      <w:lvlJc w:val="right"/>
      <w:pPr>
        <w:tabs>
          <w:tab w:val="num" w:pos="4320"/>
        </w:tabs>
        <w:ind w:left="4320" w:hanging="360"/>
      </w:pPr>
    </w:lvl>
    <w:lvl w:ilvl="6" w:tplc="170A57DA" w:tentative="1">
      <w:start w:val="1"/>
      <w:numFmt w:val="upperRoman"/>
      <w:lvlText w:val="%7."/>
      <w:lvlJc w:val="right"/>
      <w:pPr>
        <w:tabs>
          <w:tab w:val="num" w:pos="5040"/>
        </w:tabs>
        <w:ind w:left="5040" w:hanging="360"/>
      </w:pPr>
    </w:lvl>
    <w:lvl w:ilvl="7" w:tplc="9B6E51C6" w:tentative="1">
      <w:start w:val="1"/>
      <w:numFmt w:val="upperRoman"/>
      <w:lvlText w:val="%8."/>
      <w:lvlJc w:val="right"/>
      <w:pPr>
        <w:tabs>
          <w:tab w:val="num" w:pos="5760"/>
        </w:tabs>
        <w:ind w:left="5760" w:hanging="360"/>
      </w:pPr>
    </w:lvl>
    <w:lvl w:ilvl="8" w:tplc="852EA646" w:tentative="1">
      <w:start w:val="1"/>
      <w:numFmt w:val="upperRoman"/>
      <w:lvlText w:val="%9."/>
      <w:lvlJc w:val="right"/>
      <w:pPr>
        <w:tabs>
          <w:tab w:val="num" w:pos="6480"/>
        </w:tabs>
        <w:ind w:left="6480" w:hanging="360"/>
      </w:pPr>
    </w:lvl>
  </w:abstractNum>
  <w:abstractNum w:abstractNumId="17">
    <w:nsid w:val="7A0023D2"/>
    <w:multiLevelType w:val="multilevel"/>
    <w:tmpl w:val="B4EC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CE236D8"/>
    <w:multiLevelType w:val="multilevel"/>
    <w:tmpl w:val="5756E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126B87"/>
    <w:multiLevelType w:val="hybridMultilevel"/>
    <w:tmpl w:val="B7FCE1EC"/>
    <w:lvl w:ilvl="0" w:tplc="BF940A00">
      <w:start w:val="3"/>
      <w:numFmt w:val="bullet"/>
      <w:lvlText w:val=""/>
      <w:lvlJc w:val="left"/>
      <w:pPr>
        <w:tabs>
          <w:tab w:val="num" w:pos="720"/>
        </w:tabs>
        <w:ind w:left="720" w:hanging="360"/>
      </w:pPr>
      <w:rPr>
        <w:rFonts w:ascii="Symbol" w:hAnsi="Symbol" w:hint="default"/>
        <w:sz w:val="20"/>
      </w:rPr>
    </w:lvl>
    <w:lvl w:ilvl="1" w:tplc="245C33B6" w:tentative="1">
      <w:start w:val="1"/>
      <w:numFmt w:val="decimal"/>
      <w:lvlText w:val="%2."/>
      <w:lvlJc w:val="left"/>
      <w:pPr>
        <w:tabs>
          <w:tab w:val="num" w:pos="1440"/>
        </w:tabs>
        <w:ind w:left="1440" w:hanging="360"/>
      </w:pPr>
    </w:lvl>
    <w:lvl w:ilvl="2" w:tplc="55921790" w:tentative="1">
      <w:start w:val="1"/>
      <w:numFmt w:val="decimal"/>
      <w:lvlText w:val="%3."/>
      <w:lvlJc w:val="left"/>
      <w:pPr>
        <w:tabs>
          <w:tab w:val="num" w:pos="2160"/>
        </w:tabs>
        <w:ind w:left="2160" w:hanging="360"/>
      </w:pPr>
    </w:lvl>
    <w:lvl w:ilvl="3" w:tplc="50B49A76" w:tentative="1">
      <w:start w:val="1"/>
      <w:numFmt w:val="decimal"/>
      <w:lvlText w:val="%4."/>
      <w:lvlJc w:val="left"/>
      <w:pPr>
        <w:tabs>
          <w:tab w:val="num" w:pos="2880"/>
        </w:tabs>
        <w:ind w:left="2880" w:hanging="360"/>
      </w:pPr>
    </w:lvl>
    <w:lvl w:ilvl="4" w:tplc="1FF441DC" w:tentative="1">
      <w:start w:val="1"/>
      <w:numFmt w:val="decimal"/>
      <w:lvlText w:val="%5."/>
      <w:lvlJc w:val="left"/>
      <w:pPr>
        <w:tabs>
          <w:tab w:val="num" w:pos="3600"/>
        </w:tabs>
        <w:ind w:left="3600" w:hanging="360"/>
      </w:pPr>
    </w:lvl>
    <w:lvl w:ilvl="5" w:tplc="15FEEF32" w:tentative="1">
      <w:start w:val="1"/>
      <w:numFmt w:val="decimal"/>
      <w:lvlText w:val="%6."/>
      <w:lvlJc w:val="left"/>
      <w:pPr>
        <w:tabs>
          <w:tab w:val="num" w:pos="4320"/>
        </w:tabs>
        <w:ind w:left="4320" w:hanging="360"/>
      </w:pPr>
    </w:lvl>
    <w:lvl w:ilvl="6" w:tplc="F37EBB74" w:tentative="1">
      <w:start w:val="1"/>
      <w:numFmt w:val="decimal"/>
      <w:lvlText w:val="%7."/>
      <w:lvlJc w:val="left"/>
      <w:pPr>
        <w:tabs>
          <w:tab w:val="num" w:pos="5040"/>
        </w:tabs>
        <w:ind w:left="5040" w:hanging="360"/>
      </w:pPr>
    </w:lvl>
    <w:lvl w:ilvl="7" w:tplc="090E9F92" w:tentative="1">
      <w:start w:val="1"/>
      <w:numFmt w:val="decimal"/>
      <w:lvlText w:val="%8."/>
      <w:lvlJc w:val="left"/>
      <w:pPr>
        <w:tabs>
          <w:tab w:val="num" w:pos="5760"/>
        </w:tabs>
        <w:ind w:left="5760" w:hanging="360"/>
      </w:pPr>
    </w:lvl>
    <w:lvl w:ilvl="8" w:tplc="37A046D2" w:tentative="1">
      <w:start w:val="1"/>
      <w:numFmt w:val="decimal"/>
      <w:lvlText w:val="%9."/>
      <w:lvlJc w:val="left"/>
      <w:pPr>
        <w:tabs>
          <w:tab w:val="num" w:pos="6480"/>
        </w:tabs>
        <w:ind w:left="6480" w:hanging="360"/>
      </w:pPr>
    </w:lvl>
  </w:abstractNum>
  <w:num w:numId="1">
    <w:abstractNumId w:val="0"/>
  </w:num>
  <w:num w:numId="2">
    <w:abstractNumId w:val="2"/>
    <w:lvlOverride w:ilvl="0">
      <w:lvl w:ilvl="0">
        <w:numFmt w:val="bullet"/>
        <w:lvlText w:val=""/>
        <w:lvlJc w:val="left"/>
        <w:pPr>
          <w:tabs>
            <w:tab w:val="num" w:pos="720"/>
          </w:tabs>
          <w:ind w:left="720" w:hanging="360"/>
        </w:pPr>
        <w:rPr>
          <w:rFonts w:ascii="Symbol" w:hAnsi="Symbol" w:hint="default"/>
          <w:sz w:val="20"/>
        </w:rPr>
      </w:lvl>
    </w:lvlOverride>
  </w:num>
  <w:num w:numId="3">
    <w:abstractNumId w:val="18"/>
    <w:lvlOverride w:ilvl="0">
      <w:lvl w:ilvl="0">
        <w:numFmt w:val="bullet"/>
        <w:lvlText w:val=""/>
        <w:lvlJc w:val="left"/>
        <w:pPr>
          <w:tabs>
            <w:tab w:val="num" w:pos="720"/>
          </w:tabs>
          <w:ind w:left="720" w:hanging="360"/>
        </w:pPr>
        <w:rPr>
          <w:rFonts w:ascii="Symbol" w:hAnsi="Symbol" w:hint="default"/>
          <w:sz w:val="20"/>
        </w:rPr>
      </w:lvl>
    </w:lvlOverride>
  </w:num>
  <w:num w:numId="4">
    <w:abstractNumId w:val="6"/>
  </w:num>
  <w:num w:numId="5">
    <w:abstractNumId w:val="8"/>
  </w:num>
  <w:num w:numId="6">
    <w:abstractNumId w:val="8"/>
    <w:lvlOverride w:ilvl="0">
      <w:lvl w:ilvl="0" w:tplc="3022CD4A">
        <w:numFmt w:val="bullet"/>
        <w:lvlText w:val=""/>
        <w:lvlJc w:val="left"/>
        <w:pPr>
          <w:tabs>
            <w:tab w:val="num" w:pos="720"/>
          </w:tabs>
          <w:ind w:left="720" w:hanging="360"/>
        </w:pPr>
        <w:rPr>
          <w:rFonts w:ascii="Symbol" w:hAnsi="Symbol" w:hint="default"/>
          <w:sz w:val="20"/>
        </w:rPr>
      </w:lvl>
    </w:lvlOverride>
  </w:num>
  <w:num w:numId="7">
    <w:abstractNumId w:val="16"/>
  </w:num>
  <w:num w:numId="8">
    <w:abstractNumId w:val="9"/>
  </w:num>
  <w:num w:numId="9">
    <w:abstractNumId w:val="12"/>
    <w:lvlOverride w:ilvl="0">
      <w:lvl w:ilvl="0">
        <w:numFmt w:val="bullet"/>
        <w:lvlText w:val=""/>
        <w:lvlJc w:val="left"/>
        <w:pPr>
          <w:tabs>
            <w:tab w:val="num" w:pos="720"/>
          </w:tabs>
          <w:ind w:left="720" w:hanging="360"/>
        </w:pPr>
        <w:rPr>
          <w:rFonts w:ascii="Symbol" w:hAnsi="Symbol" w:hint="default"/>
          <w:sz w:val="20"/>
        </w:rPr>
      </w:lvl>
    </w:lvlOverride>
  </w:num>
  <w:num w:numId="10">
    <w:abstractNumId w:val="10"/>
    <w:lvlOverride w:ilvl="0">
      <w:lvl w:ilvl="0">
        <w:numFmt w:val="bullet"/>
        <w:lvlText w:val=""/>
        <w:lvlJc w:val="left"/>
        <w:pPr>
          <w:tabs>
            <w:tab w:val="num" w:pos="720"/>
          </w:tabs>
          <w:ind w:left="720" w:hanging="360"/>
        </w:pPr>
        <w:rPr>
          <w:rFonts w:ascii="Symbol" w:hAnsi="Symbol" w:hint="default"/>
          <w:sz w:val="20"/>
        </w:rPr>
      </w:lvl>
    </w:lvlOverride>
  </w:num>
  <w:num w:numId="11">
    <w:abstractNumId w:val="19"/>
  </w:num>
  <w:num w:numId="12">
    <w:abstractNumId w:val="7"/>
  </w:num>
  <w:num w:numId="13">
    <w:abstractNumId w:val="11"/>
  </w:num>
  <w:num w:numId="14">
    <w:abstractNumId w:val="11"/>
    <w:lvlOverride w:ilvl="0">
      <w:lvl w:ilvl="0" w:tplc="D5B2C974">
        <w:numFmt w:val="bullet"/>
        <w:lvlText w:val=""/>
        <w:lvlJc w:val="left"/>
        <w:pPr>
          <w:tabs>
            <w:tab w:val="num" w:pos="720"/>
          </w:tabs>
          <w:ind w:left="720" w:hanging="360"/>
        </w:pPr>
        <w:rPr>
          <w:rFonts w:ascii="Symbol" w:hAnsi="Symbol" w:hint="default"/>
          <w:sz w:val="20"/>
        </w:rPr>
      </w:lvl>
    </w:lvlOverride>
  </w:num>
  <w:num w:numId="15">
    <w:abstractNumId w:val="13"/>
  </w:num>
  <w:num w:numId="16">
    <w:abstractNumId w:val="1"/>
  </w:num>
  <w:num w:numId="17">
    <w:abstractNumId w:val="1"/>
    <w:lvlOverride w:ilvl="0">
      <w:lvl w:ilvl="0" w:tplc="F43C2DAA">
        <w:numFmt w:val="bullet"/>
        <w:lvlText w:val=""/>
        <w:lvlJc w:val="left"/>
        <w:pPr>
          <w:tabs>
            <w:tab w:val="num" w:pos="720"/>
          </w:tabs>
          <w:ind w:left="720" w:hanging="360"/>
        </w:pPr>
        <w:rPr>
          <w:rFonts w:ascii="Symbol" w:hAnsi="Symbol" w:hint="default"/>
          <w:sz w:val="20"/>
        </w:rPr>
      </w:lvl>
    </w:lvlOverride>
  </w:num>
  <w:num w:numId="18">
    <w:abstractNumId w:val="1"/>
    <w:lvlOverride w:ilvl="0">
      <w:lvl w:ilvl="0" w:tplc="F43C2DAA">
        <w:numFmt w:val="bullet"/>
        <w:lvlText w:val=""/>
        <w:lvlJc w:val="left"/>
        <w:pPr>
          <w:tabs>
            <w:tab w:val="num" w:pos="720"/>
          </w:tabs>
          <w:ind w:left="720" w:hanging="360"/>
        </w:pPr>
        <w:rPr>
          <w:rFonts w:ascii="Symbol" w:hAnsi="Symbol" w:hint="default"/>
          <w:sz w:val="20"/>
        </w:rPr>
      </w:lvl>
    </w:lvlOverride>
  </w:num>
  <w:num w:numId="19">
    <w:abstractNumId w:val="4"/>
    <w:lvlOverride w:ilvl="0">
      <w:lvl w:ilvl="0">
        <w:numFmt w:val="bullet"/>
        <w:lvlText w:val=""/>
        <w:lvlJc w:val="left"/>
        <w:pPr>
          <w:tabs>
            <w:tab w:val="num" w:pos="720"/>
          </w:tabs>
          <w:ind w:left="720" w:hanging="360"/>
        </w:pPr>
        <w:rPr>
          <w:rFonts w:ascii="Symbol" w:hAnsi="Symbol" w:hint="default"/>
          <w:sz w:val="20"/>
        </w:rPr>
      </w:lvl>
    </w:lvlOverride>
  </w:num>
  <w:num w:numId="20">
    <w:abstractNumId w:val="3"/>
  </w:num>
  <w:num w:numId="21">
    <w:abstractNumId w:val="17"/>
  </w:num>
  <w:num w:numId="22">
    <w:abstractNumId w:val="5"/>
  </w:num>
  <w:num w:numId="23">
    <w:abstractNumId w:val="14"/>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rsids>
    <w:rsidRoot w:val="009D16B8"/>
    <w:rsid w:val="00025339"/>
    <w:rsid w:val="00031051"/>
    <w:rsid w:val="000D178D"/>
    <w:rsid w:val="00104888"/>
    <w:rsid w:val="001537A5"/>
    <w:rsid w:val="001542A3"/>
    <w:rsid w:val="00154EFC"/>
    <w:rsid w:val="001860A3"/>
    <w:rsid w:val="001F01D7"/>
    <w:rsid w:val="00217D5E"/>
    <w:rsid w:val="002427D9"/>
    <w:rsid w:val="00260C8E"/>
    <w:rsid w:val="00275550"/>
    <w:rsid w:val="00296048"/>
    <w:rsid w:val="002A1669"/>
    <w:rsid w:val="002B0D05"/>
    <w:rsid w:val="00364B4D"/>
    <w:rsid w:val="0036764D"/>
    <w:rsid w:val="003E6DB1"/>
    <w:rsid w:val="004F38ED"/>
    <w:rsid w:val="00502499"/>
    <w:rsid w:val="005322BC"/>
    <w:rsid w:val="00537C1D"/>
    <w:rsid w:val="005E0A8B"/>
    <w:rsid w:val="005E3FDF"/>
    <w:rsid w:val="00613F23"/>
    <w:rsid w:val="00666384"/>
    <w:rsid w:val="006D2C79"/>
    <w:rsid w:val="006D5983"/>
    <w:rsid w:val="006E3413"/>
    <w:rsid w:val="006E64A3"/>
    <w:rsid w:val="00725CFA"/>
    <w:rsid w:val="00765390"/>
    <w:rsid w:val="00780AC5"/>
    <w:rsid w:val="007B3CF9"/>
    <w:rsid w:val="007B79F4"/>
    <w:rsid w:val="008130EA"/>
    <w:rsid w:val="00894D8E"/>
    <w:rsid w:val="0091775D"/>
    <w:rsid w:val="00924358"/>
    <w:rsid w:val="00937B0C"/>
    <w:rsid w:val="009D16B8"/>
    <w:rsid w:val="009E4D17"/>
    <w:rsid w:val="00A036CD"/>
    <w:rsid w:val="00AD52E7"/>
    <w:rsid w:val="00AE4CC2"/>
    <w:rsid w:val="00B340C4"/>
    <w:rsid w:val="00B4126F"/>
    <w:rsid w:val="00BB34A3"/>
    <w:rsid w:val="00BC1414"/>
    <w:rsid w:val="00C61162"/>
    <w:rsid w:val="00D11F80"/>
    <w:rsid w:val="00E17FE7"/>
    <w:rsid w:val="00E26419"/>
    <w:rsid w:val="00E77821"/>
    <w:rsid w:val="00EE3595"/>
    <w:rsid w:val="00EF1306"/>
    <w:rsid w:val="00F76758"/>
    <w:rsid w:val="00FC52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821"/>
  </w:style>
  <w:style w:type="paragraph" w:styleId="3">
    <w:name w:val="heading 3"/>
    <w:basedOn w:val="a"/>
    <w:link w:val="30"/>
    <w:semiHidden/>
    <w:unhideWhenUsed/>
    <w:qFormat/>
    <w:rsid w:val="001542A3"/>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1542A3"/>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3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64B4D"/>
    <w:pPr>
      <w:ind w:left="720"/>
      <w:contextualSpacing/>
    </w:pPr>
  </w:style>
  <w:style w:type="paragraph" w:styleId="a5">
    <w:name w:val="Balloon Text"/>
    <w:basedOn w:val="a"/>
    <w:link w:val="a6"/>
    <w:uiPriority w:val="99"/>
    <w:semiHidden/>
    <w:unhideWhenUsed/>
    <w:rsid w:val="00BC14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414"/>
    <w:rPr>
      <w:rFonts w:ascii="Tahoma" w:hAnsi="Tahoma" w:cs="Tahoma"/>
      <w:sz w:val="16"/>
      <w:szCs w:val="16"/>
    </w:rPr>
  </w:style>
  <w:style w:type="paragraph" w:styleId="a7">
    <w:name w:val="header"/>
    <w:basedOn w:val="a"/>
    <w:link w:val="a8"/>
    <w:uiPriority w:val="99"/>
    <w:unhideWhenUsed/>
    <w:rsid w:val="00FC5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C52F1"/>
  </w:style>
  <w:style w:type="paragraph" w:styleId="a9">
    <w:name w:val="footer"/>
    <w:basedOn w:val="a"/>
    <w:link w:val="aa"/>
    <w:uiPriority w:val="99"/>
    <w:unhideWhenUsed/>
    <w:rsid w:val="00FC5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C52F1"/>
  </w:style>
  <w:style w:type="character" w:customStyle="1" w:styleId="30">
    <w:name w:val="Заголовок 3 Знак"/>
    <w:basedOn w:val="a0"/>
    <w:link w:val="3"/>
    <w:semiHidden/>
    <w:rsid w:val="001542A3"/>
    <w:rPr>
      <w:rFonts w:ascii="Liberation Sans" w:eastAsia="Microsoft YaHei" w:hAnsi="Liberation Sans" w:cs="Mangal"/>
      <w:sz w:val="28"/>
      <w:szCs w:val="28"/>
    </w:rPr>
  </w:style>
  <w:style w:type="character" w:customStyle="1" w:styleId="40">
    <w:name w:val="Заголовок 4 Знак"/>
    <w:basedOn w:val="a0"/>
    <w:link w:val="4"/>
    <w:semiHidden/>
    <w:rsid w:val="001542A3"/>
    <w:rPr>
      <w:rFonts w:ascii="Liberation Sans" w:eastAsia="Microsoft YaHei" w:hAnsi="Liberation Sans" w:cs="Mangal"/>
      <w:sz w:val="28"/>
      <w:szCs w:val="28"/>
    </w:rPr>
  </w:style>
  <w:style w:type="character" w:styleId="ab">
    <w:name w:val="Hyperlink"/>
    <w:basedOn w:val="a0"/>
    <w:uiPriority w:val="99"/>
    <w:semiHidden/>
    <w:unhideWhenUsed/>
    <w:rsid w:val="001542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64B4D"/>
    <w:pPr>
      <w:ind w:left="720"/>
      <w:contextualSpacing/>
    </w:pPr>
  </w:style>
  <w:style w:type="paragraph" w:styleId="a5">
    <w:name w:val="Balloon Text"/>
    <w:basedOn w:val="a"/>
    <w:link w:val="a6"/>
    <w:uiPriority w:val="99"/>
    <w:semiHidden/>
    <w:unhideWhenUsed/>
    <w:rsid w:val="00BC14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414"/>
    <w:rPr>
      <w:rFonts w:ascii="Tahoma" w:hAnsi="Tahoma" w:cs="Tahoma"/>
      <w:sz w:val="16"/>
      <w:szCs w:val="16"/>
    </w:rPr>
  </w:style>
  <w:style w:type="paragraph" w:styleId="a7">
    <w:name w:val="header"/>
    <w:basedOn w:val="a"/>
    <w:link w:val="a8"/>
    <w:uiPriority w:val="99"/>
    <w:unhideWhenUsed/>
    <w:rsid w:val="00FC5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C52F1"/>
  </w:style>
  <w:style w:type="paragraph" w:styleId="a9">
    <w:name w:val="footer"/>
    <w:basedOn w:val="a"/>
    <w:link w:val="aa"/>
    <w:uiPriority w:val="99"/>
    <w:unhideWhenUsed/>
    <w:rsid w:val="00FC5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C52F1"/>
  </w:style>
</w:styles>
</file>

<file path=word/webSettings.xml><?xml version="1.0" encoding="utf-8"?>
<w:webSettings xmlns:r="http://schemas.openxmlformats.org/officeDocument/2006/relationships" xmlns:w="http://schemas.openxmlformats.org/wordprocessingml/2006/main">
  <w:divs>
    <w:div w:id="152766203">
      <w:bodyDiv w:val="1"/>
      <w:marLeft w:val="0"/>
      <w:marRight w:val="0"/>
      <w:marTop w:val="0"/>
      <w:marBottom w:val="0"/>
      <w:divBdr>
        <w:top w:val="none" w:sz="0" w:space="0" w:color="auto"/>
        <w:left w:val="none" w:sz="0" w:space="0" w:color="auto"/>
        <w:bottom w:val="none" w:sz="0" w:space="0" w:color="auto"/>
        <w:right w:val="none" w:sz="0" w:space="0" w:color="auto"/>
      </w:divBdr>
    </w:div>
    <w:div w:id="390538980">
      <w:bodyDiv w:val="1"/>
      <w:marLeft w:val="0"/>
      <w:marRight w:val="0"/>
      <w:marTop w:val="0"/>
      <w:marBottom w:val="0"/>
      <w:divBdr>
        <w:top w:val="none" w:sz="0" w:space="0" w:color="auto"/>
        <w:left w:val="none" w:sz="0" w:space="0" w:color="auto"/>
        <w:bottom w:val="none" w:sz="0" w:space="0" w:color="auto"/>
        <w:right w:val="none" w:sz="0" w:space="0" w:color="auto"/>
      </w:divBdr>
    </w:div>
    <w:div w:id="850681612">
      <w:bodyDiv w:val="1"/>
      <w:marLeft w:val="0"/>
      <w:marRight w:val="0"/>
      <w:marTop w:val="0"/>
      <w:marBottom w:val="0"/>
      <w:divBdr>
        <w:top w:val="none" w:sz="0" w:space="0" w:color="auto"/>
        <w:left w:val="none" w:sz="0" w:space="0" w:color="auto"/>
        <w:bottom w:val="none" w:sz="0" w:space="0" w:color="auto"/>
        <w:right w:val="none" w:sz="0" w:space="0" w:color="auto"/>
      </w:divBdr>
    </w:div>
    <w:div w:id="1038822900">
      <w:bodyDiv w:val="1"/>
      <w:marLeft w:val="0"/>
      <w:marRight w:val="0"/>
      <w:marTop w:val="0"/>
      <w:marBottom w:val="0"/>
      <w:divBdr>
        <w:top w:val="none" w:sz="0" w:space="0" w:color="auto"/>
        <w:left w:val="none" w:sz="0" w:space="0" w:color="auto"/>
        <w:bottom w:val="none" w:sz="0" w:space="0" w:color="auto"/>
        <w:right w:val="none" w:sz="0" w:space="0" w:color="auto"/>
      </w:divBdr>
    </w:div>
    <w:div w:id="1625040001">
      <w:bodyDiv w:val="1"/>
      <w:marLeft w:val="0"/>
      <w:marRight w:val="0"/>
      <w:marTop w:val="0"/>
      <w:marBottom w:val="0"/>
      <w:divBdr>
        <w:top w:val="none" w:sz="0" w:space="0" w:color="auto"/>
        <w:left w:val="none" w:sz="0" w:space="0" w:color="auto"/>
        <w:bottom w:val="none" w:sz="0" w:space="0" w:color="auto"/>
        <w:right w:val="none" w:sz="0" w:space="0" w:color="auto"/>
      </w:divBdr>
    </w:div>
    <w:div w:id="1629512860">
      <w:bodyDiv w:val="1"/>
      <w:marLeft w:val="0"/>
      <w:marRight w:val="0"/>
      <w:marTop w:val="0"/>
      <w:marBottom w:val="0"/>
      <w:divBdr>
        <w:top w:val="none" w:sz="0" w:space="0" w:color="auto"/>
        <w:left w:val="none" w:sz="0" w:space="0" w:color="auto"/>
        <w:bottom w:val="none" w:sz="0" w:space="0" w:color="auto"/>
        <w:right w:val="none" w:sz="0" w:space="0" w:color="auto"/>
      </w:divBdr>
    </w:div>
    <w:div w:id="206420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nalizbankov.ru/bank.php?BankRegn=1481&amp;BankMenu=check&amp;PokId=4385&amp;Date=2015-01-01"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analizbankov.ru/bank.php?BankRegn=1481&amp;BankMenu=check&amp;PokId=5"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nalizbankov.ru/bank.php?BankRegn=1481&amp;BankMenu=check&amp;PokId=6674&amp;Date=2016-01-01"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analizbankov.ru/bank.php?BankRegn=1481&amp;BankMenu=check&amp;PokId=4523&amp;Date=2015-01-0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Lbls>
            <c:showVal val="1"/>
          </c:dLbls>
          <c:cat>
            <c:strRef>
              <c:f>Лист1!$F$4:$H$5</c:f>
              <c:strCache>
                <c:ptCount val="3"/>
                <c:pt idx="0">
                  <c:v>2014 г.</c:v>
                </c:pt>
                <c:pt idx="1">
                  <c:v>2015 г. </c:v>
                </c:pt>
                <c:pt idx="2">
                  <c:v>2016 г.</c:v>
                </c:pt>
              </c:strCache>
            </c:strRef>
          </c:cat>
          <c:val>
            <c:numRef>
              <c:f>Лист1!$F$15:$H$15</c:f>
              <c:numCache>
                <c:formatCode>General</c:formatCode>
                <c:ptCount val="3"/>
                <c:pt idx="0">
                  <c:v>21747</c:v>
                </c:pt>
                <c:pt idx="1">
                  <c:v>22707</c:v>
                </c:pt>
                <c:pt idx="2">
                  <c:v>21721</c:v>
                </c:pt>
              </c:numCache>
            </c:numRef>
          </c:val>
        </c:ser>
        <c:shape val="box"/>
        <c:axId val="101216640"/>
        <c:axId val="101218176"/>
        <c:axId val="0"/>
      </c:bar3DChart>
      <c:catAx>
        <c:axId val="101216640"/>
        <c:scaling>
          <c:orientation val="minMax"/>
        </c:scaling>
        <c:axPos val="b"/>
        <c:tickLblPos val="nextTo"/>
        <c:crossAx val="101218176"/>
        <c:crosses val="autoZero"/>
        <c:auto val="1"/>
        <c:lblAlgn val="ctr"/>
        <c:lblOffset val="100"/>
      </c:catAx>
      <c:valAx>
        <c:axId val="101218176"/>
        <c:scaling>
          <c:orientation val="minMax"/>
        </c:scaling>
        <c:axPos val="l"/>
        <c:majorGridlines/>
        <c:numFmt formatCode="General" sourceLinked="1"/>
        <c:tickLblPos val="nextTo"/>
        <c:crossAx val="10121664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Лист1!$E$6:$E$12</c:f>
              <c:strCache>
                <c:ptCount val="7"/>
                <c:pt idx="0">
                  <c:v>Денежные средства</c:v>
                </c:pt>
                <c:pt idx="1">
                  <c:v>Средства в Банке России</c:v>
                </c:pt>
                <c:pt idx="2">
                  <c:v>Средства в кредитных организациях</c:v>
                </c:pt>
                <c:pt idx="3">
                  <c:v>Чистые вложения в ценные бумаги для продажи</c:v>
                </c:pt>
                <c:pt idx="4">
                  <c:v>Чистые вложения в ценные бумаги, удерживаемые до погашения</c:v>
                </c:pt>
                <c:pt idx="5">
                  <c:v>Чистая ссудная задолженность</c:v>
                </c:pt>
                <c:pt idx="6">
                  <c:v>Основные средства, материальные запасы</c:v>
                </c:pt>
              </c:strCache>
            </c:strRef>
          </c:cat>
          <c:val>
            <c:numRef>
              <c:f>Лист1!$K$6:$K$12</c:f>
              <c:numCache>
                <c:formatCode>0.00</c:formatCode>
                <c:ptCount val="7"/>
                <c:pt idx="0">
                  <c:v>2.8313613553703791</c:v>
                </c:pt>
                <c:pt idx="1">
                  <c:v>4.4519128953547282</c:v>
                </c:pt>
                <c:pt idx="2">
                  <c:v>1.602136181575434</c:v>
                </c:pt>
                <c:pt idx="3">
                  <c:v>10.450715897058151</c:v>
                </c:pt>
                <c:pt idx="4">
                  <c:v>2.0993508586160856</c:v>
                </c:pt>
                <c:pt idx="5">
                  <c:v>74.683486027346788</c:v>
                </c:pt>
                <c:pt idx="6">
                  <c:v>2.1592007734450531</c:v>
                </c:pt>
              </c:numCache>
            </c:numRef>
          </c:val>
        </c:ser>
        <c:dLbls>
          <c:showPercent val="1"/>
        </c:dLbls>
      </c:pie3DChart>
    </c:plotArea>
    <c:legend>
      <c:legendPos val="r"/>
      <c:layout>
        <c:manualLayout>
          <c:xMode val="edge"/>
          <c:yMode val="edge"/>
          <c:x val="0.61164235181262239"/>
          <c:y val="0.10189658907780749"/>
          <c:w val="0.37482126916876529"/>
          <c:h val="0.79620682184438507"/>
        </c:manualLayout>
      </c:layout>
      <c:txPr>
        <a:bodyPr/>
        <a:lstStyle/>
        <a:p>
          <a:pPr rtl="0">
            <a:defRPr/>
          </a:pPr>
          <a:endParaRPr lang="ru-RU"/>
        </a:p>
      </c:txP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6"/>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Lbls>
            <c:showVal val="1"/>
          </c:dLbls>
          <c:cat>
            <c:strRef>
              <c:f>Лист2!$G$3:$I$4</c:f>
              <c:strCache>
                <c:ptCount val="3"/>
                <c:pt idx="0">
                  <c:v>2014 г.</c:v>
                </c:pt>
                <c:pt idx="1">
                  <c:v>2015 г. </c:v>
                </c:pt>
                <c:pt idx="2">
                  <c:v>2016 г.</c:v>
                </c:pt>
              </c:strCache>
            </c:strRef>
          </c:cat>
          <c:val>
            <c:numRef>
              <c:f>Лист2!$G$12:$I$12</c:f>
              <c:numCache>
                <c:formatCode>General</c:formatCode>
                <c:ptCount val="3"/>
                <c:pt idx="0">
                  <c:v>1982</c:v>
                </c:pt>
                <c:pt idx="1">
                  <c:v>2328</c:v>
                </c:pt>
                <c:pt idx="2">
                  <c:v>2853</c:v>
                </c:pt>
              </c:numCache>
            </c:numRef>
          </c:val>
        </c:ser>
        <c:shape val="box"/>
        <c:axId val="101296384"/>
        <c:axId val="101183488"/>
        <c:axId val="0"/>
      </c:bar3DChart>
      <c:catAx>
        <c:axId val="101296384"/>
        <c:scaling>
          <c:orientation val="minMax"/>
        </c:scaling>
        <c:axPos val="b"/>
        <c:tickLblPos val="nextTo"/>
        <c:crossAx val="101183488"/>
        <c:crosses val="autoZero"/>
        <c:auto val="1"/>
        <c:lblAlgn val="ctr"/>
        <c:lblOffset val="100"/>
      </c:catAx>
      <c:valAx>
        <c:axId val="101183488"/>
        <c:scaling>
          <c:orientation val="minMax"/>
        </c:scaling>
        <c:axPos val="l"/>
        <c:majorGridlines/>
        <c:numFmt formatCode="General" sourceLinked="1"/>
        <c:tickLblPos val="nextTo"/>
        <c:crossAx val="101296384"/>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Лист2!$F$6:$F$11</c:f>
              <c:strCache>
                <c:ptCount val="6"/>
                <c:pt idx="0">
                  <c:v>Средства Банка России</c:v>
                </c:pt>
                <c:pt idx="1">
                  <c:v>Средства банков</c:v>
                </c:pt>
                <c:pt idx="2">
                  <c:v>Средства клиентов</c:v>
                </c:pt>
                <c:pt idx="3">
                  <c:v>Выпущенные долговые обязательства</c:v>
                </c:pt>
                <c:pt idx="4">
                  <c:v>Прочие обязательства</c:v>
                </c:pt>
                <c:pt idx="5">
                  <c:v>Источники собственных средств</c:v>
                </c:pt>
              </c:strCache>
            </c:strRef>
          </c:cat>
          <c:val>
            <c:numRef>
              <c:f>Лист2!$L$6:$L$11</c:f>
              <c:numCache>
                <c:formatCode>0.00</c:formatCode>
                <c:ptCount val="6"/>
                <c:pt idx="0">
                  <c:v>2.6748308088946189</c:v>
                </c:pt>
                <c:pt idx="1">
                  <c:v>1.6757976152110858</c:v>
                </c:pt>
                <c:pt idx="2">
                  <c:v>77.722020164817465</c:v>
                </c:pt>
                <c:pt idx="3">
                  <c:v>2.8129459969614641</c:v>
                </c:pt>
                <c:pt idx="4">
                  <c:v>1.2890750886239124</c:v>
                </c:pt>
                <c:pt idx="5">
                  <c:v>13.134754385157221</c:v>
                </c:pt>
              </c:numCache>
            </c:numRef>
          </c:val>
        </c:ser>
        <c:dLbls>
          <c:showPercent val="1"/>
        </c:dLbls>
      </c:pie3DChart>
    </c:plotArea>
    <c:legend>
      <c:legendPos val="r"/>
      <c:txPr>
        <a:bodyPr/>
        <a:lstStyle/>
        <a:p>
          <a:pPr rtl="0">
            <a:defRPr/>
          </a:pPr>
          <a:endParaRPr lang="ru-RU"/>
        </a:p>
      </c:txP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5D8E-B404-4680-AD1E-F4544F5A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16695</Words>
  <Characters>95162</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Кемаевых</Company>
  <LinksUpToDate>false</LinksUpToDate>
  <CharactersWithSpaces>111634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саша</cp:lastModifiedBy>
  <cp:revision>34</cp:revision>
  <dcterms:created xsi:type="dcterms:W3CDTF">2017-06-20T11:17:00Z</dcterms:created>
  <dcterms:modified xsi:type="dcterms:W3CDTF">2019-09-26T10:33:00Z</dcterms:modified>
</cp:coreProperties>
</file>