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5" w:rsidRDefault="00FC2825" w:rsidP="001B2888">
      <w:pPr>
        <w:spacing w:line="240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</w:p>
    <w:p w:rsidR="00550030" w:rsidRPr="001B2888" w:rsidRDefault="00550030" w:rsidP="001B2888">
      <w:pPr>
        <w:spacing w:line="240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1B2888">
        <w:rPr>
          <w:rFonts w:cs="Times New Roman"/>
          <w:b/>
          <w:color w:val="000000" w:themeColor="text1"/>
          <w:sz w:val="24"/>
          <w:szCs w:val="24"/>
        </w:rPr>
        <w:t>Слайд 1</w:t>
      </w:r>
    </w:p>
    <w:p w:rsidR="00FD4F1C" w:rsidRPr="001B2888" w:rsidRDefault="00247244" w:rsidP="001B2888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color w:val="000000" w:themeColor="text1"/>
          <w:sz w:val="24"/>
          <w:szCs w:val="24"/>
        </w:rPr>
        <w:t>Уважаемый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председатель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и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члены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выпускной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аттестационной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комиссии!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Предлагаю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Вашему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вниманию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выпускную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квалификационную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работу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на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тему: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«</w:t>
      </w:r>
      <w:r w:rsidR="00A3411A" w:rsidRPr="001B2888">
        <w:rPr>
          <w:rFonts w:cs="Times New Roman"/>
          <w:color w:val="000000"/>
          <w:sz w:val="24"/>
          <w:szCs w:val="24"/>
          <w:shd w:val="clear" w:color="auto" w:fill="FFFFFF"/>
        </w:rPr>
        <w:t xml:space="preserve">Автоматизация затворов на водоприемнике </w:t>
      </w:r>
      <w:proofErr w:type="spellStart"/>
      <w:r w:rsidR="00A3411A" w:rsidRPr="001B2888">
        <w:rPr>
          <w:rFonts w:cs="Times New Roman"/>
          <w:color w:val="000000"/>
          <w:sz w:val="24"/>
          <w:szCs w:val="24"/>
          <w:shd w:val="clear" w:color="auto" w:fill="FFFFFF"/>
        </w:rPr>
        <w:t>Сангтудинской</w:t>
      </w:r>
      <w:proofErr w:type="spellEnd"/>
      <w:r w:rsidR="00A3411A" w:rsidRPr="001B2888">
        <w:rPr>
          <w:rFonts w:cs="Times New Roman"/>
          <w:color w:val="000000"/>
          <w:sz w:val="24"/>
          <w:szCs w:val="24"/>
          <w:shd w:val="clear" w:color="auto" w:fill="FFFFFF"/>
        </w:rPr>
        <w:t xml:space="preserve"> ГЭС-1</w:t>
      </w:r>
      <w:r w:rsidRPr="001B2888">
        <w:rPr>
          <w:rFonts w:cs="Times New Roman"/>
          <w:color w:val="000000" w:themeColor="text1"/>
          <w:sz w:val="24"/>
          <w:szCs w:val="24"/>
        </w:rPr>
        <w:t>».</w:t>
      </w:r>
    </w:p>
    <w:p w:rsidR="00550030" w:rsidRPr="001B2888" w:rsidRDefault="00550030" w:rsidP="001B2888">
      <w:pPr>
        <w:shd w:val="clear" w:color="auto" w:fill="FFFFFF"/>
        <w:spacing w:line="240" w:lineRule="auto"/>
        <w:ind w:firstLine="709"/>
        <w:rPr>
          <w:rFonts w:cs="Times New Roman"/>
          <w:b/>
          <w:bCs/>
          <w:color w:val="000000" w:themeColor="text1"/>
          <w:sz w:val="24"/>
          <w:szCs w:val="24"/>
        </w:rPr>
      </w:pPr>
      <w:r w:rsidRPr="001B2888">
        <w:rPr>
          <w:rFonts w:cs="Times New Roman"/>
          <w:b/>
          <w:bCs/>
          <w:color w:val="000000" w:themeColor="text1"/>
          <w:sz w:val="24"/>
          <w:szCs w:val="24"/>
        </w:rPr>
        <w:t>Слайд 2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proofErr w:type="spellStart"/>
      <w:r w:rsidRPr="001B2888">
        <w:rPr>
          <w:rFonts w:cs="Times New Roman"/>
          <w:sz w:val="24"/>
          <w:szCs w:val="24"/>
          <w:lang w:val="uk-UA"/>
        </w:rPr>
        <w:t>Актуальность</w:t>
      </w:r>
      <w:proofErr w:type="spellEnd"/>
      <w:r w:rsidRPr="001B2888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B2888">
        <w:rPr>
          <w:rFonts w:cs="Times New Roman"/>
          <w:sz w:val="24"/>
          <w:szCs w:val="24"/>
          <w:lang w:val="uk-UA"/>
        </w:rPr>
        <w:t>выбранной</w:t>
      </w:r>
      <w:proofErr w:type="spellEnd"/>
      <w:r w:rsidRPr="001B2888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B2888">
        <w:rPr>
          <w:rFonts w:cs="Times New Roman"/>
          <w:sz w:val="24"/>
          <w:szCs w:val="24"/>
          <w:lang w:val="uk-UA"/>
        </w:rPr>
        <w:t>темы</w:t>
      </w:r>
      <w:proofErr w:type="spellEnd"/>
      <w:r w:rsidRPr="001B2888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B2888">
        <w:rPr>
          <w:rFonts w:cs="Times New Roman"/>
          <w:sz w:val="24"/>
          <w:szCs w:val="24"/>
          <w:lang w:val="uk-UA"/>
        </w:rPr>
        <w:t>обусловлена</w:t>
      </w:r>
      <w:proofErr w:type="spellEnd"/>
      <w:r w:rsidRPr="001B2888">
        <w:rPr>
          <w:rFonts w:cs="Times New Roman"/>
          <w:sz w:val="24"/>
          <w:szCs w:val="24"/>
          <w:lang w:val="uk-UA"/>
        </w:rPr>
        <w:t xml:space="preserve"> тем, </w:t>
      </w:r>
      <w:proofErr w:type="spellStart"/>
      <w:r w:rsidRPr="001B2888">
        <w:rPr>
          <w:rFonts w:cs="Times New Roman"/>
          <w:sz w:val="24"/>
          <w:szCs w:val="24"/>
          <w:lang w:val="uk-UA"/>
        </w:rPr>
        <w:t>что</w:t>
      </w:r>
      <w:proofErr w:type="spellEnd"/>
      <w:r w:rsidRPr="001B2888">
        <w:rPr>
          <w:rFonts w:cs="Times New Roman"/>
          <w:sz w:val="24"/>
          <w:szCs w:val="24"/>
          <w:lang w:val="uk-UA"/>
        </w:rPr>
        <w:t xml:space="preserve"> э</w:t>
      </w:r>
      <w:proofErr w:type="spellStart"/>
      <w:r w:rsidRPr="001B2888">
        <w:rPr>
          <w:rFonts w:cs="Times New Roman"/>
          <w:sz w:val="24"/>
          <w:szCs w:val="24"/>
        </w:rPr>
        <w:t>лектроснабжение</w:t>
      </w:r>
      <w:proofErr w:type="spellEnd"/>
      <w:r w:rsidRPr="001B2888">
        <w:rPr>
          <w:rFonts w:cs="Times New Roman"/>
          <w:sz w:val="24"/>
          <w:szCs w:val="24"/>
        </w:rPr>
        <w:t xml:space="preserve"> Таджикистана главным образом осуществляется электроэнергией, которая вырабатывается на гидроэлектростанциях. 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 xml:space="preserve">Ежегодная потребность Таджикистана в электроэнергии составляет 22-24 млрд. кВт </w:t>
      </w:r>
      <w:proofErr w:type="gramStart"/>
      <w:r w:rsidRPr="001B2888">
        <w:rPr>
          <w:rFonts w:cs="Times New Roman"/>
          <w:sz w:val="24"/>
          <w:szCs w:val="24"/>
        </w:rPr>
        <w:t>ч</w:t>
      </w:r>
      <w:proofErr w:type="gramEnd"/>
      <w:r w:rsidRPr="001B2888">
        <w:rPr>
          <w:rFonts w:cs="Times New Roman"/>
          <w:sz w:val="24"/>
          <w:szCs w:val="24"/>
        </w:rPr>
        <w:t>. Дефицит в 5 млрд. кВт ч. образуется в основном в зимний период, в то время как летом производство электроэнергии в стране превышает собственные потребности на 1,5 млрд. кВт ч.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 xml:space="preserve">Объект исследования – </w:t>
      </w:r>
      <w:proofErr w:type="spellStart"/>
      <w:r w:rsidRPr="001B2888">
        <w:rPr>
          <w:rFonts w:cs="Times New Roman"/>
          <w:sz w:val="24"/>
          <w:szCs w:val="24"/>
        </w:rPr>
        <w:t>Сангтудинская</w:t>
      </w:r>
      <w:proofErr w:type="spellEnd"/>
      <w:r w:rsidRPr="001B2888">
        <w:rPr>
          <w:rFonts w:cs="Times New Roman"/>
          <w:sz w:val="24"/>
          <w:szCs w:val="24"/>
        </w:rPr>
        <w:t xml:space="preserve"> ГЭС-1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 xml:space="preserve">Предмет исследования – Автоматизация затворов водоприемника </w:t>
      </w:r>
      <w:proofErr w:type="spellStart"/>
      <w:r w:rsidRPr="001B2888">
        <w:rPr>
          <w:rFonts w:cs="Times New Roman"/>
          <w:sz w:val="24"/>
          <w:szCs w:val="24"/>
        </w:rPr>
        <w:t>Сангтудинской</w:t>
      </w:r>
      <w:proofErr w:type="spellEnd"/>
      <w:r w:rsidRPr="001B2888">
        <w:rPr>
          <w:rFonts w:cs="Times New Roman"/>
          <w:sz w:val="24"/>
          <w:szCs w:val="24"/>
        </w:rPr>
        <w:t xml:space="preserve"> ГЭС-1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 xml:space="preserve">Цель – провести исследование автоматизации затворов водоприемника </w:t>
      </w:r>
      <w:proofErr w:type="spellStart"/>
      <w:r w:rsidRPr="001B2888">
        <w:rPr>
          <w:rFonts w:cs="Times New Roman"/>
          <w:sz w:val="24"/>
          <w:szCs w:val="24"/>
        </w:rPr>
        <w:t>Сангтудинской</w:t>
      </w:r>
      <w:proofErr w:type="spellEnd"/>
      <w:r w:rsidRPr="001B2888">
        <w:rPr>
          <w:rFonts w:cs="Times New Roman"/>
          <w:sz w:val="24"/>
          <w:szCs w:val="24"/>
        </w:rPr>
        <w:t xml:space="preserve"> ГЭС-1.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Для достижения цели, необходимо решить следующие задачи: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 xml:space="preserve">изучить общие сведения о предприятии </w:t>
      </w:r>
      <w:proofErr w:type="spellStart"/>
      <w:r w:rsidRPr="001B2888">
        <w:rPr>
          <w:rFonts w:cs="Times New Roman"/>
          <w:sz w:val="24"/>
          <w:szCs w:val="24"/>
        </w:rPr>
        <w:t>Сангтудинской</w:t>
      </w:r>
      <w:proofErr w:type="spellEnd"/>
      <w:r w:rsidRPr="001B2888">
        <w:rPr>
          <w:rFonts w:cs="Times New Roman"/>
          <w:sz w:val="24"/>
          <w:szCs w:val="24"/>
        </w:rPr>
        <w:t xml:space="preserve"> ГЭС-1;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рассмотреть водоприемник ГЭС, затворы водоприемника;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описание текущего состояния затворов и описание разработанного решения;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назначение и область применения затворов и условия эксплуатации;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технические решения управления;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системы управления, местное и дистанционное управление;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аварийный сброс затвора;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отображение режимов работы, отображение блокировок в системе;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протокол связи с АСУ ТП;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внешний вид экрана приложения SCADA;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предложение внешнего вида главного экрана управления;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рассчитать затраты на приобретение приборов;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изучить экономические тарифы на электроэнергию в республике Таджикистан;</w:t>
      </w:r>
    </w:p>
    <w:p w:rsidR="00A346BC" w:rsidRPr="001B2888" w:rsidRDefault="00A3411A" w:rsidP="001B288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изучить технику безопасности по работе с аварийным затвором.</w:t>
      </w:r>
    </w:p>
    <w:p w:rsidR="00A346BC" w:rsidRPr="001B2888" w:rsidRDefault="00A84E45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3</w:t>
      </w:r>
    </w:p>
    <w:p w:rsidR="00A84E45" w:rsidRPr="001B2888" w:rsidRDefault="00A3411A" w:rsidP="001B2888">
      <w:pPr>
        <w:pStyle w:val="a4"/>
        <w:spacing w:after="0"/>
        <w:ind w:firstLine="709"/>
        <w:jc w:val="both"/>
      </w:pPr>
      <w:proofErr w:type="spellStart"/>
      <w:r w:rsidRPr="001B2888">
        <w:t>Сангтудинская</w:t>
      </w:r>
      <w:proofErr w:type="spellEnd"/>
      <w:r w:rsidRPr="001B2888">
        <w:t xml:space="preserve"> ГЭС-1 расположена в </w:t>
      </w:r>
      <w:proofErr w:type="spellStart"/>
      <w:r w:rsidRPr="001B2888">
        <w:t>Дангаринском</w:t>
      </w:r>
      <w:proofErr w:type="spellEnd"/>
      <w:r w:rsidRPr="001B2888">
        <w:t xml:space="preserve"> районе </w:t>
      </w:r>
      <w:proofErr w:type="spellStart"/>
      <w:r w:rsidRPr="001B2888">
        <w:t>Хатлонской</w:t>
      </w:r>
      <w:proofErr w:type="spellEnd"/>
      <w:r w:rsidRPr="001B2888">
        <w:t xml:space="preserve"> области Республики Таджикистан в 110 км</w:t>
      </w:r>
      <w:proofErr w:type="gramStart"/>
      <w:r w:rsidRPr="001B2888">
        <w:t>.</w:t>
      </w:r>
      <w:proofErr w:type="gramEnd"/>
      <w:r w:rsidRPr="001B2888">
        <w:t xml:space="preserve"> </w:t>
      </w:r>
      <w:proofErr w:type="gramStart"/>
      <w:r w:rsidRPr="001B2888">
        <w:t>к</w:t>
      </w:r>
      <w:proofErr w:type="gramEnd"/>
      <w:r w:rsidRPr="001B2888">
        <w:t xml:space="preserve"> югу от столицы республики – г. Душанбе. Станция является пятой ступенью </w:t>
      </w:r>
      <w:proofErr w:type="spellStart"/>
      <w:r w:rsidRPr="001B2888">
        <w:t>Вахшского</w:t>
      </w:r>
      <w:proofErr w:type="spellEnd"/>
      <w:r w:rsidRPr="001B2888">
        <w:t xml:space="preserve"> каскада ГЭС и второй по величине установленной мощности после Нурекской ГЭС (3000 МВт). В соответствии с географическим положением станция работает на зарегулированном стоке Нурекской ГЭС, имеющей </w:t>
      </w:r>
      <w:r w:rsidRPr="001B2888">
        <w:lastRenderedPageBreak/>
        <w:t xml:space="preserve">водохранилище сезонного регулирования, и </w:t>
      </w:r>
      <w:proofErr w:type="spellStart"/>
      <w:r w:rsidRPr="001B2888">
        <w:t>Байпазинской</w:t>
      </w:r>
      <w:proofErr w:type="spellEnd"/>
      <w:r w:rsidRPr="001B2888">
        <w:t xml:space="preserve"> ГЭС, обладающей водохранилищем недельного регулирования.</w:t>
      </w:r>
    </w:p>
    <w:p w:rsidR="00A3411A" w:rsidRPr="001B2888" w:rsidRDefault="00A3411A" w:rsidP="001B2888">
      <w:pPr>
        <w:pStyle w:val="a4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1B2888">
        <w:t xml:space="preserve">Расположение гидроэлектростанций на реке Вахш представлено на </w:t>
      </w:r>
      <w:r w:rsidR="00D9570B" w:rsidRPr="001B2888">
        <w:t>слайде</w:t>
      </w:r>
      <w:r w:rsidRPr="001B2888">
        <w:t>.</w:t>
      </w:r>
    </w:p>
    <w:p w:rsidR="00A84E45" w:rsidRPr="001B2888" w:rsidRDefault="00A84E45" w:rsidP="001B2888">
      <w:pPr>
        <w:pStyle w:val="a4"/>
        <w:spacing w:after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1B2888">
        <w:rPr>
          <w:b/>
          <w:color w:val="000000" w:themeColor="text1"/>
          <w:shd w:val="clear" w:color="auto" w:fill="FFFFFF"/>
        </w:rPr>
        <w:t>Слайд 4</w:t>
      </w:r>
    </w:p>
    <w:p w:rsidR="00303F11" w:rsidRPr="001B2888" w:rsidRDefault="00D9570B" w:rsidP="001B2888">
      <w:pPr>
        <w:pStyle w:val="a4"/>
        <w:spacing w:after="0"/>
        <w:ind w:firstLine="709"/>
        <w:jc w:val="both"/>
        <w:rPr>
          <w:color w:val="000000" w:themeColor="text1"/>
        </w:rPr>
      </w:pPr>
      <w:r w:rsidRPr="001B2888">
        <w:t xml:space="preserve">Водоприемник ГЭС представляет собой железобетонную башню высотой 37,5м. Отметка порога водозаборных отверстий 543,0м, отметка верха водоприемника 576,5м, ширина водоприемника по напорному фронту составляет 78м, длина по потоку – 22м. Водоприемник имеет 4 отверстия 8х8м с плавно очерченным входом. Отверстия оборудуются сороудерживающими решетками, ремонтными и аварийно-ремонтными затворами. Водоприемник </w:t>
      </w:r>
      <w:proofErr w:type="spellStart"/>
      <w:r w:rsidRPr="001B2888">
        <w:t>Сангтудинской</w:t>
      </w:r>
      <w:proofErr w:type="spellEnd"/>
      <w:r w:rsidRPr="001B2888">
        <w:t xml:space="preserve"> ГЭС-1 представлен на слайде.</w:t>
      </w:r>
    </w:p>
    <w:p w:rsidR="00303F11" w:rsidRPr="001B2888" w:rsidRDefault="00303F11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5</w:t>
      </w:r>
    </w:p>
    <w:p w:rsidR="00303F11" w:rsidRPr="001B2888" w:rsidRDefault="00A13878" w:rsidP="001B2888">
      <w:pPr>
        <w:pStyle w:val="a4"/>
        <w:spacing w:after="0"/>
        <w:ind w:firstLine="709"/>
        <w:jc w:val="both"/>
        <w:rPr>
          <w:color w:val="000000"/>
        </w:rPr>
      </w:pPr>
      <w:r w:rsidRPr="001B2888">
        <w:rPr>
          <w:color w:val="000000"/>
        </w:rPr>
        <w:t xml:space="preserve">Установленные в 1962 году исходные вырабатывающие агрегаты </w:t>
      </w:r>
      <w:proofErr w:type="spellStart"/>
      <w:r w:rsidRPr="001B2888">
        <w:t>Сангтудинской</w:t>
      </w:r>
      <w:proofErr w:type="spellEnd"/>
      <w:r w:rsidRPr="001B2888">
        <w:t xml:space="preserve"> ГЭС-1</w:t>
      </w:r>
      <w:r w:rsidRPr="001B2888">
        <w:rPr>
          <w:color w:val="000000"/>
        </w:rPr>
        <w:t xml:space="preserve">оборудованы шестью схожими </w:t>
      </w:r>
      <w:proofErr w:type="gramStart"/>
      <w:r w:rsidRPr="001B2888">
        <w:rPr>
          <w:color w:val="000000"/>
        </w:rPr>
        <w:t>полу спиральными</w:t>
      </w:r>
      <w:proofErr w:type="gramEnd"/>
      <w:r w:rsidRPr="001B2888">
        <w:rPr>
          <w:color w:val="000000"/>
        </w:rPr>
        <w:t xml:space="preserve"> вертикальными поворотно-лопастными турбинами с регулируемыми лопастями. Турбины напрямую соединены с синхронными генераторами с общей номинальной установленной мощностью 240 МВт. Исходный расчётный расход воды электростанцией </w:t>
      </w:r>
      <w:proofErr w:type="gramStart"/>
      <w:r w:rsidRPr="001B2888">
        <w:rPr>
          <w:color w:val="000000"/>
        </w:rPr>
        <w:t>составляет 890 м</w:t>
      </w:r>
      <w:r w:rsidRPr="001B2888">
        <w:rPr>
          <w:color w:val="000000"/>
          <w:vertAlign w:val="superscript"/>
        </w:rPr>
        <w:t>3</w:t>
      </w:r>
      <w:r w:rsidRPr="001B2888">
        <w:rPr>
          <w:color w:val="000000"/>
        </w:rPr>
        <w:t>/сек</w:t>
      </w:r>
      <w:proofErr w:type="gramEnd"/>
      <w:r w:rsidRPr="001B2888">
        <w:rPr>
          <w:color w:val="000000"/>
        </w:rPr>
        <w:t xml:space="preserve"> диапазон рабочего напора от 31 м до 23,3 м.</w:t>
      </w:r>
    </w:p>
    <w:p w:rsidR="00A13878" w:rsidRPr="001B2888" w:rsidRDefault="00A13878" w:rsidP="001B2888">
      <w:pPr>
        <w:pStyle w:val="a4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/>
        </w:rPr>
        <w:t>В таблице  приведены основные данные агрегатов.</w:t>
      </w:r>
    </w:p>
    <w:p w:rsidR="00E135C5" w:rsidRPr="001B2888" w:rsidRDefault="00E135C5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6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 связи с тем, что эксплуатационные расходы ГЭС существенно влияют на ее эффективность, а зарплата персонала достигает 30% всех</w:t>
      </w:r>
      <w:r w:rsidRPr="001B2888">
        <w:rPr>
          <w:rFonts w:cs="Times New Roman"/>
          <w:sz w:val="24"/>
          <w:szCs w:val="24"/>
        </w:rPr>
        <w:t xml:space="preserve"> 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эксплуатационных расходов, то основой формирования принципов управления таких ГЭС должно быть сокращение эксплуатационных расходов. </w:t>
      </w:r>
      <w:proofErr w:type="gramStart"/>
      <w:r w:rsidRPr="001B2888">
        <w:rPr>
          <w:rFonts w:eastAsia="Times New Roman" w:cs="Times New Roman"/>
          <w:color w:val="000000"/>
          <w:sz w:val="24"/>
          <w:szCs w:val="24"/>
        </w:rPr>
        <w:t>Исходя из этого можно сформулировать</w:t>
      </w:r>
      <w:proofErr w:type="gramEnd"/>
      <w:r w:rsidRPr="001B2888">
        <w:rPr>
          <w:rFonts w:eastAsia="Times New Roman" w:cs="Times New Roman"/>
          <w:color w:val="000000"/>
          <w:sz w:val="24"/>
          <w:szCs w:val="24"/>
        </w:rPr>
        <w:t xml:space="preserve"> соответствующие требования к оборудованию ГЭС: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оборудование должно быть простым в управлении и обслуживании;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вспомогательное оборудование, необходимое для работы гидроагрегата и его безопасности, должно работать только автоматически и число его должно быть минимальным;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ремонт оборудования должен сводиться к замене стандартных изнашиваемых узлов запасными, изготовление каких-либо запасных частей на ГЭС не предусматривается;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  <w:tab w:val="left" w:pos="1502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вместо дорогостоящего резервирования основных элементов и частей вспомогательного оборудования и сложных защит следует применять аварийную остановку гидроагрегата с выдачей сигнала на центральный пост управления;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  <w:tab w:val="left" w:pos="1502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регуляторы гидротурбин должны выполнять все функции автоматического управления гидроагрегатом, включая все вспомогательное оборудование.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С учетом требований можно себе представить следующий объем органов управления и автоматизации ГЭС:</w:t>
      </w:r>
    </w:p>
    <w:p w:rsidR="002503DA" w:rsidRPr="001B2888" w:rsidRDefault="002503DA" w:rsidP="001B2888">
      <w:pPr>
        <w:shd w:val="clear" w:color="auto" w:fill="FFFFFF"/>
        <w:tabs>
          <w:tab w:val="left" w:pos="989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</w:rPr>
        <w:t xml:space="preserve">1. </w:t>
      </w:r>
      <w:r w:rsidRPr="001B2888">
        <w:rPr>
          <w:rFonts w:eastAsia="Times New Roman" w:cs="Times New Roman"/>
          <w:color w:val="000000"/>
          <w:sz w:val="24"/>
          <w:szCs w:val="24"/>
        </w:rPr>
        <w:t>Регулятор турбины с функциями регулятора частоты вращения.</w:t>
      </w:r>
    </w:p>
    <w:p w:rsidR="002503DA" w:rsidRPr="001B2888" w:rsidRDefault="002503DA" w:rsidP="001B2888">
      <w:pPr>
        <w:shd w:val="clear" w:color="auto" w:fill="FFFFFF"/>
        <w:tabs>
          <w:tab w:val="left" w:pos="1123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</w:rPr>
        <w:t xml:space="preserve">2. </w:t>
      </w:r>
      <w:r w:rsidRPr="001B2888">
        <w:rPr>
          <w:rFonts w:eastAsia="Times New Roman" w:cs="Times New Roman"/>
          <w:color w:val="000000"/>
          <w:sz w:val="24"/>
          <w:szCs w:val="24"/>
        </w:rPr>
        <w:t>Электронная панель управления с выполнением всех функций регулирования частоты, режима по водотоку, распределения нагрузки между гидроагрегатами, выполнения последовательности операций при пуск</w:t>
      </w:r>
      <w:proofErr w:type="gramStart"/>
      <w:r w:rsidRPr="001B2888">
        <w:rPr>
          <w:rFonts w:eastAsia="Times New Roman" w:cs="Times New Roman"/>
          <w:color w:val="000000"/>
          <w:sz w:val="24"/>
          <w:szCs w:val="24"/>
        </w:rPr>
        <w:t>е-</w:t>
      </w:r>
      <w:proofErr w:type="gramEnd"/>
      <w:r w:rsidRPr="001B2888">
        <w:rPr>
          <w:rFonts w:eastAsia="Times New Roman" w:cs="Times New Roman"/>
          <w:color w:val="000000"/>
          <w:sz w:val="24"/>
          <w:szCs w:val="24"/>
        </w:rPr>
        <w:t xml:space="preserve"> остановке агрегата, а также управления вспомогательным оборудованием.</w:t>
      </w:r>
    </w:p>
    <w:p w:rsidR="002503DA" w:rsidRPr="001B2888" w:rsidRDefault="002503DA" w:rsidP="001B2888">
      <w:pPr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lastRenderedPageBreak/>
        <w:t>Устройство для аварийной остановки гидроагрегата при неисправностях системы управления.</w:t>
      </w:r>
    </w:p>
    <w:p w:rsidR="002503DA" w:rsidRPr="001B2888" w:rsidRDefault="002503DA" w:rsidP="001B2888">
      <w:pPr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Охранные и противопожарные автоматические устройства, включающие предупредительную сигнализацию или средства водяного пожаротушения.</w:t>
      </w:r>
    </w:p>
    <w:p w:rsidR="001F3C12" w:rsidRPr="001B2888" w:rsidRDefault="001F3C12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7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eastAsia="Times New Roman" w:cs="Times New Roman"/>
          <w:color w:val="000000"/>
          <w:sz w:val="24"/>
          <w:szCs w:val="24"/>
        </w:rPr>
        <w:t>-системы используются во всех отраслях, где требуется обеспечивать операторский контроль в реальном времени.</w:t>
      </w:r>
      <w:proofErr w:type="gramEnd"/>
      <w:r w:rsidRPr="001B2888">
        <w:rPr>
          <w:rFonts w:eastAsia="Times New Roman" w:cs="Times New Roman"/>
          <w:color w:val="000000"/>
          <w:sz w:val="24"/>
          <w:szCs w:val="24"/>
        </w:rPr>
        <w:t xml:space="preserve"> Данное программное обеспечение устанавливается на компьютеры и, для связи с объектом, использует драйверы ввода-вывода или 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OPC</w:t>
      </w:r>
      <w:r w:rsidRPr="001B2888">
        <w:rPr>
          <w:rFonts w:eastAsia="Times New Roman" w:cs="Times New Roman"/>
          <w:color w:val="000000"/>
          <w:sz w:val="24"/>
          <w:szCs w:val="24"/>
        </w:rPr>
        <w:t>/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DDE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 серверы. Программный код может быть, как написан на языке программирования, так и сгенерирован в среде проектирования.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cs="Times New Roman"/>
          <w:color w:val="000000"/>
          <w:sz w:val="24"/>
          <w:szCs w:val="24"/>
        </w:rPr>
        <w:t>-</w:t>
      </w:r>
      <w:r w:rsidRPr="001B2888">
        <w:rPr>
          <w:rFonts w:eastAsia="Times New Roman" w:cs="Times New Roman"/>
          <w:color w:val="000000"/>
          <w:sz w:val="24"/>
          <w:szCs w:val="24"/>
        </w:rPr>
        <w:t>системы решают следующие задачи: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 xml:space="preserve">Обмен данными с УСО (устройства связи с объектом, то есть с </w:t>
      </w:r>
      <w:r w:rsidRPr="001B2888">
        <w:rPr>
          <w:rFonts w:eastAsia="Times New Roman" w:cs="Times New Roman"/>
          <w:color w:val="000000" w:themeColor="text1"/>
          <w:sz w:val="24"/>
          <w:szCs w:val="24"/>
        </w:rPr>
        <w:t>промышленными контроллерами и платами ввода/вывода</w:t>
      </w:r>
      <w:r w:rsidRPr="001B2888">
        <w:rPr>
          <w:rFonts w:eastAsia="Times New Roman" w:cs="Times New Roman"/>
          <w:color w:val="000000"/>
          <w:sz w:val="24"/>
          <w:szCs w:val="24"/>
        </w:rPr>
        <w:t>) в реальном времени через драйверы.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Обработка информации в реальном времени.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Логическое управление.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Отображение информации на экране монитора в удобной и понятной для человека форме. Ведение базы данных реального времени с технологической информацией.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Аварийная сигнализация и управление тревожными сообщениями.</w:t>
      </w:r>
    </w:p>
    <w:p w:rsidR="00DE573D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Подготовка и генерирование отчетов о ходе технологического процесса.</w:t>
      </w:r>
    </w:p>
    <w:p w:rsidR="001F3C12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 xml:space="preserve">Осуществление сетевого взаимодействия между 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 ПК.</w:t>
      </w:r>
    </w:p>
    <w:p w:rsidR="001F3C12" w:rsidRPr="001B2888" w:rsidRDefault="001F3C12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8</w:t>
      </w:r>
    </w:p>
    <w:p w:rsidR="00DE573D" w:rsidRPr="001B2888" w:rsidRDefault="00DE573D" w:rsidP="001B2888">
      <w:pPr>
        <w:pStyle w:val="a4"/>
        <w:spacing w:after="0"/>
        <w:ind w:firstLine="709"/>
        <w:jc w:val="both"/>
      </w:pPr>
      <w:r w:rsidRPr="001B2888">
        <w:t xml:space="preserve">Операторская панель, как компонент визуализации </w:t>
      </w:r>
      <w:proofErr w:type="spellStart"/>
      <w:r w:rsidRPr="001B2888">
        <w:t>машинн</w:t>
      </w:r>
      <w:proofErr w:type="gramStart"/>
      <w:r w:rsidRPr="001B2888">
        <w:t>о</w:t>
      </w:r>
      <w:proofErr w:type="spellEnd"/>
      <w:r w:rsidRPr="001B2888">
        <w:t>-</w:t>
      </w:r>
      <w:proofErr w:type="gramEnd"/>
      <w:r w:rsidRPr="001B2888">
        <w:t xml:space="preserve"> пользовательского интерфейса, позволяет осуществлять все основные функции управления производственными и измерительными процессами параметров. Операторская панель дает возможность влияния на ход технологического процесса, например, путем введения через клавиатуру установочных значений параметров, отображения сообщений о неполадках и авариях, своевременного создания отчетов о значимых изменениях технологических параметров, например, для производственного отдела управления качеством продукции. Перечень визуально </w:t>
      </w:r>
      <w:proofErr w:type="gramStart"/>
      <w:r w:rsidRPr="001B2888">
        <w:t>изменяющиеся</w:t>
      </w:r>
      <w:proofErr w:type="gramEnd"/>
      <w:r w:rsidRPr="001B2888">
        <w:t xml:space="preserve"> элементов представлен</w:t>
      </w:r>
      <w:r w:rsidR="005C56D1" w:rsidRPr="001B2888">
        <w:t xml:space="preserve"> на слайде.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9</w:t>
      </w:r>
    </w:p>
    <w:p w:rsidR="004759AE" w:rsidRPr="001B2888" w:rsidRDefault="004759AE" w:rsidP="001B2888">
      <w:pPr>
        <w:pStyle w:val="a4"/>
        <w:spacing w:after="0"/>
        <w:ind w:firstLine="709"/>
        <w:jc w:val="both"/>
      </w:pPr>
      <w:r w:rsidRPr="001B2888">
        <w:t xml:space="preserve">После всех выполненных действий мы получаем изображение всех необходимых процессов для оператора показанных на слайде. С помощью панели управления мы можем снять нужные нам рабочие параметры затворов, и следить за режимом работы затворов. Приложение позволяет включение и отключение </w:t>
      </w:r>
      <w:proofErr w:type="gramStart"/>
      <w:r w:rsidRPr="001B2888">
        <w:t>затворов</w:t>
      </w:r>
      <w:proofErr w:type="gramEnd"/>
      <w:r w:rsidRPr="001B2888">
        <w:t xml:space="preserve"> и задавать нужные нам параметры для нормального режима работы агрегатов.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</w:rPr>
      </w:pPr>
      <w:r w:rsidRPr="001B2888">
        <w:rPr>
          <w:b/>
        </w:rPr>
        <w:t>Слайд 10</w:t>
      </w:r>
    </w:p>
    <w:p w:rsidR="004759AE" w:rsidRPr="001B2888" w:rsidRDefault="004759AE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Оператор может задавать команды на кнопках панельного компьютера, касаясь нужного графического элемента. Вызов осуществляется либо автоматически при срабатывании сигнализации, либо выбором соответствующего оборудования прикосновением к экрану панельного компьютера в необходимом месте.</w:t>
      </w:r>
    </w:p>
    <w:p w:rsidR="004759AE" w:rsidRPr="001B2888" w:rsidRDefault="004759AE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lastRenderedPageBreak/>
        <w:t>В дистанционном режиме работы системы оператор подает команду на запуск G1. При этом необходимо нажать графический элемент G1 горит серым светом на панели экрана монитора управления. В появившемся окне выбрать «</w:t>
      </w:r>
      <w:proofErr w:type="spellStart"/>
      <w:r w:rsidRPr="001B2888">
        <w:rPr>
          <w:rFonts w:cs="Times New Roman"/>
          <w:sz w:val="24"/>
          <w:szCs w:val="24"/>
        </w:rPr>
        <w:t>Вкл</w:t>
      </w:r>
      <w:proofErr w:type="spellEnd"/>
      <w:r w:rsidRPr="001B2888">
        <w:rPr>
          <w:rFonts w:cs="Times New Roman"/>
          <w:sz w:val="24"/>
          <w:szCs w:val="24"/>
        </w:rPr>
        <w:t>». После включения графический элемент начинает гореть зеленым светом. Запуск G1 произведен. Аналогично производится запуск других агрегатов.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</w:rPr>
      </w:pPr>
      <w:r w:rsidRPr="001B2888">
        <w:rPr>
          <w:b/>
        </w:rPr>
        <w:t>Слайд 11</w:t>
      </w:r>
    </w:p>
    <w:p w:rsidR="004759AE" w:rsidRPr="001B2888" w:rsidRDefault="001B2888" w:rsidP="001B2888">
      <w:pPr>
        <w:pStyle w:val="a4"/>
        <w:spacing w:after="0"/>
        <w:ind w:firstLine="709"/>
        <w:jc w:val="both"/>
      </w:pPr>
      <w:r w:rsidRPr="001B2888">
        <w:t>Внедрение АСУ с использованием традиционных методов проектирования представляет собой сложную трудоемкую задачу, плохо поддающуюся унификации. Инновационный инструментарий для автоматизированного проектирования и конфигурирования подстанции нового типа – САПР, базирующийся на открытых стандартах МЭК 61850</w:t>
      </w:r>
      <w:r w:rsidRPr="001B2888">
        <w:noBreakHyphen/>
        <w:t>6 SCL, МЭК 61970, МЭК 61131 позволяет резко сократить трудозатраты.</w:t>
      </w:r>
    </w:p>
    <w:p w:rsidR="001B2888" w:rsidRPr="001B2888" w:rsidRDefault="001B2888" w:rsidP="001B2888">
      <w:pPr>
        <w:spacing w:line="240" w:lineRule="auto"/>
        <w:ind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Сумма затрат при реализации </w:t>
      </w:r>
      <w:proofErr w:type="spellStart"/>
      <w:r w:rsidRPr="001B2888">
        <w:rPr>
          <w:sz w:val="24"/>
          <w:szCs w:val="24"/>
        </w:rPr>
        <w:t>пилотного</w:t>
      </w:r>
      <w:proofErr w:type="spellEnd"/>
      <w:r w:rsidRPr="001B2888">
        <w:rPr>
          <w:sz w:val="24"/>
          <w:szCs w:val="24"/>
        </w:rPr>
        <w:t xml:space="preserve"> проекта: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645,5 млн. руб.; 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для решения с применением оборудования западных производителей − 660,55 млн. руб.; 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для решения с применением оборудования китайского производства − 641,2 млн. руб. </w:t>
      </w:r>
    </w:p>
    <w:p w:rsidR="001B2888" w:rsidRPr="001B2888" w:rsidRDefault="001B2888" w:rsidP="001B2888">
      <w:pPr>
        <w:spacing w:line="240" w:lineRule="auto"/>
        <w:ind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При промышленном внедрении и при условии уравнивания цен на первичное оборудование (традиционное и инновационное) сумма затрат на реализацию в сравнении с традиционным подходом составит − 423,75 млн. руб. </w:t>
      </w:r>
    </w:p>
    <w:p w:rsidR="001B2888" w:rsidRPr="001B2888" w:rsidRDefault="001B2888" w:rsidP="001B2888">
      <w:pPr>
        <w:pStyle w:val="a4"/>
        <w:spacing w:after="0"/>
        <w:ind w:firstLine="709"/>
        <w:jc w:val="both"/>
      </w:pPr>
      <w:r w:rsidRPr="001B2888">
        <w:t>Сокращение стоимости при промышленном внедрении в случае сокращения цен до уровня цен на традиционные составит − 76,25 млн. руб. В противном случае – при сохранении цен на сегодняшнем уровне – внедрение технологии становится экономически нецелесообразно.</w:t>
      </w:r>
    </w:p>
    <w:p w:rsidR="00F21033" w:rsidRPr="001B2888" w:rsidRDefault="00F21033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 xml:space="preserve">Слайд </w:t>
      </w:r>
      <w:r w:rsidR="001B2888" w:rsidRPr="001B2888">
        <w:rPr>
          <w:b/>
          <w:color w:val="000000" w:themeColor="text1"/>
        </w:rPr>
        <w:t>12</w:t>
      </w:r>
    </w:p>
    <w:p w:rsidR="001B2888" w:rsidRPr="001B2888" w:rsidRDefault="00F21033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 xml:space="preserve">Подводя итог, стоит отметить, </w:t>
      </w:r>
      <w:r w:rsidR="001B2888" w:rsidRPr="001B2888">
        <w:rPr>
          <w:color w:val="000000" w:themeColor="text1"/>
        </w:rPr>
        <w:t xml:space="preserve">что Водоприемник ГЭС представляет собой железобетонную башню высотой 37,5м. Отметка порога водозаборных отверстий 543,0м, отметка верха водоприемника 576,5м, ширина водоприемника по напорному фронту составляет 78м, длина по потоку – 22м. Водоприемник имеет 4 отверстия 8х8м с плавно очерченным входом. Отверстия оборудуются сороудерживающими решетками, ремонтными и аварийно-ремонтными затворами. 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>Сопряжение водоприемника ГЭС с берегом и плотиной осуществляется подпорными стенками, возведенными до отметки 563м. Нижняя часть водоприемника для обеспечения устойчивости в пределах размещения водозаборных условий бетонируется враспор со скалой до отметки 533,0м.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 xml:space="preserve">На данный момент в системе управления </w:t>
      </w:r>
      <w:proofErr w:type="spellStart"/>
      <w:r w:rsidRPr="001B2888">
        <w:rPr>
          <w:color w:val="000000" w:themeColor="text1"/>
        </w:rPr>
        <w:t>Сангтудинской</w:t>
      </w:r>
      <w:proofErr w:type="spellEnd"/>
      <w:r w:rsidRPr="001B2888">
        <w:rPr>
          <w:color w:val="000000" w:themeColor="text1"/>
        </w:rPr>
        <w:t xml:space="preserve"> ГЭС-1 единого экрана управления ЭЭС не существует. Недавно началось введение новой системы </w:t>
      </w:r>
      <w:proofErr w:type="gramStart"/>
      <w:r w:rsidRPr="001B2888">
        <w:rPr>
          <w:color w:val="000000" w:themeColor="text1"/>
        </w:rPr>
        <w:t>SCADA</w:t>
      </w:r>
      <w:proofErr w:type="gramEnd"/>
      <w:r w:rsidRPr="001B2888">
        <w:rPr>
          <w:color w:val="000000" w:themeColor="text1"/>
        </w:rPr>
        <w:t xml:space="preserve"> и проводятся работы по реконструкции/замене оборудования </w:t>
      </w:r>
      <w:proofErr w:type="spellStart"/>
      <w:r w:rsidRPr="001B2888">
        <w:rPr>
          <w:color w:val="000000" w:themeColor="text1"/>
        </w:rPr>
        <w:t>Сангтудинской</w:t>
      </w:r>
      <w:proofErr w:type="spellEnd"/>
      <w:r w:rsidRPr="001B2888">
        <w:rPr>
          <w:color w:val="000000" w:themeColor="text1"/>
        </w:rPr>
        <w:t xml:space="preserve"> ГЭС-1. Новое оборудование </w:t>
      </w:r>
      <w:proofErr w:type="spellStart"/>
      <w:r w:rsidRPr="001B2888">
        <w:rPr>
          <w:color w:val="000000" w:themeColor="text1"/>
        </w:rPr>
        <w:t>Сангтудинской</w:t>
      </w:r>
      <w:proofErr w:type="spellEnd"/>
      <w:r w:rsidRPr="001B2888">
        <w:rPr>
          <w:color w:val="000000" w:themeColor="text1"/>
        </w:rPr>
        <w:t xml:space="preserve"> ГЭС-1 необходимо будет интегрировать с данной программой.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lastRenderedPageBreak/>
        <w:t xml:space="preserve">Для улучшения работы энергетической системы рекомендуется проложить первые шаги внедрение современной системы контроля и сбора данных (система SCADA) для замены устаревшей телекоммуникационной системы, построенной в советское время. </w:t>
      </w:r>
    </w:p>
    <w:p w:rsidR="001143B7" w:rsidRPr="001B2888" w:rsidRDefault="00550030" w:rsidP="001B2888">
      <w:pPr>
        <w:pStyle w:val="1"/>
        <w:spacing w:line="240" w:lineRule="auto"/>
        <w:ind w:firstLine="709"/>
        <w:jc w:val="both"/>
        <w:rPr>
          <w:rFonts w:cs="Times New Roman"/>
          <w:bCs w:val="0"/>
          <w:sz w:val="24"/>
          <w:szCs w:val="24"/>
        </w:rPr>
      </w:pPr>
      <w:r w:rsidRPr="001B2888">
        <w:rPr>
          <w:rFonts w:cs="Times New Roman"/>
          <w:bCs w:val="0"/>
          <w:sz w:val="24"/>
          <w:szCs w:val="24"/>
        </w:rPr>
        <w:t>Слайд 1</w:t>
      </w:r>
      <w:r w:rsidR="001B2888" w:rsidRPr="001B2888">
        <w:rPr>
          <w:rFonts w:cs="Times New Roman"/>
          <w:bCs w:val="0"/>
          <w:sz w:val="24"/>
          <w:szCs w:val="24"/>
        </w:rPr>
        <w:t>3</w:t>
      </w:r>
    </w:p>
    <w:p w:rsidR="006572F7" w:rsidRPr="001B2888" w:rsidRDefault="006572F7" w:rsidP="001B2888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color w:val="000000" w:themeColor="text1"/>
          <w:sz w:val="24"/>
          <w:szCs w:val="24"/>
        </w:rPr>
        <w:t>Спасибо за внимание!</w:t>
      </w:r>
    </w:p>
    <w:sectPr w:rsidR="006572F7" w:rsidRPr="001B2888" w:rsidSect="00FD4F1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11" w:rsidRDefault="00476711" w:rsidP="00A93EF1">
      <w:pPr>
        <w:spacing w:line="240" w:lineRule="auto"/>
      </w:pPr>
      <w:r>
        <w:separator/>
      </w:r>
    </w:p>
  </w:endnote>
  <w:endnote w:type="continuationSeparator" w:id="0">
    <w:p w:rsidR="00476711" w:rsidRDefault="00476711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BF7C3D">
        <w:pPr>
          <w:pStyle w:val="a9"/>
          <w:jc w:val="center"/>
        </w:pPr>
        <w:fldSimple w:instr=" PAGE   \* MERGEFORMAT ">
          <w:r w:rsidR="00FC282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11" w:rsidRDefault="00476711" w:rsidP="00A93EF1">
      <w:pPr>
        <w:spacing w:line="240" w:lineRule="auto"/>
      </w:pPr>
      <w:r>
        <w:separator/>
      </w:r>
    </w:p>
  </w:footnote>
  <w:footnote w:type="continuationSeparator" w:id="0">
    <w:p w:rsidR="00476711" w:rsidRDefault="00476711" w:rsidP="00A93E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25" w:rsidRDefault="00FC2825" w:rsidP="00FC2825">
    <w:pPr>
      <w:pStyle w:val="a7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color w:val="FF0000"/>
          <w:sz w:val="32"/>
          <w:szCs w:val="32"/>
        </w:rPr>
        <w:t>ДЦО</w:t>
      </w:r>
      <w:proofErr w:type="gramStart"/>
      <w:r>
        <w:rPr>
          <w:rStyle w:val="ae"/>
          <w:b/>
          <w:color w:val="FF0000"/>
          <w:sz w:val="32"/>
          <w:szCs w:val="32"/>
        </w:rPr>
        <w:t>.Р</w:t>
      </w:r>
      <w:proofErr w:type="gramEnd"/>
      <w:r>
        <w:rPr>
          <w:rStyle w:val="ae"/>
          <w:b/>
          <w:color w:val="FF0000"/>
          <w:sz w:val="32"/>
          <w:szCs w:val="32"/>
        </w:rPr>
        <w:t>Ф</w:t>
      </w:r>
    </w:hyperlink>
  </w:p>
  <w:p w:rsidR="00FC2825" w:rsidRDefault="00FC2825" w:rsidP="00FC2825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C2825" w:rsidRDefault="00FC2825" w:rsidP="00FC2825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FC2825" w:rsidRDefault="00FC2825" w:rsidP="00FC282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C2825" w:rsidRDefault="00FC2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244"/>
    <w:rsid w:val="000E5311"/>
    <w:rsid w:val="001143B7"/>
    <w:rsid w:val="001B2888"/>
    <w:rsid w:val="001F3C12"/>
    <w:rsid w:val="002352F8"/>
    <w:rsid w:val="00247244"/>
    <w:rsid w:val="002503DA"/>
    <w:rsid w:val="00303F11"/>
    <w:rsid w:val="0033101F"/>
    <w:rsid w:val="004759AE"/>
    <w:rsid w:val="00476711"/>
    <w:rsid w:val="00485FD2"/>
    <w:rsid w:val="004E5259"/>
    <w:rsid w:val="00550030"/>
    <w:rsid w:val="005777E8"/>
    <w:rsid w:val="005B706A"/>
    <w:rsid w:val="005C56D1"/>
    <w:rsid w:val="00643BCB"/>
    <w:rsid w:val="006478DD"/>
    <w:rsid w:val="006572F7"/>
    <w:rsid w:val="006E3FC2"/>
    <w:rsid w:val="007217FE"/>
    <w:rsid w:val="00763631"/>
    <w:rsid w:val="00773480"/>
    <w:rsid w:val="00850B78"/>
    <w:rsid w:val="009B0415"/>
    <w:rsid w:val="00A13878"/>
    <w:rsid w:val="00A3411A"/>
    <w:rsid w:val="00A346BC"/>
    <w:rsid w:val="00A84E45"/>
    <w:rsid w:val="00A93EF1"/>
    <w:rsid w:val="00BF7C3D"/>
    <w:rsid w:val="00C1696F"/>
    <w:rsid w:val="00D42FD9"/>
    <w:rsid w:val="00D9570B"/>
    <w:rsid w:val="00DE573D"/>
    <w:rsid w:val="00E135C5"/>
    <w:rsid w:val="00F21033"/>
    <w:rsid w:val="00F426B9"/>
    <w:rsid w:val="00F65097"/>
    <w:rsid w:val="00F904C7"/>
    <w:rsid w:val="00FC2825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C282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e">
    <w:name w:val="Hyperlink"/>
    <w:basedOn w:val="a0"/>
    <w:uiPriority w:val="99"/>
    <w:semiHidden/>
    <w:unhideWhenUsed/>
    <w:rsid w:val="00FC2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10</vt:lpstr>
    </vt:vector>
  </TitlesOfParts>
  <Company>SPecialiST RePack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25</cp:revision>
  <dcterms:created xsi:type="dcterms:W3CDTF">2017-06-04T16:36:00Z</dcterms:created>
  <dcterms:modified xsi:type="dcterms:W3CDTF">2019-09-24T12:17:00Z</dcterms:modified>
</cp:coreProperties>
</file>