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0B" w:rsidRDefault="00680697" w:rsidP="00AE47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AE4781" w:rsidRDefault="00D833FA" w:rsidP="00AE4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81" w:rsidRDefault="00E302CC" w:rsidP="00E30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Шереметьевской таможни </w:t>
      </w:r>
    </w:p>
    <w:p w:rsidR="00E302CC" w:rsidRDefault="00E674E5" w:rsidP="00E302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основная деятельность </w:t>
      </w:r>
      <w:r w:rsidR="00E302CC">
        <w:rPr>
          <w:rFonts w:ascii="Times New Roman" w:hAnsi="Times New Roman" w:cs="Times New Roman"/>
          <w:sz w:val="28"/>
          <w:szCs w:val="28"/>
        </w:rPr>
        <w:t>Шереметьевской таможни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FA" w:rsidRDefault="00E302CC" w:rsidP="00E302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3FA">
        <w:rPr>
          <w:rFonts w:ascii="Times New Roman" w:hAnsi="Times New Roman" w:cs="Times New Roman"/>
          <w:sz w:val="28"/>
          <w:szCs w:val="28"/>
        </w:rPr>
        <w:t>Место и роль отдела административного расследования</w:t>
      </w:r>
      <w:r w:rsidR="00DB1727" w:rsidRPr="00D833FA">
        <w:rPr>
          <w:rFonts w:ascii="Times New Roman" w:hAnsi="Times New Roman" w:cs="Times New Roman"/>
          <w:sz w:val="28"/>
          <w:szCs w:val="28"/>
        </w:rPr>
        <w:t xml:space="preserve"> в деятельности Шереметьевской таможни</w:t>
      </w:r>
    </w:p>
    <w:p w:rsidR="00DB1727" w:rsidRPr="00D833FA" w:rsidRDefault="00DB1727" w:rsidP="00E302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3FA">
        <w:rPr>
          <w:rFonts w:ascii="Times New Roman" w:hAnsi="Times New Roman" w:cs="Times New Roman"/>
          <w:sz w:val="28"/>
          <w:szCs w:val="28"/>
        </w:rPr>
        <w:t>Задачи и функции отдела административных расследований</w:t>
      </w:r>
    </w:p>
    <w:p w:rsidR="00F458FD" w:rsidRDefault="00F458FD" w:rsidP="00F45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отдела административных расследовани</w:t>
      </w:r>
      <w:r w:rsidR="00680697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F458FD" w:rsidRDefault="00702081" w:rsidP="00F458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и а</w:t>
      </w:r>
      <w:r w:rsidR="00F458FD">
        <w:rPr>
          <w:rFonts w:ascii="Times New Roman" w:hAnsi="Times New Roman" w:cs="Times New Roman"/>
          <w:sz w:val="28"/>
          <w:szCs w:val="28"/>
        </w:rPr>
        <w:t>нализ деятельности отдела административных расследований за период прохождения практики</w:t>
      </w:r>
    </w:p>
    <w:p w:rsidR="00F458FD" w:rsidRDefault="00680697" w:rsidP="00F458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Перспективы  развития деятельности отдела ад</w:t>
      </w:r>
      <w:r>
        <w:rPr>
          <w:rFonts w:ascii="Times New Roman" w:hAnsi="Times New Roman" w:cs="Times New Roman"/>
          <w:sz w:val="28"/>
          <w:szCs w:val="28"/>
        </w:rPr>
        <w:t>министративного расследования</w:t>
      </w:r>
    </w:p>
    <w:p w:rsidR="00680697" w:rsidRDefault="00680697" w:rsidP="006806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80697" w:rsidRDefault="00680697" w:rsidP="006806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80697" w:rsidRDefault="00680697" w:rsidP="006806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697" w:rsidRPr="00680697" w:rsidRDefault="00680697" w:rsidP="0068069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1727" w:rsidRDefault="00DB172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F458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702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081" w:rsidRPr="00702081" w:rsidRDefault="00702081" w:rsidP="00702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6806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6806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 xml:space="preserve">Я, </w:t>
      </w:r>
      <w:r w:rsidR="0029273E" w:rsidRPr="0029273E">
        <w:rPr>
          <w:rFonts w:ascii="Times New Roman" w:hAnsi="Times New Roman" w:cs="Times New Roman"/>
          <w:sz w:val="28"/>
          <w:szCs w:val="28"/>
        </w:rPr>
        <w:t>Рантовов Игорь Сергеевич</w:t>
      </w:r>
      <w:r w:rsidRPr="00680697">
        <w:rPr>
          <w:rFonts w:ascii="Times New Roman" w:hAnsi="Times New Roman" w:cs="Times New Roman"/>
          <w:sz w:val="28"/>
          <w:szCs w:val="28"/>
        </w:rPr>
        <w:t>,</w:t>
      </w:r>
      <w:r w:rsidR="0029273E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Pr="00680697">
        <w:rPr>
          <w:rFonts w:ascii="Times New Roman" w:hAnsi="Times New Roman" w:cs="Times New Roman"/>
          <w:sz w:val="28"/>
          <w:szCs w:val="28"/>
        </w:rPr>
        <w:t xml:space="preserve"> учебную практику в Отделе административных расследований </w:t>
      </w:r>
      <w:r w:rsidR="0029273E">
        <w:rPr>
          <w:rFonts w:ascii="Times New Roman" w:hAnsi="Times New Roman" w:cs="Times New Roman"/>
          <w:sz w:val="28"/>
          <w:szCs w:val="28"/>
        </w:rPr>
        <w:t>Шереметьевской таможни в период с 03.08.2017 г. по 30.08.2017</w:t>
      </w:r>
      <w:r w:rsidRPr="006806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0697" w:rsidRP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 xml:space="preserve">Целью проведения практики является </w:t>
      </w:r>
      <w:r w:rsidR="001372C4">
        <w:rPr>
          <w:rFonts w:ascii="Times New Roman" w:hAnsi="Times New Roman" w:cs="Times New Roman"/>
          <w:sz w:val="28"/>
          <w:szCs w:val="28"/>
        </w:rPr>
        <w:t>закрепление</w:t>
      </w:r>
      <w:r w:rsidRPr="00680697">
        <w:rPr>
          <w:rFonts w:ascii="Times New Roman" w:hAnsi="Times New Roman" w:cs="Times New Roman"/>
          <w:sz w:val="28"/>
          <w:szCs w:val="28"/>
        </w:rPr>
        <w:t xml:space="preserve"> профессиональных навыков, систематизация и углубление теоретических знаний </w:t>
      </w:r>
      <w:r w:rsidR="001372C4">
        <w:rPr>
          <w:rFonts w:ascii="Times New Roman" w:hAnsi="Times New Roman" w:cs="Times New Roman"/>
          <w:sz w:val="28"/>
          <w:szCs w:val="28"/>
        </w:rPr>
        <w:t xml:space="preserve">которые были приобретены в ходе учебного процесса, </w:t>
      </w:r>
      <w:r w:rsidR="001372C4" w:rsidRPr="001372C4">
        <w:rPr>
          <w:rFonts w:ascii="Times New Roman" w:hAnsi="Times New Roman" w:cs="Times New Roman"/>
          <w:sz w:val="28"/>
          <w:szCs w:val="28"/>
        </w:rPr>
        <w:t>а также привитие профессиональных навыков организаторской деятельности в условиях трудового коллектива.</w:t>
      </w:r>
    </w:p>
    <w:p w:rsidR="00680697" w:rsidRP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Основными задачами практики являются:</w:t>
      </w:r>
    </w:p>
    <w:p w:rsidR="00680697" w:rsidRP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1) ознакомление со структурой, функциями и задачами конкретного отдела (Отдела административных расследований) таможни, а также с порядком его взаимодействия с другими структурными подразделениями;</w:t>
      </w:r>
    </w:p>
    <w:p w:rsidR="00680697" w:rsidRP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2) приобретение опыта профессионального применения нормативно-правовых актов, регулирующих деятельность отдела административных расследований;</w:t>
      </w:r>
    </w:p>
    <w:p w:rsidR="00680697" w:rsidRP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3) приобретение навыков практической деятельности при исполнении должностных обязанностей уполномоченного отдела административных расследований;</w:t>
      </w:r>
    </w:p>
    <w:p w:rsid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7">
        <w:rPr>
          <w:rFonts w:ascii="Times New Roman" w:hAnsi="Times New Roman" w:cs="Times New Roman"/>
          <w:sz w:val="28"/>
          <w:szCs w:val="28"/>
        </w:rPr>
        <w:t>4) овладение навыками принятия профессионально-должностных решений, анализа и контроля исполнения принятых решений.</w:t>
      </w:r>
    </w:p>
    <w:p w:rsidR="00680697" w:rsidRDefault="00680697" w:rsidP="00E14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7" w:rsidRDefault="00680697" w:rsidP="00E140E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74E5" w:rsidRDefault="00E674E5" w:rsidP="00E603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40E2" w:rsidRDefault="00E140E2" w:rsidP="00E603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40E2" w:rsidRDefault="00E140E2" w:rsidP="00E603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E603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2081" w:rsidRPr="00702081" w:rsidRDefault="00702081" w:rsidP="00702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4E5" w:rsidRDefault="00E674E5" w:rsidP="001372C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Шереметьевской таможни</w:t>
      </w:r>
    </w:p>
    <w:p w:rsidR="00E674E5" w:rsidRDefault="00E674E5" w:rsidP="001372C4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4E5">
        <w:rPr>
          <w:rFonts w:ascii="Times New Roman" w:hAnsi="Times New Roman" w:cs="Times New Roman"/>
          <w:sz w:val="28"/>
          <w:szCs w:val="28"/>
        </w:rPr>
        <w:t>История и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E674E5">
        <w:rPr>
          <w:rFonts w:ascii="Times New Roman" w:hAnsi="Times New Roman" w:cs="Times New Roman"/>
          <w:sz w:val="28"/>
          <w:szCs w:val="28"/>
        </w:rPr>
        <w:t xml:space="preserve"> деятельность Шереметьевской таможни</w:t>
      </w:r>
    </w:p>
    <w:p w:rsidR="001372C4" w:rsidRDefault="001372C4" w:rsidP="00137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производственной практики под началом руководителя </w:t>
      </w:r>
      <w:r w:rsidRPr="00107138">
        <w:rPr>
          <w:rFonts w:ascii="Times New Roman" w:hAnsi="Times New Roman" w:cs="Times New Roman"/>
          <w:sz w:val="28"/>
          <w:szCs w:val="28"/>
        </w:rPr>
        <w:t>практики от производства майор</w:t>
      </w:r>
      <w:r>
        <w:rPr>
          <w:rFonts w:ascii="Times New Roman" w:hAnsi="Times New Roman" w:cs="Times New Roman"/>
          <w:sz w:val="28"/>
          <w:szCs w:val="28"/>
        </w:rPr>
        <w:t xml:space="preserve">ом таможенной службы Николаевой </w:t>
      </w:r>
      <w:r w:rsidRPr="00107138">
        <w:rPr>
          <w:rFonts w:ascii="Times New Roman" w:hAnsi="Times New Roman" w:cs="Times New Roman"/>
          <w:sz w:val="28"/>
          <w:szCs w:val="28"/>
        </w:rPr>
        <w:t xml:space="preserve"> Е. А</w:t>
      </w:r>
      <w:r>
        <w:rPr>
          <w:rFonts w:ascii="Times New Roman" w:hAnsi="Times New Roman" w:cs="Times New Roman"/>
          <w:sz w:val="28"/>
          <w:szCs w:val="28"/>
        </w:rPr>
        <w:t>. была проведена э</w:t>
      </w:r>
      <w:r w:rsidRPr="00107138">
        <w:rPr>
          <w:rFonts w:ascii="Times New Roman" w:hAnsi="Times New Roman" w:cs="Times New Roman"/>
          <w:sz w:val="28"/>
          <w:szCs w:val="28"/>
        </w:rPr>
        <w:t>кскурсия по Шереметьевской таможне,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07138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C4" w:rsidRDefault="001372C4" w:rsidP="00137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экскурсии и ознакомлением с местом проведения практики я для себя отметил, что Шереметьевская таможня является одной из самых значимых таможен нашей страны. </w:t>
      </w:r>
      <w:r w:rsidRPr="001372C4">
        <w:rPr>
          <w:rFonts w:ascii="Times New Roman" w:hAnsi="Times New Roman" w:cs="Times New Roman"/>
          <w:sz w:val="28"/>
          <w:szCs w:val="28"/>
        </w:rPr>
        <w:t>Шереметьевская таможня это уникальный таможенный орган, одно из самых крупных таможенных учреждений на воздушных пунктах пропуска. Днём её рождения считается 1 июня 1960 года, именно в этот день был выполнен первый международный рейс по маршруту Москва – Шенефельд (Берлин).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C4" w:rsidRDefault="001372C4" w:rsidP="00137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C4">
        <w:rPr>
          <w:rFonts w:ascii="Times New Roman" w:hAnsi="Times New Roman" w:cs="Times New Roman"/>
          <w:sz w:val="28"/>
          <w:szCs w:val="28"/>
        </w:rPr>
        <w:t>К середине 80-х годов Шереметьевская таможня уже являлась крупной организацией с развитой структурой, гибко реагирующая на требования времени. Таможня располагала самой современной техникой таможенного контроля. В подразделениях появились металлодетекторы, фонари с ультрафиолетовым излучением, приборы для идентификации бриллиантов и наборы экспресс-анализа для выявления наркотиков. Существенную помощь в поиске наркотических средств и взрывчатых веществ оказывал кинологический отдел. Шереметьевская таможня - первая среди таможен непосредственного подчинения ФТС России – начала применять служебных собак для поиска наркотических средств.</w:t>
      </w:r>
    </w:p>
    <w:p w:rsidR="005B11AF" w:rsidRPr="005B11AF" w:rsidRDefault="00E140E2" w:rsidP="005B11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11AF" w:rsidRPr="005B11AF">
        <w:rPr>
          <w:rFonts w:ascii="Times New Roman" w:hAnsi="Times New Roman" w:cs="Times New Roman"/>
          <w:sz w:val="28"/>
          <w:szCs w:val="28"/>
        </w:rPr>
        <w:t>азвитие внешней торговли, заметное увеличение объема экспортно-импортных перевозок привело к созданию в 1985 году терминала таможни на грузовом комплексе (АГК-Карго). Шереметьевская таможня активно включилась в работу с грузами: появилась грузовая таможенная декларация, создана локальная компьютерная сеть.</w:t>
      </w:r>
    </w:p>
    <w:p w:rsidR="005B11AF" w:rsidRPr="005B11AF" w:rsidRDefault="005B11AF" w:rsidP="005B11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lastRenderedPageBreak/>
        <w:t>В 90-х годах в аэропорте Шереметьево, терминалах 1 и 2, была внедрена система «зеленого» и «красного» каналов, принятых к тому времени во многих странах мира. Залы прилета переоборудовались с таким расчетом, чтобы пассажир мог быстрее пройти таможенный контроль, а сотрудник таможни проявить профессиональную подготовку и опыт в определении лиц, пытающихся нарушить таможенные правила.</w:t>
      </w:r>
    </w:p>
    <w:p w:rsidR="005B11AF" w:rsidRPr="005B11AF" w:rsidRDefault="005B11AF" w:rsidP="005B11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Сегодня Шереметьевская таможня – это чётко отлаженный механизм, ежедневно доказывающий свою необходимость и высокий профессионализм в деле защиты экономических интересов Российской Федерации.</w:t>
      </w:r>
    </w:p>
    <w:p w:rsidR="005B11AF" w:rsidRDefault="005B11AF" w:rsidP="005B11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Свою деятельность таможня осуществляет на территории международного аэропорта «Шереметьево», являющегося одним из крупнейших «воздушных ворот» России.</w:t>
      </w:r>
    </w:p>
    <w:p w:rsidR="005B11AF" w:rsidRPr="005B11AF" w:rsidRDefault="005B11AF" w:rsidP="005B11AF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Место и роль отдела административного расследования в деятельности Шереметьевской таможни</w:t>
      </w:r>
    </w:p>
    <w:p w:rsidR="005B11AF" w:rsidRPr="005B11AF" w:rsidRDefault="005B11AF" w:rsidP="005B11AF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Отдел административных расследований (далее – ОАР) является структурным подразделением таможни, непосредственно осуществляющим возбуждение дел об административных правонарушениях, отнесенных к компетенции таможенных органов и проведение по ним административного расследования, а также организовывающим деятельность структурных подразделений таможни и подчиненных ей таможенных постов по административному производству.</w:t>
      </w:r>
    </w:p>
    <w:p w:rsidR="005B11AF" w:rsidRPr="005B11AF" w:rsidRDefault="005B11AF" w:rsidP="005B11AF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Роль ОАР в структуре Тюменской таможни заключается в                     ведении административно - расследовательской, предупредительно -профилактической, организационной и правовой деятельности, направленной на осуществление комплекса мер по борьбе с правонарушениями, отнесенных к компетенции таможенных органов Российской Федерации.</w:t>
      </w:r>
    </w:p>
    <w:p w:rsidR="005B11AF" w:rsidRPr="005B11AF" w:rsidRDefault="005B11AF" w:rsidP="005B11AF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обязанности, права и ответственность должностных лиц ОАР регламентируются должностными инструкциями, утверждёнными в соответствии с порядком, установленным ФТС России.</w:t>
      </w:r>
    </w:p>
    <w:p w:rsidR="005B11AF" w:rsidRPr="005B11AF" w:rsidRDefault="005B11AF" w:rsidP="00E60310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F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руководствуется: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  <w:r w:rsidRPr="00E60310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Федерации,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  <w:r w:rsidRPr="00E60310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Таможенным кодексом Таможенного союза,</w:t>
      </w:r>
      <w:r w:rsidR="00E60310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правонарушениях,</w:t>
      </w:r>
      <w:r w:rsidR="00BD1ADA">
        <w:rPr>
          <w:rFonts w:ascii="Times New Roman" w:hAnsi="Times New Roman" w:cs="Times New Roman"/>
          <w:sz w:val="28"/>
          <w:szCs w:val="28"/>
        </w:rPr>
        <w:t xml:space="preserve"> </w:t>
      </w:r>
      <w:r w:rsidRPr="00BD1ADA">
        <w:rPr>
          <w:rFonts w:ascii="Times New Roman" w:hAnsi="Times New Roman" w:cs="Times New Roman"/>
          <w:sz w:val="28"/>
          <w:szCs w:val="28"/>
        </w:rPr>
        <w:t>другими законами Российской Федерации,</w:t>
      </w:r>
      <w:r w:rsidR="00BD1ADA">
        <w:rPr>
          <w:rFonts w:ascii="Times New Roman" w:hAnsi="Times New Roman" w:cs="Times New Roman"/>
          <w:sz w:val="28"/>
          <w:szCs w:val="28"/>
        </w:rPr>
        <w:t xml:space="preserve"> </w:t>
      </w:r>
      <w:r w:rsidRPr="00BD1ADA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</w:t>
      </w:r>
      <w:r w:rsidR="00BD1ADA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</w:t>
      </w:r>
      <w:r w:rsidR="00BD1ADA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нормативными и иными правовыми актами Государственного таможенного комитета Российской Федерации,</w:t>
      </w:r>
      <w:r w:rsidR="00BD1ADA">
        <w:rPr>
          <w:rFonts w:ascii="Times New Roman" w:hAnsi="Times New Roman" w:cs="Times New Roman"/>
          <w:sz w:val="28"/>
          <w:szCs w:val="28"/>
        </w:rPr>
        <w:t xml:space="preserve"> </w:t>
      </w:r>
      <w:r w:rsidRPr="005B11AF">
        <w:rPr>
          <w:rFonts w:ascii="Times New Roman" w:hAnsi="Times New Roman" w:cs="Times New Roman"/>
          <w:sz w:val="28"/>
          <w:szCs w:val="28"/>
        </w:rPr>
        <w:t>Федеральной таможенной службы, а также ненормативными правовыми актами ненормативного характера Южного таможенного управления и настоящим положением.</w:t>
      </w:r>
    </w:p>
    <w:p w:rsidR="001372C4" w:rsidRDefault="001372C4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5B11AF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10" w:rsidRDefault="00E60310" w:rsidP="00702081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60310">
        <w:rPr>
          <w:rFonts w:ascii="Times New Roman" w:hAnsi="Times New Roman" w:cs="Times New Roman"/>
          <w:sz w:val="28"/>
          <w:szCs w:val="28"/>
        </w:rPr>
        <w:t>Анализ деятельности отдела административных расследований</w:t>
      </w:r>
    </w:p>
    <w:p w:rsidR="00E60310" w:rsidRDefault="00E60310" w:rsidP="00702081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F0BFA">
        <w:rPr>
          <w:rFonts w:ascii="Times New Roman" w:hAnsi="Times New Roman" w:cs="Times New Roman"/>
          <w:sz w:val="28"/>
          <w:szCs w:val="28"/>
        </w:rPr>
        <w:t>Статистика и а</w:t>
      </w:r>
      <w:r w:rsidRPr="00E60310">
        <w:rPr>
          <w:rFonts w:ascii="Times New Roman" w:hAnsi="Times New Roman" w:cs="Times New Roman"/>
          <w:sz w:val="28"/>
          <w:szCs w:val="28"/>
        </w:rPr>
        <w:t>нализ деятельности отдела административных расследований за период прохождения практики</w:t>
      </w:r>
    </w:p>
    <w:p w:rsidR="00702081" w:rsidRDefault="00F631D1" w:rsidP="00702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статистическим данным п</w:t>
      </w:r>
      <w:r w:rsidRPr="00F631D1">
        <w:rPr>
          <w:rFonts w:ascii="Times New Roman" w:hAnsi="Times New Roman" w:cs="Times New Roman"/>
          <w:sz w:val="28"/>
          <w:szCs w:val="28"/>
        </w:rPr>
        <w:t>римерно в двух случаях из трех пассажиры везут контрабанду неумышленно. В настоящее время Уголовный кодекс Российской Федерации предусматривает два состава контрабанды. Первый - контрабанда сильно действующих, ядовитых, отравляющих, взрывчатых, радиоактивных веществ, радиационных источников, ядерных материалов, огнестрельного оружия, его составных частей, взрывных устройств, боевых припасов, оружия массового поражения, военной техники, стратегически важных товаров и ресурсов, культурных ценностей.</w:t>
      </w:r>
      <w:r w:rsidR="007E6986">
        <w:rPr>
          <w:rFonts w:ascii="Times New Roman" w:hAnsi="Times New Roman" w:cs="Times New Roman"/>
          <w:sz w:val="28"/>
          <w:szCs w:val="28"/>
        </w:rPr>
        <w:t xml:space="preserve"> Хотя за все эти нарушения предусмотрены наказания, контролям как раз таки этих процессов занимается ОАР. </w:t>
      </w:r>
    </w:p>
    <w:p w:rsidR="00702081" w:rsidRPr="00702081" w:rsidRDefault="00702081" w:rsidP="00702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период с 01.01.2017 по 31.01.2017 на таможенные посты Шереметьевской таможни подано 15 844 деклараций на товары (далее – ДТ), из которых 15 840 ДТ поданы в электронной форме, что составляет 99,97 % от общего декларационного массива.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указанный период в письменной форме в соответствии с Постановлением Правительства от 13.12.2013 № 1154 подано 4 ДТ на товары, помещаемые под специальную таможенную процедуру.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период с 01.01.2017 по 31.03.2017 на таможенные посты Шереметьевской таможни подано 54 194 деклараций на товары (далее – ДТ), из которых 54 177 ДТ поданы в электронной форме, что составляет 99,97 % от общего декларационного массива.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указанный период в письменной форме в соответствии с Постановлением Правительства от 13.12.2013 № 1154 подано 17 ДТ, из которых: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- 13 ДТ на товары, помещаемые под специальную таможенную процедуру;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- 4 ДТ на товары, помещаемые под таможенную процедуру уничтожения.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период с 01.01.2017 по 30.04.2017 на таможенные посты Шереметьевской таможни подано 73 615 деклараций на товары (далее – ДТ), из которых 73 587 ДТ поданы в электронной форме, что составляет 99,96 % от общего декларационного массива.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указанный период в письменной форме в соответствии с Постановлением Правительства от 13.12.2013 № 1154 подано 28 ДТ, из которых: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- 24 ДТ на товары, помещаемые под специальную таможенную процедуру;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- 4 ДТ на товары, помещаемые под таможенную процедуру уничтожения.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период с 01.01.2017 по 31.05.2017 на таможенные посты Шереметьевской таможни подано 93 521 деклараций на товары (далее – ДТ), из которых 93 486 ДТ поданы в электронной форме, что составляет 99,96 % от общего декларационного массива.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указанный период в письменной форме в соответствии с Постановлением Правительства от 13.12.2013 № 1154 подано 35 ДТ, из которых: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- 30 ДТ на товары, помещаемые под специальную таможенную процедуру;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- 5 ДТ на товары, помещаемые под таможенную процедуру уничтожения.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За период с 01.01.2017 по 30.06.2017 на таможенные посты Шереметьевской таможни подано 114 060 деклараций на товары (далее – ДТ), из которых 114 019 ДТ поданы в электронной форме, что составляет 99,96 % от общего декларационного массива.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За указанный период в письменной форме в соответствии с Постановлением Правительства от 13.12.2013 № 1154 подано 41 ДТ, из которых:</w:t>
      </w:r>
    </w:p>
    <w:p w:rsidR="00702081" w:rsidRPr="00702081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- 36 ДТ на товары, помещаемые под специальную таможенную процедуру;</w:t>
      </w:r>
    </w:p>
    <w:p w:rsidR="00E60310" w:rsidRDefault="00702081" w:rsidP="00702081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2081">
        <w:rPr>
          <w:rFonts w:ascii="Times New Roman" w:eastAsia="Times New Roman" w:hAnsi="Times New Roman" w:cs="Times New Roman"/>
          <w:color w:val="2C2C2C"/>
          <w:sz w:val="28"/>
          <w:szCs w:val="28"/>
        </w:rPr>
        <w:t>- 5 ДТ на товары, помещаемые под таможенную процедуру уничтожения.</w:t>
      </w:r>
    </w:p>
    <w:p w:rsidR="008D4910" w:rsidRDefault="008D4910" w:rsidP="008D4910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910">
        <w:rPr>
          <w:rFonts w:ascii="Times New Roman" w:hAnsi="Times New Roman" w:cs="Times New Roman"/>
          <w:sz w:val="28"/>
          <w:szCs w:val="28"/>
        </w:rPr>
        <w:t>2.2.</w:t>
      </w:r>
      <w:r w:rsidRPr="008D4910">
        <w:rPr>
          <w:rFonts w:ascii="Times New Roman" w:hAnsi="Times New Roman" w:cs="Times New Roman"/>
          <w:sz w:val="28"/>
          <w:szCs w:val="28"/>
        </w:rPr>
        <w:tab/>
        <w:t>Перспективы  развития деятельности отдела административного расследования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по выявлению и пресечению административных правонарушений планируется в связи </w:t>
      </w:r>
      <w:r w:rsidR="00435203">
        <w:rPr>
          <w:rFonts w:ascii="Times New Roman" w:hAnsi="Times New Roman" w:cs="Times New Roman"/>
          <w:sz w:val="28"/>
          <w:szCs w:val="28"/>
        </w:rPr>
        <w:t>с увелечением</w:t>
      </w:r>
      <w:r w:rsidRPr="00F52C13">
        <w:rPr>
          <w:rFonts w:ascii="Times New Roman" w:hAnsi="Times New Roman" w:cs="Times New Roman"/>
          <w:sz w:val="28"/>
          <w:szCs w:val="28"/>
        </w:rPr>
        <w:t xml:space="preserve"> авиарейсов, пребывающих из республики Таджикистан (Душанбе) и Китая (Санья).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Согласно товарного аспекта правонарушений наиболее распространенными предметами административного правонарушения в таможне выступали следующие товары: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табачное изделие «насвай»,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продукты животного и растительного происхождения (мясо, молочные продукты, специи, саженцы),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запчасти к воздушным суднам,</w:t>
      </w:r>
    </w:p>
    <w:p w:rsidR="00F52C13" w:rsidRPr="00F52C1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транспортные средства.</w:t>
      </w:r>
    </w:p>
    <w:p w:rsidR="00F52C13" w:rsidRPr="00435203" w:rsidRDefault="00F52C13" w:rsidP="0043520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По субъектам правонарушений ситуация следующая: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 xml:space="preserve">В структуре  дел об АП в течение </w:t>
      </w:r>
      <w:r>
        <w:rPr>
          <w:rFonts w:ascii="Times New Roman" w:hAnsi="Times New Roman" w:cs="Times New Roman"/>
          <w:sz w:val="28"/>
          <w:szCs w:val="28"/>
        </w:rPr>
        <w:t>первого полугодие</w:t>
      </w:r>
      <w:r w:rsidRPr="00F52C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2C13">
        <w:rPr>
          <w:rFonts w:ascii="Times New Roman" w:hAnsi="Times New Roman" w:cs="Times New Roman"/>
          <w:sz w:val="28"/>
          <w:szCs w:val="28"/>
        </w:rPr>
        <w:t xml:space="preserve"> года преобладали правонарушения, ответственность за которые предусмотрена статьями ч.1 ст.16.3, 16.2, ч.1 ст.16.18, ч.2 ст. 16.24, 15.25  Кодекса Российской Федерации об административных правонарушениях. (Приложение 1).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В текущем периоде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2C13">
        <w:rPr>
          <w:rFonts w:ascii="Times New Roman" w:hAnsi="Times New Roman" w:cs="Times New Roman"/>
          <w:sz w:val="28"/>
          <w:szCs w:val="28"/>
        </w:rPr>
        <w:t xml:space="preserve"> года наблюдается увеличение количества дел, возбужденных по ч.1 ст.16.3  (252 дел об АП):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lastRenderedPageBreak/>
        <w:t>несоблюдение установленных международными договорами государств - членов Таможенного союза,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решениями Комиссии Таможенного союза и нормативными правовыми актами Российской Федерации, изданными в соответствии с международными договорами государств - членов Таможенного союза,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запретов и ограничений, за исключением мер нетарифного регулирования, на ввоз товаров на таможенную территорию Таможенного союза или в Российскую Федерацию и (или) вывоз товаров с таможенной территории Таможенного союза или из Российской Федерации,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2C13">
        <w:rPr>
          <w:rFonts w:ascii="Times New Roman" w:hAnsi="Times New Roman" w:cs="Times New Roman"/>
          <w:sz w:val="28"/>
          <w:szCs w:val="28"/>
        </w:rPr>
        <w:t xml:space="preserve"> году количество дел об АП</w:t>
      </w:r>
      <w:r>
        <w:rPr>
          <w:rFonts w:ascii="Times New Roman" w:hAnsi="Times New Roman" w:cs="Times New Roman"/>
          <w:sz w:val="28"/>
          <w:szCs w:val="28"/>
        </w:rPr>
        <w:t xml:space="preserve"> по данной категории составило 5</w:t>
      </w:r>
      <w:r w:rsidRPr="00F52C13">
        <w:rPr>
          <w:rFonts w:ascii="Times New Roman" w:hAnsi="Times New Roman" w:cs="Times New Roman"/>
          <w:sz w:val="28"/>
          <w:szCs w:val="28"/>
        </w:rPr>
        <w:t>99.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 xml:space="preserve">Вместе с тем, наряду с повышением качества и законности материалов дел об АП имеется судебное решение вынесенное не в пользу таможенного органа по результатам рассмотрения протеста Тюменского транспортного прокурора.    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2C13">
        <w:rPr>
          <w:rFonts w:ascii="Times New Roman" w:hAnsi="Times New Roman" w:cs="Times New Roman"/>
          <w:sz w:val="28"/>
          <w:szCs w:val="28"/>
        </w:rPr>
        <w:t xml:space="preserve"> году Арбитражными судами 1 инстанции рассмотрено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2C13">
        <w:rPr>
          <w:rFonts w:ascii="Times New Roman" w:hAnsi="Times New Roman" w:cs="Times New Roman"/>
          <w:sz w:val="28"/>
          <w:szCs w:val="28"/>
        </w:rPr>
        <w:t>5 заявлений об оспаривании (опротестовании) поста</w:t>
      </w:r>
      <w:r>
        <w:rPr>
          <w:rFonts w:ascii="Times New Roman" w:hAnsi="Times New Roman" w:cs="Times New Roman"/>
          <w:sz w:val="28"/>
          <w:szCs w:val="28"/>
        </w:rPr>
        <w:t>новлений по делам об АП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По 2 делам об АП отказано в удовлетворении заявленных требований: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1 дело по ч.1 ст. 16.9 КоАП России (ФГУП Почта России)– штраф 300 000 тыс. руб.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1 дело по ст. 16.15 КоАП России (ОАО «РЖД»)– штраф 21 000 тыс. руб.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1 дело по ч.1 ст. 16.2 КоАП России (ЗАО «Ростэк Логистика»)– штраф 902 руб.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по 1 делу об АП по ч.3 ст. 16.12 КоАП России принято решение об отмене постановлений таможенного органа (ИП Махмудов).</w:t>
      </w:r>
    </w:p>
    <w:p w:rsidR="00F52C13" w:rsidRP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по 1 делу об АП по ч.2 ст. 16.2 КоАП России принято решение об отмене постановлений таможенного органа и прекращение производства по делу в связи с малозначительностью (ООО «Каррад»)</w:t>
      </w: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 xml:space="preserve">Чаще всего граждане не уплачивают таможенные платежи за драгоценные камни, ювелирные украшения. За 2016 г. таможней </w:t>
      </w:r>
      <w:r w:rsidRPr="00F52C13">
        <w:rPr>
          <w:rFonts w:ascii="Times New Roman" w:hAnsi="Times New Roman" w:cs="Times New Roman"/>
          <w:sz w:val="28"/>
          <w:szCs w:val="28"/>
        </w:rPr>
        <w:lastRenderedPageBreak/>
        <w:t>Шереметьево возбуждено 10 уголовных дел за неуплату таможенных платежей общей стоимостью свыше 58 млн руб. В 2015 г. в аэропорту задержаны ювелирные изделия стоимостью свыше 259 млн руб. В 2014 г. задержаны ювелирные изделия стоимостью 175 млн руб.</w:t>
      </w: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13">
        <w:rPr>
          <w:rFonts w:ascii="Times New Roman" w:hAnsi="Times New Roman" w:cs="Times New Roman"/>
          <w:sz w:val="28"/>
          <w:szCs w:val="28"/>
        </w:rPr>
        <w:t>Всего за I полугодие 2016 г. в таможне Шереметьево зарегистрировано 69 случаев провоза наркотических средств другими способами, в том числе и в международных почтовых отправлениях. По одному случаю уже возбуждено уголовное дело. По остальным материалы переданы в линейное управление внутренних дел для решения вопроса о возбуждении уголовного дела.</w:t>
      </w:r>
    </w:p>
    <w:p w:rsidR="00BE06D9" w:rsidRP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в </w:t>
      </w:r>
      <w:r>
        <w:rPr>
          <w:rFonts w:ascii="Times New Roman" w:hAnsi="Times New Roman" w:cs="Times New Roman"/>
          <w:sz w:val="28"/>
          <w:szCs w:val="28"/>
        </w:rPr>
        <w:t>Шереметьевской таможне РФ</w:t>
      </w:r>
      <w:r w:rsidRPr="00BE06D9">
        <w:rPr>
          <w:rFonts w:ascii="Times New Roman" w:hAnsi="Times New Roman" w:cs="Times New Roman"/>
          <w:sz w:val="28"/>
          <w:szCs w:val="28"/>
        </w:rPr>
        <w:t>, в отделе административных расследований была выполнена следующая работа: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ознакомился со структурным подразделением ОАР;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изучение основных целей и задач их деятельности;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ознакомление с деятельностью на уровне подразделения;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работа на уровне сотрудников подразделения;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частичное выполнение функциональных обязанностей должностных лиц подразделения ОАР;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работа с первичными, сводными и отчетными документами структурного подразделения;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знаний;</w:t>
      </w:r>
    </w:p>
    <w:p w:rsidR="00BE06D9" w:rsidRPr="00BE06D9" w:rsidRDefault="00BE06D9" w:rsidP="00BE06D9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изучение нормативно-правовой базы предприятия.</w:t>
      </w:r>
    </w:p>
    <w:p w:rsidR="00F52C13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Работа в ОАР организуется на основе перспективного сочетания единоначалия в решении служебных вопросов, коллегиальности при их обсуждении, персональной ответственности каждого сотрудника отдела за выполнение плановых мероприятий, состояния дел на закрепленном участке административно - расследовательского обеспечения и выполнения отдельных поручений.</w:t>
      </w: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Анализы, сводки и другие данные собранные материалы представлены в разделе Приложение данного отчета. </w:t>
      </w: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E06D9" w:rsidRP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были изучены, обобщены и систематизированы теоретические знания нормативно-правовой базы, регламентирующей деятельность отдела административных расследований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Шереметьевской </w:t>
      </w:r>
      <w:r w:rsidRPr="00BE06D9">
        <w:rPr>
          <w:rFonts w:ascii="Times New Roman" w:hAnsi="Times New Roman" w:cs="Times New Roman"/>
          <w:sz w:val="28"/>
          <w:szCs w:val="28"/>
        </w:rPr>
        <w:t>таможни.</w:t>
      </w:r>
    </w:p>
    <w:p w:rsidR="00BE06D9" w:rsidRPr="00BE06D9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Приобретены практические навыки в работе с такими программными средствами как: внутренней электронной почтой, анализ информации, просмотр таможенных документов, справочник ВЭД-Инфо, УКИД-2. Во время прохождения практики ознакомился со структурой, функциями и задачами отдела. Закреплены и усвоены знания, полученные в результате изучения общепрофессиональных и специальных дисциплин. Также изучила технологию работы отдела, ознакомилась с порядком взаимодействия с другими функциональными подразделениями.</w:t>
      </w:r>
    </w:p>
    <w:p w:rsidR="00BE06D9" w:rsidRPr="00E674E5" w:rsidRDefault="00BE06D9" w:rsidP="00BE06D9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9">
        <w:rPr>
          <w:rFonts w:ascii="Times New Roman" w:hAnsi="Times New Roman" w:cs="Times New Roman"/>
          <w:sz w:val="28"/>
          <w:szCs w:val="28"/>
        </w:rPr>
        <w:t>Проведен сбор, обработка и анализ материалов, необходимых для выполнения индивидуального задания.</w:t>
      </w: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D833F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Pr="00D833FA" w:rsidRDefault="00D833FA" w:rsidP="00D833F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D1" w:rsidRDefault="005567D1" w:rsidP="005567D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67D1">
        <w:rPr>
          <w:rFonts w:ascii="Times New Roman" w:hAnsi="Times New Roman" w:cs="Times New Roman"/>
          <w:sz w:val="28"/>
          <w:szCs w:val="28"/>
        </w:rPr>
        <w:t>Таможенный кодекс Таможенного Союза</w:t>
      </w:r>
    </w:p>
    <w:p w:rsidR="005567D1" w:rsidRP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67D1">
        <w:rPr>
          <w:rFonts w:ascii="Times New Roman" w:hAnsi="Times New Roman" w:cs="Times New Roman"/>
          <w:sz w:val="28"/>
          <w:szCs w:val="28"/>
        </w:rPr>
        <w:t>Федеральный закон от 27.07.04 № 79-ФЗ «О государст</w:t>
      </w:r>
      <w:r>
        <w:rPr>
          <w:rFonts w:ascii="Times New Roman" w:hAnsi="Times New Roman" w:cs="Times New Roman"/>
          <w:sz w:val="28"/>
          <w:szCs w:val="28"/>
        </w:rPr>
        <w:t>венной гражданской службе в РФ»</w:t>
      </w:r>
    </w:p>
    <w:p w:rsidR="005567D1" w:rsidRP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1">
        <w:rPr>
          <w:rFonts w:ascii="Times New Roman" w:hAnsi="Times New Roman" w:cs="Times New Roman"/>
          <w:sz w:val="28"/>
          <w:szCs w:val="28"/>
        </w:rPr>
        <w:t>3. Федеральный закон РФ от 27 ноября 2010 г. № 311 «О таможенном регули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</w:t>
      </w:r>
    </w:p>
    <w:p w:rsidR="005567D1" w:rsidRP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1">
        <w:rPr>
          <w:rFonts w:ascii="Times New Roman" w:hAnsi="Times New Roman" w:cs="Times New Roman"/>
          <w:sz w:val="28"/>
          <w:szCs w:val="28"/>
        </w:rPr>
        <w:t>4. Приказ ФТС России от 31.01.2011 № 31 «О временном распределении обязанностей между руков</w:t>
      </w:r>
      <w:r>
        <w:rPr>
          <w:rFonts w:ascii="Times New Roman" w:hAnsi="Times New Roman" w:cs="Times New Roman"/>
          <w:sz w:val="28"/>
          <w:szCs w:val="28"/>
        </w:rPr>
        <w:t>одителями таможни»</w:t>
      </w:r>
    </w:p>
    <w:p w:rsidR="005567D1" w:rsidRP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1">
        <w:rPr>
          <w:rFonts w:ascii="Times New Roman" w:hAnsi="Times New Roman" w:cs="Times New Roman"/>
          <w:sz w:val="28"/>
          <w:szCs w:val="28"/>
        </w:rPr>
        <w:t xml:space="preserve">5. Приказ ФТС России от 06.10.2010 № 1839 «О совершенствовании структура таможенных органов, расположенных в </w:t>
      </w:r>
      <w:r>
        <w:rPr>
          <w:rFonts w:ascii="Times New Roman" w:hAnsi="Times New Roman" w:cs="Times New Roman"/>
          <w:sz w:val="28"/>
          <w:szCs w:val="28"/>
        </w:rPr>
        <w:t>Центральном федеральном округе»</w:t>
      </w:r>
    </w:p>
    <w:p w:rsidR="005567D1" w:rsidRDefault="005567D1" w:rsidP="005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1">
        <w:rPr>
          <w:rFonts w:ascii="Times New Roman" w:hAnsi="Times New Roman" w:cs="Times New Roman"/>
          <w:sz w:val="28"/>
          <w:szCs w:val="28"/>
        </w:rPr>
        <w:t>6. Приказ ФТС России от 07.11.2008 № 1394 «О создании Московской таможни»</w:t>
      </w:r>
    </w:p>
    <w:p w:rsidR="005963A1" w:rsidRDefault="005963A1" w:rsidP="00596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63A1">
        <w:rPr>
          <w:rFonts w:ascii="Times New Roman" w:hAnsi="Times New Roman" w:cs="Times New Roman"/>
          <w:sz w:val="28"/>
          <w:szCs w:val="28"/>
        </w:rPr>
        <w:t>http://www.customs.ru/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____________)</w:t>
      </w: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963A1">
        <w:rPr>
          <w:rFonts w:ascii="Times New Roman" w:hAnsi="Times New Roman" w:cs="Times New Roman"/>
          <w:sz w:val="28"/>
          <w:szCs w:val="28"/>
        </w:rPr>
        <w:t>http://sh.customs.ru/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обращения________________)</w:t>
      </w: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3FA" w:rsidRDefault="00D833FA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Default="005963A1" w:rsidP="00596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A1" w:rsidRPr="00D84801" w:rsidRDefault="005963A1" w:rsidP="0059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01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3A1" w:rsidRPr="00D84801" w:rsidRDefault="005963A1" w:rsidP="005963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8"/>
        <w:gridCol w:w="1022"/>
        <w:gridCol w:w="1171"/>
        <w:gridCol w:w="1171"/>
        <w:gridCol w:w="1698"/>
      </w:tblGrid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контрабанды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Iполугодие</w:t>
            </w:r>
          </w:p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Оружие (огнестрельное, холодное, товары двойного назначения, боеприпасы)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Наркотические средства, психотропные и сильнодействующие вещества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Валюта и валютные ценности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СИТЕС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Культурные ценности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Радиоактивные вещества, радиационные источники и ядерные материалы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Изделия из меха и кожи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Ювелирные изделия, драгоценные металлы и камни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963A1" w:rsidRPr="005963A1" w:rsidTr="005963A1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3A1" w:rsidRPr="005963A1" w:rsidRDefault="005963A1" w:rsidP="0059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A1" w:rsidRPr="005963A1" w:rsidRDefault="005963A1" w:rsidP="0059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D84801" w:rsidRDefault="00D84801" w:rsidP="00D8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801" w:rsidRDefault="005963A1" w:rsidP="00D8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A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Основные виды контрабанды в регионе деятельности</w:t>
      </w:r>
    </w:p>
    <w:p w:rsidR="00D84801" w:rsidRDefault="005963A1" w:rsidP="00D8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A1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таможенного поста Аэропорт Шереметьево (пассажирский) в 20</w:t>
      </w:r>
      <w:r w:rsidRPr="00D8480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5963A1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D84801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59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5963A1" w:rsidRPr="00D84801" w:rsidRDefault="005963A1" w:rsidP="00D8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A1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(количество задержаний)</w:t>
      </w:r>
    </w:p>
    <w:p w:rsidR="005963A1" w:rsidRDefault="005963A1" w:rsidP="00D833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963A1" w:rsidRPr="005963A1" w:rsidRDefault="005963A1" w:rsidP="005963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6156118" cy="5082639"/>
            <wp:effectExtent l="19050" t="0" r="0" b="0"/>
            <wp:docPr id="1" name="Рисунок 1" descr="http://www.studfiles.ru/html/2706/73/html_6hVx1r8OkR.oCcg/img-ip3U6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73/html_6hVx1r8OkR.oCcg/img-ip3U6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26" cy="508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D1" w:rsidRDefault="005567D1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13" w:rsidRPr="00D84801" w:rsidRDefault="00F52C13" w:rsidP="00D84801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C13" w:rsidRPr="00D84801" w:rsidRDefault="00D84801" w:rsidP="00D84801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801">
        <w:rPr>
          <w:rFonts w:ascii="Times New Roman" w:hAnsi="Times New Roman" w:cs="Times New Roman"/>
          <w:color w:val="000000"/>
          <w:sz w:val="26"/>
          <w:szCs w:val="26"/>
        </w:rPr>
        <w:t>Диаграмма 1. Основные виды контрабанды в регионе деятельности таможенного поста Аэропорт Шереметьево (пассажирский)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г. </w:t>
      </w:r>
    </w:p>
    <w:p w:rsidR="00F52C13" w:rsidRDefault="00F52C13" w:rsidP="00F52C1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13" w:rsidRDefault="00F52C13" w:rsidP="00BE06D9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noProof/>
        </w:rPr>
      </w:pPr>
    </w:p>
    <w:p w:rsidR="00B47E18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8623" cy="5925787"/>
            <wp:effectExtent l="19050" t="0" r="6927" b="0"/>
            <wp:docPr id="4" name="Рисунок 4" descr="http://www.studfiles.ru/html/2706/73/html_6hVx1r8OkR.oCcg/img-6ubB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73/html_6hVx1r8OkR.oCcg/img-6ubB9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42" cy="593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Pr="00D84801" w:rsidRDefault="00D84801" w:rsidP="00D84801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801" w:rsidRPr="00D84801" w:rsidRDefault="00D84801" w:rsidP="00D84801">
      <w:pPr>
        <w:pStyle w:val="a3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801">
        <w:rPr>
          <w:rFonts w:ascii="Times New Roman" w:hAnsi="Times New Roman" w:cs="Times New Roman"/>
          <w:color w:val="000000"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84801">
        <w:rPr>
          <w:rFonts w:ascii="Times New Roman" w:hAnsi="Times New Roman" w:cs="Times New Roman"/>
          <w:color w:val="000000"/>
          <w:sz w:val="26"/>
          <w:szCs w:val="26"/>
        </w:rPr>
        <w:t>. Основные виды контрабанды в регионе деятельности таможенного поста Аэропорт Шереметьево (пассажирский)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2015 г. </w:t>
      </w: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39823" cy="4975761"/>
            <wp:effectExtent l="19050" t="0" r="3777" b="0"/>
            <wp:docPr id="13" name="Рисунок 13" descr="http://www.studfiles.ru/html/2706/73/html_6hVx1r8OkR.oCcg/img-CKYl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73/html_6hVx1r8OkR.oCcg/img-CKYlM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7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801">
        <w:rPr>
          <w:rFonts w:ascii="Times New Roman" w:hAnsi="Times New Roman" w:cs="Times New Roman"/>
          <w:color w:val="000000"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84801">
        <w:rPr>
          <w:rFonts w:ascii="Times New Roman" w:hAnsi="Times New Roman" w:cs="Times New Roman"/>
          <w:color w:val="000000"/>
          <w:sz w:val="26"/>
          <w:szCs w:val="26"/>
        </w:rPr>
        <w:t>. Основные виды контрабанды в регионе деятельности таможенного поста Аэропорт Шереметьево (пассажирский)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2016 г.</w:t>
      </w: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8553" cy="5118265"/>
            <wp:effectExtent l="19050" t="0" r="5047" b="0"/>
            <wp:docPr id="10" name="Рисунок 10" descr="http://www.studfiles.ru/html/2706/73/html_6hVx1r8OkR.oCcg/img-BqytX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73/html_6hVx1r8OkR.oCcg/img-BqytX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1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01" w:rsidRP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801">
        <w:rPr>
          <w:rFonts w:ascii="Times New Roman" w:hAnsi="Times New Roman" w:cs="Times New Roman"/>
          <w:color w:val="000000"/>
          <w:sz w:val="26"/>
          <w:szCs w:val="26"/>
        </w:rPr>
        <w:t>Диаграмма 4. Основные виды контрабанды в регионе деятельности таможенного поста Аэропорт Шереметьево (пассажирский) в I полугодии 2017 года.</w:t>
      </w: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2"/>
        <w:gridCol w:w="1506"/>
        <w:gridCol w:w="1505"/>
        <w:gridCol w:w="1505"/>
        <w:gridCol w:w="1952"/>
      </w:tblGrid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Квалификация</w:t>
            </w:r>
          </w:p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правонарушения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6A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  <w:r w:rsidR="006A55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6A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  <w:r w:rsidR="006A55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6A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  <w:r w:rsidR="006A55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Iполугодие</w:t>
            </w:r>
          </w:p>
          <w:p w:rsidR="00D84801" w:rsidRPr="00D84801" w:rsidRDefault="00D84801" w:rsidP="006A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  <w:r w:rsidR="006A55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</w:t>
            </w: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года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ч. 1 ст. 188 УК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268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144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ч. 2 ст. 188 УК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42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ч. 1 ст. 16.2 КоАП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ч. 3 ст. 16.1 КоАП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ч. 2 ст. 16.2 КоАП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</w:tr>
      <w:tr w:rsidR="00D84801" w:rsidRPr="00D84801" w:rsidTr="006A550D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ст. 16.4 КоАП РФ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801" w:rsidRPr="00D84801" w:rsidRDefault="00D84801" w:rsidP="00D8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848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231</w:t>
            </w:r>
          </w:p>
        </w:tc>
      </w:tr>
    </w:tbl>
    <w:p w:rsidR="006A550D" w:rsidRDefault="006A550D" w:rsidP="006A55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A550D" w:rsidRPr="006A550D" w:rsidRDefault="006A550D" w:rsidP="006A5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4801" w:rsidRPr="00D84801" w:rsidRDefault="00D84801" w:rsidP="006A5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801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 3. Количество возбужденных уголовных дел и дел об административных правонарушениях в регионе деятельности таможенного поста Аэропорт Шереметьево (пассажирский) в 20</w:t>
      </w:r>
      <w:r w:rsidR="006A550D" w:rsidRPr="006A550D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D84801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6A550D" w:rsidRPr="006A550D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D848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гг.</w:t>
      </w:r>
    </w:p>
    <w:p w:rsidR="00D84801" w:rsidRPr="00D84801" w:rsidRDefault="00D84801" w:rsidP="00D848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4801" w:rsidRPr="00D84801" w:rsidSect="00D84801">
      <w:headerReference w:type="default" r:id="rId12"/>
      <w:footerReference w:type="default" r:id="rId13"/>
      <w:pgSz w:w="11906" w:h="16838"/>
      <w:pgMar w:top="1134" w:right="1416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D3" w:rsidRDefault="00F418D3" w:rsidP="00E60310">
      <w:pPr>
        <w:spacing w:after="0" w:line="240" w:lineRule="auto"/>
      </w:pPr>
      <w:r>
        <w:separator/>
      </w:r>
    </w:p>
  </w:endnote>
  <w:endnote w:type="continuationSeparator" w:id="1">
    <w:p w:rsidR="00F418D3" w:rsidRDefault="00F418D3" w:rsidP="00E6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0980"/>
      <w:docPartObj>
        <w:docPartGallery w:val="Page Numbers (Bottom of Page)"/>
        <w:docPartUnique/>
      </w:docPartObj>
    </w:sdtPr>
    <w:sdtContent>
      <w:p w:rsidR="00E60310" w:rsidRDefault="00F27C68">
        <w:pPr>
          <w:pStyle w:val="a6"/>
          <w:jc w:val="right"/>
        </w:pPr>
        <w:fldSimple w:instr=" PAGE   \* MERGEFORMAT ">
          <w:r w:rsidR="00D833FA">
            <w:rPr>
              <w:noProof/>
            </w:rPr>
            <w:t>20</w:t>
          </w:r>
        </w:fldSimple>
      </w:p>
    </w:sdtContent>
  </w:sdt>
  <w:p w:rsidR="00E60310" w:rsidRDefault="00E603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D3" w:rsidRDefault="00F418D3" w:rsidP="00E60310">
      <w:pPr>
        <w:spacing w:after="0" w:line="240" w:lineRule="auto"/>
      </w:pPr>
      <w:r>
        <w:separator/>
      </w:r>
    </w:p>
  </w:footnote>
  <w:footnote w:type="continuationSeparator" w:id="1">
    <w:p w:rsidR="00F418D3" w:rsidRDefault="00F418D3" w:rsidP="00E6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10" w:rsidRDefault="00E60310" w:rsidP="00E60310">
    <w:pPr>
      <w:pStyle w:val="a4"/>
    </w:pPr>
  </w:p>
  <w:p w:rsidR="00E60310" w:rsidRDefault="00E603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043"/>
    <w:multiLevelType w:val="multilevel"/>
    <w:tmpl w:val="DE5E6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FA38FB"/>
    <w:multiLevelType w:val="hybridMultilevel"/>
    <w:tmpl w:val="60DC3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E6398E"/>
    <w:multiLevelType w:val="multilevel"/>
    <w:tmpl w:val="DE5E6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EE1D87"/>
    <w:multiLevelType w:val="multilevel"/>
    <w:tmpl w:val="DE5E6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781"/>
    <w:rsid w:val="000D1DC5"/>
    <w:rsid w:val="00107138"/>
    <w:rsid w:val="001372C4"/>
    <w:rsid w:val="0029273E"/>
    <w:rsid w:val="00435203"/>
    <w:rsid w:val="004C590B"/>
    <w:rsid w:val="005567D1"/>
    <w:rsid w:val="005963A1"/>
    <w:rsid w:val="005B11AF"/>
    <w:rsid w:val="00680697"/>
    <w:rsid w:val="006A550D"/>
    <w:rsid w:val="00702081"/>
    <w:rsid w:val="007E6986"/>
    <w:rsid w:val="008C4F7C"/>
    <w:rsid w:val="008D4910"/>
    <w:rsid w:val="008F0BFA"/>
    <w:rsid w:val="0095297B"/>
    <w:rsid w:val="00AE4781"/>
    <w:rsid w:val="00B47E18"/>
    <w:rsid w:val="00BD1ADA"/>
    <w:rsid w:val="00BE06D9"/>
    <w:rsid w:val="00D03CE8"/>
    <w:rsid w:val="00D34900"/>
    <w:rsid w:val="00D833FA"/>
    <w:rsid w:val="00D84801"/>
    <w:rsid w:val="00DB1727"/>
    <w:rsid w:val="00E140E2"/>
    <w:rsid w:val="00E302CC"/>
    <w:rsid w:val="00E60310"/>
    <w:rsid w:val="00E674E5"/>
    <w:rsid w:val="00F27C68"/>
    <w:rsid w:val="00F418D3"/>
    <w:rsid w:val="00F458FD"/>
    <w:rsid w:val="00F52C13"/>
    <w:rsid w:val="00F6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B"/>
  </w:style>
  <w:style w:type="paragraph" w:styleId="2">
    <w:name w:val="heading 2"/>
    <w:basedOn w:val="a"/>
    <w:link w:val="20"/>
    <w:uiPriority w:val="9"/>
    <w:qFormat/>
    <w:rsid w:val="007E6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310"/>
  </w:style>
  <w:style w:type="paragraph" w:styleId="a6">
    <w:name w:val="footer"/>
    <w:basedOn w:val="a"/>
    <w:link w:val="a7"/>
    <w:uiPriority w:val="99"/>
    <w:unhideWhenUsed/>
    <w:rsid w:val="00E6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310"/>
  </w:style>
  <w:style w:type="character" w:customStyle="1" w:styleId="20">
    <w:name w:val="Заголовок 2 Знак"/>
    <w:basedOn w:val="a0"/>
    <w:link w:val="2"/>
    <w:uiPriority w:val="9"/>
    <w:rsid w:val="007E69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7E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140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318D-995B-4DB5-A40E-E1645403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2017-07-27T06:11:00Z</dcterms:created>
  <dcterms:modified xsi:type="dcterms:W3CDTF">2017-07-28T16:18:00Z</dcterms:modified>
</cp:coreProperties>
</file>