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30" w:rsidRDefault="00F44E32" w:rsidP="00F44E32">
      <w:pPr>
        <w:jc w:val="center"/>
        <w:rPr>
          <w:rFonts w:ascii="Times New Roman" w:hAnsi="Times New Roman" w:cs="Times New Roman"/>
          <w:b/>
          <w:sz w:val="24"/>
        </w:rPr>
      </w:pPr>
      <w:r w:rsidRPr="00F44E32">
        <w:rPr>
          <w:rFonts w:ascii="Times New Roman" w:hAnsi="Times New Roman" w:cs="Times New Roman"/>
          <w:b/>
          <w:sz w:val="24"/>
        </w:rPr>
        <w:t>Эффективность пенсионной системы РФ</w:t>
      </w:r>
    </w:p>
    <w:p w:rsidR="00542F16" w:rsidRDefault="00542F16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0FD8" w:rsidRPr="00810FD8" w:rsidRDefault="00810FD8" w:rsidP="00810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Старение</w:t>
      </w:r>
      <w:r w:rsidRPr="00810FD8">
        <w:rPr>
          <w:rFonts w:ascii="Times New Roman" w:hAnsi="Times New Roman" w:cs="Times New Roman"/>
          <w:sz w:val="24"/>
        </w:rPr>
        <w:t xml:space="preserve"> населе</w:t>
      </w:r>
      <w:r>
        <w:rPr>
          <w:rFonts w:ascii="Times New Roman" w:hAnsi="Times New Roman" w:cs="Times New Roman"/>
          <w:sz w:val="24"/>
        </w:rPr>
        <w:t xml:space="preserve">ния является распространенной </w:t>
      </w:r>
      <w:r w:rsidRPr="00810FD8">
        <w:rPr>
          <w:rFonts w:ascii="Times New Roman" w:hAnsi="Times New Roman" w:cs="Times New Roman"/>
          <w:sz w:val="24"/>
        </w:rPr>
        <w:t>проблемой как разви</w:t>
      </w:r>
      <w:r>
        <w:rPr>
          <w:rFonts w:ascii="Times New Roman" w:hAnsi="Times New Roman" w:cs="Times New Roman"/>
          <w:sz w:val="24"/>
        </w:rPr>
        <w:t xml:space="preserve">тых, так и развивающихся стран. </w:t>
      </w:r>
      <w:r w:rsidRPr="00810FD8">
        <w:rPr>
          <w:rFonts w:ascii="Times New Roman" w:hAnsi="Times New Roman" w:cs="Times New Roman"/>
          <w:sz w:val="24"/>
        </w:rPr>
        <w:t>Хотя все риски для</w:t>
      </w:r>
      <w:r>
        <w:rPr>
          <w:rFonts w:ascii="Times New Roman" w:hAnsi="Times New Roman" w:cs="Times New Roman"/>
          <w:sz w:val="24"/>
        </w:rPr>
        <w:t xml:space="preserve"> рынка труда и системы социаль</w:t>
      </w:r>
      <w:r w:rsidRPr="00810FD8">
        <w:rPr>
          <w:rFonts w:ascii="Times New Roman" w:hAnsi="Times New Roman" w:cs="Times New Roman"/>
          <w:sz w:val="24"/>
        </w:rPr>
        <w:t xml:space="preserve">ного страхования </w:t>
      </w:r>
      <w:r>
        <w:rPr>
          <w:rFonts w:ascii="Times New Roman" w:hAnsi="Times New Roman" w:cs="Times New Roman"/>
          <w:sz w:val="24"/>
        </w:rPr>
        <w:t xml:space="preserve">еще не реализовались полностью, </w:t>
      </w:r>
      <w:r w:rsidRPr="00810FD8">
        <w:rPr>
          <w:rFonts w:ascii="Times New Roman" w:hAnsi="Times New Roman" w:cs="Times New Roman"/>
          <w:sz w:val="24"/>
        </w:rPr>
        <w:t>наметившиеся дем</w:t>
      </w:r>
      <w:r>
        <w:rPr>
          <w:rFonts w:ascii="Times New Roman" w:hAnsi="Times New Roman" w:cs="Times New Roman"/>
          <w:sz w:val="24"/>
        </w:rPr>
        <w:t xml:space="preserve">ографические тренды не могут не </w:t>
      </w:r>
      <w:r w:rsidRPr="00810FD8">
        <w:rPr>
          <w:rFonts w:ascii="Times New Roman" w:hAnsi="Times New Roman" w:cs="Times New Roman"/>
          <w:sz w:val="24"/>
        </w:rPr>
        <w:t>вызывать беспокойство.</w:t>
      </w:r>
    </w:p>
    <w:p w:rsidR="00810FD8" w:rsidRDefault="00810FD8" w:rsidP="00810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FD8">
        <w:rPr>
          <w:rFonts w:ascii="Times New Roman" w:hAnsi="Times New Roman" w:cs="Times New Roman"/>
          <w:sz w:val="24"/>
        </w:rPr>
        <w:t>В России пробле</w:t>
      </w:r>
      <w:r>
        <w:rPr>
          <w:rFonts w:ascii="Times New Roman" w:hAnsi="Times New Roman" w:cs="Times New Roman"/>
          <w:sz w:val="24"/>
        </w:rPr>
        <w:t>ма старения населения усугубля</w:t>
      </w:r>
      <w:r w:rsidRPr="00810FD8">
        <w:rPr>
          <w:rFonts w:ascii="Times New Roman" w:hAnsi="Times New Roman" w:cs="Times New Roman"/>
          <w:sz w:val="24"/>
        </w:rPr>
        <w:t>ется, во-первых, отно</w:t>
      </w:r>
      <w:r>
        <w:rPr>
          <w:rFonts w:ascii="Times New Roman" w:hAnsi="Times New Roman" w:cs="Times New Roman"/>
          <w:sz w:val="24"/>
        </w:rPr>
        <w:t>сительно низким возрастом выхо</w:t>
      </w:r>
      <w:r w:rsidRPr="00810FD8">
        <w:rPr>
          <w:rFonts w:ascii="Times New Roman" w:hAnsi="Times New Roman" w:cs="Times New Roman"/>
          <w:sz w:val="24"/>
        </w:rPr>
        <w:t>да на пенсию по ср</w:t>
      </w:r>
      <w:r>
        <w:rPr>
          <w:rFonts w:ascii="Times New Roman" w:hAnsi="Times New Roman" w:cs="Times New Roman"/>
          <w:sz w:val="24"/>
        </w:rPr>
        <w:t xml:space="preserve">авнению со странами Организации </w:t>
      </w:r>
      <w:r w:rsidRPr="00810FD8">
        <w:rPr>
          <w:rFonts w:ascii="Times New Roman" w:hAnsi="Times New Roman" w:cs="Times New Roman"/>
          <w:sz w:val="24"/>
        </w:rPr>
        <w:t>экономического с</w:t>
      </w:r>
      <w:r>
        <w:rPr>
          <w:rFonts w:ascii="Times New Roman" w:hAnsi="Times New Roman" w:cs="Times New Roman"/>
          <w:sz w:val="24"/>
        </w:rPr>
        <w:t xml:space="preserve">отрудничества и развития (ОЭСР) </w:t>
      </w:r>
      <w:r w:rsidRPr="00810FD8">
        <w:rPr>
          <w:rFonts w:ascii="Times New Roman" w:hAnsi="Times New Roman" w:cs="Times New Roman"/>
          <w:sz w:val="24"/>
        </w:rPr>
        <w:t>даже с поправкой на</w:t>
      </w:r>
      <w:r>
        <w:rPr>
          <w:rFonts w:ascii="Times New Roman" w:hAnsi="Times New Roman" w:cs="Times New Roman"/>
          <w:sz w:val="24"/>
        </w:rPr>
        <w:t xml:space="preserve"> продолжительность жизни, а во-</w:t>
      </w:r>
      <w:r w:rsidRPr="00810FD8">
        <w:rPr>
          <w:rFonts w:ascii="Times New Roman" w:hAnsi="Times New Roman" w:cs="Times New Roman"/>
          <w:sz w:val="24"/>
        </w:rPr>
        <w:t>вторых, уже суще</w:t>
      </w:r>
      <w:r>
        <w:rPr>
          <w:rFonts w:ascii="Times New Roman" w:hAnsi="Times New Roman" w:cs="Times New Roman"/>
          <w:sz w:val="24"/>
        </w:rPr>
        <w:t>ствующими дисбалансами в финан</w:t>
      </w:r>
      <w:r w:rsidRPr="00810FD8">
        <w:rPr>
          <w:rFonts w:ascii="Times New Roman" w:hAnsi="Times New Roman" w:cs="Times New Roman"/>
          <w:sz w:val="24"/>
        </w:rPr>
        <w:t>сировании пенсионного обеспечения.</w:t>
      </w:r>
    </w:p>
    <w:p w:rsidR="00542F16" w:rsidRPr="00542F16" w:rsidRDefault="00542F16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 xml:space="preserve">Изменения пенсионной системы РФ связаны </w:t>
      </w:r>
      <w:r w:rsidR="00C9731E">
        <w:rPr>
          <w:rFonts w:ascii="Times New Roman" w:hAnsi="Times New Roman" w:cs="Times New Roman"/>
          <w:sz w:val="24"/>
        </w:rPr>
        <w:t xml:space="preserve">главным образом </w:t>
      </w:r>
      <w:r w:rsidRPr="00542F16">
        <w:rPr>
          <w:rFonts w:ascii="Times New Roman" w:hAnsi="Times New Roman" w:cs="Times New Roman"/>
          <w:sz w:val="24"/>
        </w:rPr>
        <w:t>с проведением реформ и созданием новых форм пенсионного обеспечения. Цель</w:t>
      </w:r>
      <w:r w:rsidR="00C9731E">
        <w:rPr>
          <w:rFonts w:ascii="Times New Roman" w:hAnsi="Times New Roman" w:cs="Times New Roman"/>
          <w:sz w:val="24"/>
        </w:rPr>
        <w:t>ю</w:t>
      </w:r>
      <w:r w:rsidRPr="00542F16">
        <w:rPr>
          <w:rFonts w:ascii="Times New Roman" w:hAnsi="Times New Roman" w:cs="Times New Roman"/>
          <w:sz w:val="24"/>
        </w:rPr>
        <w:t xml:space="preserve"> проводимых реформ </w:t>
      </w:r>
      <w:r w:rsidR="00C9731E">
        <w:rPr>
          <w:rFonts w:ascii="Times New Roman" w:hAnsi="Times New Roman" w:cs="Times New Roman"/>
          <w:sz w:val="24"/>
        </w:rPr>
        <w:t>является</w:t>
      </w:r>
      <w:r w:rsidRPr="00542F16">
        <w:rPr>
          <w:rFonts w:ascii="Times New Roman" w:hAnsi="Times New Roman" w:cs="Times New Roman"/>
          <w:sz w:val="24"/>
        </w:rPr>
        <w:t xml:space="preserve"> устойчивое функционирование и эффективная работа пенсионной системы, которая должна обеспечивать достойный уровень жизни пенсионерам. В связи с большой важностью для общества состояние и эффективность пенсионной системы должны находиться под постоянным контролем.</w:t>
      </w:r>
    </w:p>
    <w:p w:rsidR="00687179" w:rsidRDefault="00687179" w:rsidP="00687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87179">
        <w:rPr>
          <w:rFonts w:ascii="Times New Roman" w:hAnsi="Times New Roman" w:cs="Times New Roman"/>
          <w:sz w:val="24"/>
        </w:rPr>
        <w:t>Пенсионн</w:t>
      </w:r>
      <w:r w:rsidR="00C9731E">
        <w:rPr>
          <w:rFonts w:ascii="Times New Roman" w:hAnsi="Times New Roman" w:cs="Times New Roman"/>
          <w:sz w:val="24"/>
        </w:rPr>
        <w:t xml:space="preserve">ая система представляет собой </w:t>
      </w:r>
      <w:r w:rsidR="00F46BF7">
        <w:rPr>
          <w:rFonts w:ascii="Times New Roman" w:hAnsi="Times New Roman" w:cs="Times New Roman"/>
          <w:sz w:val="24"/>
        </w:rPr>
        <w:t>систему нормативно-правовых актов, г</w:t>
      </w:r>
      <w:r w:rsidRPr="00687179">
        <w:rPr>
          <w:rFonts w:ascii="Times New Roman" w:hAnsi="Times New Roman" w:cs="Times New Roman"/>
          <w:sz w:val="24"/>
        </w:rPr>
        <w:t>осу</w:t>
      </w:r>
      <w:r w:rsidR="00976637">
        <w:rPr>
          <w:rFonts w:ascii="Times New Roman" w:hAnsi="Times New Roman" w:cs="Times New Roman"/>
          <w:sz w:val="24"/>
        </w:rPr>
        <w:t>дарственных и частных субъектов</w:t>
      </w:r>
      <w:r>
        <w:rPr>
          <w:rFonts w:ascii="Times New Roman" w:hAnsi="Times New Roman" w:cs="Times New Roman"/>
          <w:sz w:val="24"/>
        </w:rPr>
        <w:t xml:space="preserve">, </w:t>
      </w:r>
      <w:r w:rsidR="00976637">
        <w:rPr>
          <w:rFonts w:ascii="Times New Roman" w:hAnsi="Times New Roman" w:cs="Times New Roman"/>
          <w:sz w:val="24"/>
        </w:rPr>
        <w:t xml:space="preserve">которые направлены на обеспечение </w:t>
      </w:r>
      <w:r w:rsidRPr="00687179">
        <w:rPr>
          <w:rFonts w:ascii="Times New Roman" w:hAnsi="Times New Roman" w:cs="Times New Roman"/>
          <w:sz w:val="24"/>
        </w:rPr>
        <w:t xml:space="preserve"> периодически</w:t>
      </w:r>
      <w:r w:rsidR="00976637">
        <w:rPr>
          <w:rFonts w:ascii="Times New Roman" w:hAnsi="Times New Roman" w:cs="Times New Roman"/>
          <w:sz w:val="24"/>
        </w:rPr>
        <w:t>х</w:t>
      </w:r>
      <w:r w:rsidRPr="00687179">
        <w:rPr>
          <w:rFonts w:ascii="Times New Roman" w:hAnsi="Times New Roman" w:cs="Times New Roman"/>
          <w:sz w:val="24"/>
        </w:rPr>
        <w:t xml:space="preserve"> выплат</w:t>
      </w:r>
      <w:bookmarkStart w:id="0" w:name="_GoBack"/>
      <w:bookmarkEnd w:id="0"/>
      <w:r w:rsidRPr="00687179">
        <w:rPr>
          <w:rFonts w:ascii="Times New Roman" w:hAnsi="Times New Roman" w:cs="Times New Roman"/>
          <w:sz w:val="24"/>
        </w:rPr>
        <w:t xml:space="preserve"> гражданам денежных средств при достижении пенсионного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687179">
        <w:rPr>
          <w:rFonts w:ascii="Times New Roman" w:hAnsi="Times New Roman" w:cs="Times New Roman"/>
          <w:sz w:val="24"/>
        </w:rPr>
        <w:t>возраста, а также в случае инвалидности или утраты кормильца</w:t>
      </w:r>
      <w:r>
        <w:rPr>
          <w:rFonts w:ascii="Times New Roman" w:hAnsi="Times New Roman" w:cs="Times New Roman"/>
          <w:sz w:val="24"/>
        </w:rPr>
        <w:t>.</w:t>
      </w:r>
    </w:p>
    <w:p w:rsidR="00774F2A" w:rsidRDefault="00542F16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>С момента создания российской пенсионной системы государство стремилось обеспечить соответствие системы текущей экономической ситуации. История пенсионной системы России насчитывает несколько этапов, каждый из которых имеет отличительные осо</w:t>
      </w:r>
      <w:r w:rsidR="00F46BF7">
        <w:rPr>
          <w:rFonts w:ascii="Times New Roman" w:hAnsi="Times New Roman" w:cs="Times New Roman"/>
          <w:sz w:val="24"/>
        </w:rPr>
        <w:t>бенности. В 1990 году был образован</w:t>
      </w:r>
      <w:r w:rsidRPr="00542F16">
        <w:rPr>
          <w:rFonts w:ascii="Times New Roman" w:hAnsi="Times New Roman" w:cs="Times New Roman"/>
          <w:sz w:val="24"/>
        </w:rPr>
        <w:t xml:space="preserve"> Пенсионный Фонд России (ПФР). Механизм финансирования и выплаты пенсий предполагал получение поступлений обязательных страховых взносов работодателей и граждан. </w:t>
      </w:r>
    </w:p>
    <w:p w:rsidR="00810FD8" w:rsidRDefault="00542F16" w:rsidP="00810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 xml:space="preserve">В 1992 году был подписан указ «О негосударственных пенсионных фондах», который позволил предприятиям, коллективам граждан и общественным объединениям учреждать негосударственные пенсионные фонды. В 1995 году была принята концепция реформы пенсионного обеспечения – пенсия стала состоять из трех частей (базовой, трудовой и негосударственной). Также размер пенсий был поставлен в зависимость от взносов, переведенных за время трудового стажа. ПФР начинает вести индивидуальный учет сведений о пенсионных правах каждого гражданина страны. В 2002 году произошел переход от уравнительных принципов солидарной пенсии к </w:t>
      </w:r>
      <w:proofErr w:type="gramStart"/>
      <w:r w:rsidRPr="00542F16">
        <w:rPr>
          <w:rFonts w:ascii="Times New Roman" w:hAnsi="Times New Roman" w:cs="Times New Roman"/>
          <w:sz w:val="24"/>
        </w:rPr>
        <w:t>распределительно-</w:t>
      </w:r>
      <w:r w:rsidRPr="00542F16">
        <w:rPr>
          <w:rFonts w:ascii="Times New Roman" w:hAnsi="Times New Roman" w:cs="Times New Roman"/>
          <w:sz w:val="24"/>
        </w:rPr>
        <w:lastRenderedPageBreak/>
        <w:t>накопительным</w:t>
      </w:r>
      <w:proofErr w:type="gramEnd"/>
      <w:r w:rsidRPr="00542F16">
        <w:rPr>
          <w:rFonts w:ascii="Times New Roman" w:hAnsi="Times New Roman" w:cs="Times New Roman"/>
          <w:sz w:val="24"/>
        </w:rPr>
        <w:t xml:space="preserve"> (введение базовой, страховой и накопительной частей пенсии). В 2004 году негосударственные пенсионные фонды (НПФ) получили право заключать договора обязательного пенсионного страхования (ОПС), что дало возможность гражданам формировать и увеличивать </w:t>
      </w:r>
      <w:r w:rsidR="00481371">
        <w:rPr>
          <w:rFonts w:ascii="Times New Roman" w:hAnsi="Times New Roman" w:cs="Times New Roman"/>
          <w:sz w:val="24"/>
        </w:rPr>
        <w:t>накопительную часть пенсии.</w:t>
      </w:r>
      <w:r w:rsidR="00481371">
        <w:rPr>
          <w:rStyle w:val="a7"/>
          <w:rFonts w:ascii="Times New Roman" w:hAnsi="Times New Roman" w:cs="Times New Roman"/>
          <w:sz w:val="24"/>
        </w:rPr>
        <w:footnoteReference w:id="1"/>
      </w:r>
      <w:r w:rsidR="00481371">
        <w:rPr>
          <w:rFonts w:ascii="Times New Roman" w:hAnsi="Times New Roman" w:cs="Times New Roman"/>
          <w:sz w:val="24"/>
        </w:rPr>
        <w:t xml:space="preserve"> </w:t>
      </w:r>
      <w:r w:rsidRPr="00542F16">
        <w:rPr>
          <w:rFonts w:ascii="Times New Roman" w:hAnsi="Times New Roman" w:cs="Times New Roman"/>
          <w:sz w:val="24"/>
        </w:rPr>
        <w:t>В 2010-2012 гг. Единый социальный налог (ЕСН) был заменен страховыми взносами для формирован</w:t>
      </w:r>
      <w:r w:rsidR="00F46BF7">
        <w:rPr>
          <w:rFonts w:ascii="Times New Roman" w:hAnsi="Times New Roman" w:cs="Times New Roman"/>
          <w:sz w:val="24"/>
        </w:rPr>
        <w:t>ия пенсий. Пенсия стала образовываться 2 частями – накопительной</w:t>
      </w:r>
      <w:r w:rsidRPr="00542F16">
        <w:rPr>
          <w:rFonts w:ascii="Times New Roman" w:hAnsi="Times New Roman" w:cs="Times New Roman"/>
          <w:sz w:val="24"/>
        </w:rPr>
        <w:t xml:space="preserve"> и страхов</w:t>
      </w:r>
      <w:r w:rsidR="00F46BF7">
        <w:rPr>
          <w:rFonts w:ascii="Times New Roman" w:hAnsi="Times New Roman" w:cs="Times New Roman"/>
          <w:sz w:val="24"/>
        </w:rPr>
        <w:t>ой</w:t>
      </w:r>
      <w:r w:rsidRPr="00542F16">
        <w:rPr>
          <w:rFonts w:ascii="Times New Roman" w:hAnsi="Times New Roman" w:cs="Times New Roman"/>
          <w:sz w:val="24"/>
        </w:rPr>
        <w:t xml:space="preserve"> (базовый размер вошел в страховую часть). В 2013-2015 гг. вводится новый порядок формирования пенсионных прав – учитывается стаж, размер страховых отчислений, возраст выхода на пенсию.</w:t>
      </w:r>
    </w:p>
    <w:p w:rsidR="00542F16" w:rsidRPr="00542F16" w:rsidRDefault="00542F16" w:rsidP="00810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>Предоставляется выбор тарифа для накопительного компонента пенсии (0% или 6%). Однако средства накопительной пенсии были заморожены в бюджете ПФР и направлены на формирование страховой части.</w:t>
      </w:r>
    </w:p>
    <w:p w:rsidR="00810FD8" w:rsidRDefault="00810FD8" w:rsidP="00810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FD8">
        <w:rPr>
          <w:rFonts w:ascii="Times New Roman" w:hAnsi="Times New Roman" w:cs="Times New Roman"/>
          <w:sz w:val="24"/>
        </w:rPr>
        <w:t>С 2016 г. пре</w:t>
      </w:r>
      <w:r>
        <w:rPr>
          <w:rFonts w:ascii="Times New Roman" w:hAnsi="Times New Roman" w:cs="Times New Roman"/>
          <w:sz w:val="24"/>
        </w:rPr>
        <w:t>кращена индексация пенсий рабо</w:t>
      </w:r>
      <w:r w:rsidRPr="00810FD8">
        <w:rPr>
          <w:rFonts w:ascii="Times New Roman" w:hAnsi="Times New Roman" w:cs="Times New Roman"/>
          <w:sz w:val="24"/>
        </w:rPr>
        <w:t>тающих пенсионер</w:t>
      </w:r>
      <w:r>
        <w:rPr>
          <w:rFonts w:ascii="Times New Roman" w:hAnsi="Times New Roman" w:cs="Times New Roman"/>
          <w:sz w:val="24"/>
        </w:rPr>
        <w:t xml:space="preserve">ов. Такое решение могло оказать </w:t>
      </w:r>
      <w:r w:rsidRPr="00810FD8">
        <w:rPr>
          <w:rFonts w:ascii="Times New Roman" w:hAnsi="Times New Roman" w:cs="Times New Roman"/>
          <w:sz w:val="24"/>
        </w:rPr>
        <w:t xml:space="preserve">значительный </w:t>
      </w:r>
      <w:proofErr w:type="spellStart"/>
      <w:r w:rsidRPr="00810FD8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>стимулирующий</w:t>
      </w:r>
      <w:proofErr w:type="spellEnd"/>
      <w:r>
        <w:rPr>
          <w:rFonts w:ascii="Times New Roman" w:hAnsi="Times New Roman" w:cs="Times New Roman"/>
          <w:sz w:val="24"/>
        </w:rPr>
        <w:t xml:space="preserve"> эффект на продол</w:t>
      </w:r>
      <w:r w:rsidRPr="00810FD8">
        <w:rPr>
          <w:rFonts w:ascii="Times New Roman" w:hAnsi="Times New Roman" w:cs="Times New Roman"/>
          <w:sz w:val="24"/>
        </w:rPr>
        <w:t xml:space="preserve">жение трудовой </w:t>
      </w:r>
      <w:r>
        <w:rPr>
          <w:rFonts w:ascii="Times New Roman" w:hAnsi="Times New Roman" w:cs="Times New Roman"/>
          <w:sz w:val="24"/>
        </w:rPr>
        <w:t xml:space="preserve">деятельности пенсионерами, но в </w:t>
      </w:r>
      <w:r w:rsidRPr="00810FD8">
        <w:rPr>
          <w:rFonts w:ascii="Times New Roman" w:hAnsi="Times New Roman" w:cs="Times New Roman"/>
          <w:sz w:val="24"/>
        </w:rPr>
        <w:t>расчетах для вар</w:t>
      </w:r>
      <w:r>
        <w:rPr>
          <w:rFonts w:ascii="Times New Roman" w:hAnsi="Times New Roman" w:cs="Times New Roman"/>
          <w:sz w:val="24"/>
        </w:rPr>
        <w:t>иантов, не предполагающих повы</w:t>
      </w:r>
      <w:r w:rsidRPr="00810FD8">
        <w:rPr>
          <w:rFonts w:ascii="Times New Roman" w:hAnsi="Times New Roman" w:cs="Times New Roman"/>
          <w:sz w:val="24"/>
        </w:rPr>
        <w:t xml:space="preserve">шение пенсионного </w:t>
      </w:r>
      <w:r>
        <w:rPr>
          <w:rFonts w:ascii="Times New Roman" w:hAnsi="Times New Roman" w:cs="Times New Roman"/>
          <w:sz w:val="24"/>
        </w:rPr>
        <w:t>возраста, мы исходим из умерен</w:t>
      </w:r>
      <w:r w:rsidRPr="00810FD8">
        <w:rPr>
          <w:rFonts w:ascii="Times New Roman" w:hAnsi="Times New Roman" w:cs="Times New Roman"/>
          <w:sz w:val="24"/>
        </w:rPr>
        <w:t>ного снижения дол</w:t>
      </w:r>
      <w:r>
        <w:rPr>
          <w:rFonts w:ascii="Times New Roman" w:hAnsi="Times New Roman" w:cs="Times New Roman"/>
          <w:sz w:val="24"/>
        </w:rPr>
        <w:t xml:space="preserve">и работающих пенсионеров до 35% </w:t>
      </w:r>
      <w:r w:rsidRPr="00810FD8">
        <w:rPr>
          <w:rFonts w:ascii="Times New Roman" w:hAnsi="Times New Roman" w:cs="Times New Roman"/>
          <w:sz w:val="24"/>
        </w:rPr>
        <w:t>и среднего трудово</w:t>
      </w:r>
      <w:r>
        <w:rPr>
          <w:rFonts w:ascii="Times New Roman" w:hAnsi="Times New Roman" w:cs="Times New Roman"/>
          <w:sz w:val="24"/>
        </w:rPr>
        <w:t>го стажа после выхода на пенсию до 6 лет.</w:t>
      </w:r>
    </w:p>
    <w:p w:rsidR="00774F2A" w:rsidRDefault="00542F16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 xml:space="preserve">Таким образом, на размер пенсии в современной пенсионной системе влияют следующие факторы – размер официальной заработной платы, продолжительность трудового стажа и возраст выхода на пенсию определяют размер страховой части пенсии, а накопительная часть формируется за счет действий управляющих компаний. В зависимости от уровня участия в системе обязательного пенсионного страхования можно выделить следующие группы управляющих компаний: государственные управляющие компании (ГУК), негосударственные пенсионные фонды, участвующие в обязательном пенсионном </w:t>
      </w:r>
      <w:r w:rsidR="00774F2A">
        <w:rPr>
          <w:rFonts w:ascii="Times New Roman" w:hAnsi="Times New Roman" w:cs="Times New Roman"/>
          <w:sz w:val="24"/>
        </w:rPr>
        <w:t>страховании.</w:t>
      </w:r>
    </w:p>
    <w:p w:rsidR="00774F2A" w:rsidRDefault="00774F2A" w:rsidP="0077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Главным показателем, характеризующим эффективность ПФР является</w:t>
      </w:r>
      <w:proofErr w:type="gramEnd"/>
      <w:r>
        <w:rPr>
          <w:rFonts w:ascii="Times New Roman" w:hAnsi="Times New Roman" w:cs="Times New Roman"/>
          <w:sz w:val="24"/>
        </w:rPr>
        <w:t xml:space="preserve"> динамика среднего размера пенсии за определенный период. Рассмотрим динамику среднего размера пенсии в период с 2010 по 2016 год. </w:t>
      </w:r>
    </w:p>
    <w:p w:rsidR="00120AF2" w:rsidRDefault="00120AF2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DBAFA00" wp14:editId="04229298">
            <wp:extent cx="5422900" cy="297180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F2A" w:rsidRDefault="00774F2A" w:rsidP="00774F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1 – Динамика среднего размера пенсии за 2010-2016 гг., </w:t>
      </w:r>
      <w:proofErr w:type="spellStart"/>
      <w:r>
        <w:rPr>
          <w:rFonts w:ascii="Times New Roman" w:hAnsi="Times New Roman" w:cs="Times New Roman"/>
          <w:sz w:val="24"/>
        </w:rPr>
        <w:t>руб</w:t>
      </w:r>
      <w:proofErr w:type="spellEnd"/>
      <w:r>
        <w:rPr>
          <w:rStyle w:val="a7"/>
          <w:rFonts w:ascii="Times New Roman" w:hAnsi="Times New Roman" w:cs="Times New Roman"/>
          <w:sz w:val="24"/>
        </w:rPr>
        <w:footnoteReference w:id="2"/>
      </w:r>
    </w:p>
    <w:p w:rsidR="00120AF2" w:rsidRDefault="00774F2A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Как показывает рисунок 1, с 2010 по 2012 год отмечается рост данного показателя, после чего, в 2013 году наблюдается снижение среднего размера пенсии с 12055 рублей до 11970 рублей, то есть на 0,71%. С 2014 года снова отмечается рост среднего размера пенсий и в 2016 году данная величина составляет 12725 рублей.</w:t>
      </w:r>
      <w:proofErr w:type="gramEnd"/>
      <w:r>
        <w:rPr>
          <w:rFonts w:ascii="Times New Roman" w:hAnsi="Times New Roman" w:cs="Times New Roman"/>
          <w:sz w:val="24"/>
        </w:rPr>
        <w:t xml:space="preserve"> В целом за период с 2010 по 2016 год темп роста среднего размера пенсии составил 107,29%. </w:t>
      </w:r>
    </w:p>
    <w:p w:rsidR="00774F2A" w:rsidRDefault="00774F2A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рассмотрим систему коэффициентов, которые позволяют комплексно оценить эффективность пенсионной системы Российской Федерации (см. таблицу 1).</w:t>
      </w:r>
    </w:p>
    <w:p w:rsidR="006B75EE" w:rsidRDefault="006B75EE" w:rsidP="0077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87179" w:rsidRDefault="00774F2A" w:rsidP="0077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1 - </w:t>
      </w:r>
      <w:r w:rsidR="00542F16" w:rsidRPr="00542F16">
        <w:rPr>
          <w:rFonts w:ascii="Times New Roman" w:hAnsi="Times New Roman" w:cs="Times New Roman"/>
          <w:sz w:val="24"/>
        </w:rPr>
        <w:t>Расчет показателей эффе</w:t>
      </w:r>
      <w:r w:rsidR="00687179">
        <w:rPr>
          <w:rFonts w:ascii="Times New Roman" w:hAnsi="Times New Roman" w:cs="Times New Roman"/>
          <w:sz w:val="24"/>
        </w:rPr>
        <w:t>ктивности пенсионной системы РФ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600"/>
        <w:gridCol w:w="960"/>
        <w:gridCol w:w="960"/>
        <w:gridCol w:w="960"/>
        <w:gridCol w:w="960"/>
        <w:gridCol w:w="960"/>
        <w:gridCol w:w="960"/>
        <w:gridCol w:w="960"/>
      </w:tblGrid>
      <w:tr w:rsidR="009E51B5" w:rsidRPr="009E51B5" w:rsidTr="009E51B5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9E51B5" w:rsidRPr="009E51B5" w:rsidTr="009E51B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</w:t>
            </w:r>
            <w:proofErr w:type="gramStart"/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  <w:proofErr w:type="gramEnd"/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экономике, приходящихся на 1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9E51B5" w:rsidRPr="009E51B5" w:rsidTr="009E51B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оценки уровня жизни пенсионеров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9E51B5" w:rsidRPr="009E51B5" w:rsidTr="009E51B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замещения: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1B5" w:rsidRPr="009E51B5" w:rsidTr="009E51B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системе ОПС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9E51B5" w:rsidRPr="009E51B5" w:rsidTr="009E51B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системе негосударственного пенсионного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9E51B5" w:rsidRPr="009E51B5" w:rsidTr="009E51B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агрегированный коэффициент замещения 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9E51B5" w:rsidRPr="009E51B5" w:rsidTr="009E51B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охвата: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1B5" w:rsidRPr="009E51B5" w:rsidTr="009E51B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системе ОПС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9E51B5" w:rsidRPr="009E51B5" w:rsidTr="009E51B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1B5" w:rsidRPr="009E51B5" w:rsidRDefault="009E51B5" w:rsidP="006B75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системе негосударственного пенсионного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B5" w:rsidRPr="009E51B5" w:rsidRDefault="009E51B5" w:rsidP="006B7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0, 0400</w:t>
            </w:r>
          </w:p>
        </w:tc>
      </w:tr>
    </w:tbl>
    <w:p w:rsidR="009E51B5" w:rsidRDefault="009E51B5" w:rsidP="0077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2F16" w:rsidRDefault="009E51B5" w:rsidP="009E51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1A6E149" wp14:editId="542787EC">
            <wp:extent cx="51816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51B5" w:rsidRPr="00542F16" w:rsidRDefault="009E51B5" w:rsidP="009E51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2 – Динамика численности </w:t>
      </w:r>
      <w:proofErr w:type="gramStart"/>
      <w:r>
        <w:rPr>
          <w:rFonts w:ascii="Times New Roman" w:hAnsi="Times New Roman" w:cs="Times New Roman"/>
          <w:sz w:val="24"/>
        </w:rPr>
        <w:t>занятых</w:t>
      </w:r>
      <w:proofErr w:type="gramEnd"/>
      <w:r>
        <w:rPr>
          <w:rFonts w:ascii="Times New Roman" w:hAnsi="Times New Roman" w:cs="Times New Roman"/>
          <w:sz w:val="24"/>
        </w:rPr>
        <w:t xml:space="preserve"> в экономике, приходящихся на 1 пенсионера</w:t>
      </w:r>
    </w:p>
    <w:p w:rsidR="00542F16" w:rsidRPr="00542F16" w:rsidRDefault="00720DB1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результатами расчета, приведенными в таблице 1</w:t>
      </w:r>
      <w:r w:rsidR="009E51B5">
        <w:rPr>
          <w:rFonts w:ascii="Times New Roman" w:hAnsi="Times New Roman" w:cs="Times New Roman"/>
          <w:sz w:val="24"/>
        </w:rPr>
        <w:t xml:space="preserve"> и тенденции рисунка 2</w:t>
      </w:r>
      <w:r>
        <w:rPr>
          <w:rFonts w:ascii="Times New Roman" w:hAnsi="Times New Roman" w:cs="Times New Roman"/>
          <w:sz w:val="24"/>
        </w:rPr>
        <w:t xml:space="preserve">, </w:t>
      </w:r>
      <w:r w:rsidR="00542F16" w:rsidRPr="00542F16">
        <w:rPr>
          <w:rFonts w:ascii="Times New Roman" w:hAnsi="Times New Roman" w:cs="Times New Roman"/>
          <w:sz w:val="24"/>
        </w:rPr>
        <w:t xml:space="preserve"> численность людей, занятых в экономике, приходящихся на 1 пенсионера снижается, что говорит о затруднениях при формировании страхового компонента пенсий.</w:t>
      </w:r>
    </w:p>
    <w:p w:rsidR="00542F16" w:rsidRPr="00542F16" w:rsidRDefault="00542F16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 xml:space="preserve">Коэффициент оценки уровня жизни пенсионеров показывает соотношение среднего уровня пенсии и прожиточного минимума. Его значение говорит о том, что средний размер пенсии в стране превышает прожиточный минимум пенсионера в 1,4-1,8 раз, однако за последние годы наблюдается негативная тенденция снижения данного показателя. Коэффициент замещения показывает степень замещения пенсией утраченного заработка как в системе ОПС, так и при добровольных взносах в НПФ. Агрегированный </w:t>
      </w:r>
      <w:r w:rsidRPr="00542F16">
        <w:rPr>
          <w:rFonts w:ascii="Times New Roman" w:hAnsi="Times New Roman" w:cs="Times New Roman"/>
          <w:sz w:val="24"/>
        </w:rPr>
        <w:lastRenderedPageBreak/>
        <w:t>показатель позволяет учесть влияние обоих компонентов. Значение данного показателя невелико, за анализируемый период уровень замещения заработной платы оставался практически неизменным.</w:t>
      </w:r>
    </w:p>
    <w:p w:rsidR="00542F16" w:rsidRPr="00542F16" w:rsidRDefault="00542F16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>Коэффициент охвата позволяет оценить степень вовлеченности населения в систему обязательного и добровольного пенсионного страхования. За приведенный период не произошло значительного прироста в численности плательщиков обязательных и добровольных пенсионных взносов, что может свидетельствовать о недоверии населения пенсионной системе.</w:t>
      </w:r>
    </w:p>
    <w:p w:rsidR="00810FD8" w:rsidRDefault="00810FD8" w:rsidP="00810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FD8">
        <w:rPr>
          <w:rFonts w:ascii="Times New Roman" w:hAnsi="Times New Roman" w:cs="Times New Roman"/>
          <w:sz w:val="24"/>
        </w:rPr>
        <w:t xml:space="preserve">Эффект отказа </w:t>
      </w:r>
      <w:r>
        <w:rPr>
          <w:rFonts w:ascii="Times New Roman" w:hAnsi="Times New Roman" w:cs="Times New Roman"/>
          <w:sz w:val="24"/>
        </w:rPr>
        <w:t xml:space="preserve">от индексации пенсий работающим </w:t>
      </w:r>
      <w:r w:rsidRPr="00810FD8">
        <w:rPr>
          <w:rFonts w:ascii="Times New Roman" w:hAnsi="Times New Roman" w:cs="Times New Roman"/>
          <w:sz w:val="24"/>
        </w:rPr>
        <w:t>пенсионерам на ве</w:t>
      </w:r>
      <w:r>
        <w:rPr>
          <w:rFonts w:ascii="Times New Roman" w:hAnsi="Times New Roman" w:cs="Times New Roman"/>
          <w:sz w:val="24"/>
        </w:rPr>
        <w:t>личину бюджетных расходов поло</w:t>
      </w:r>
      <w:r w:rsidRPr="00810FD8">
        <w:rPr>
          <w:rFonts w:ascii="Times New Roman" w:hAnsi="Times New Roman" w:cs="Times New Roman"/>
          <w:sz w:val="24"/>
        </w:rPr>
        <w:t xml:space="preserve">жительно зависит от </w:t>
      </w:r>
      <w:r>
        <w:rPr>
          <w:rFonts w:ascii="Times New Roman" w:hAnsi="Times New Roman" w:cs="Times New Roman"/>
          <w:sz w:val="24"/>
        </w:rPr>
        <w:t>числа пенсионеров и размера ин</w:t>
      </w:r>
      <w:r w:rsidRPr="00810FD8">
        <w:rPr>
          <w:rFonts w:ascii="Times New Roman" w:hAnsi="Times New Roman" w:cs="Times New Roman"/>
          <w:sz w:val="24"/>
        </w:rPr>
        <w:t xml:space="preserve">дексации пенсий. </w:t>
      </w:r>
      <w:r>
        <w:rPr>
          <w:rFonts w:ascii="Times New Roman" w:hAnsi="Times New Roman" w:cs="Times New Roman"/>
          <w:sz w:val="24"/>
        </w:rPr>
        <w:t xml:space="preserve">Чем выше темп роста численности </w:t>
      </w:r>
      <w:r w:rsidRPr="00810FD8">
        <w:rPr>
          <w:rFonts w:ascii="Times New Roman" w:hAnsi="Times New Roman" w:cs="Times New Roman"/>
          <w:sz w:val="24"/>
        </w:rPr>
        <w:t>пенсионеров и чем</w:t>
      </w:r>
      <w:r>
        <w:rPr>
          <w:rFonts w:ascii="Times New Roman" w:hAnsi="Times New Roman" w:cs="Times New Roman"/>
          <w:sz w:val="24"/>
        </w:rPr>
        <w:t xml:space="preserve"> выше размер индексации пенсий, </w:t>
      </w:r>
      <w:proofErr w:type="gramStart"/>
      <w:r w:rsidRPr="00810FD8">
        <w:rPr>
          <w:rFonts w:ascii="Times New Roman" w:hAnsi="Times New Roman" w:cs="Times New Roman"/>
          <w:sz w:val="24"/>
        </w:rPr>
        <w:t>зависящий</w:t>
      </w:r>
      <w:proofErr w:type="gramEnd"/>
      <w:r w:rsidRPr="00810FD8">
        <w:rPr>
          <w:rFonts w:ascii="Times New Roman" w:hAnsi="Times New Roman" w:cs="Times New Roman"/>
          <w:sz w:val="24"/>
        </w:rPr>
        <w:t xml:space="preserve"> в том числе</w:t>
      </w:r>
      <w:r>
        <w:rPr>
          <w:rFonts w:ascii="Times New Roman" w:hAnsi="Times New Roman" w:cs="Times New Roman"/>
          <w:sz w:val="24"/>
        </w:rPr>
        <w:t xml:space="preserve"> от темпа экономического роста, </w:t>
      </w:r>
      <w:r w:rsidRPr="00810FD8">
        <w:rPr>
          <w:rFonts w:ascii="Times New Roman" w:hAnsi="Times New Roman" w:cs="Times New Roman"/>
          <w:sz w:val="24"/>
        </w:rPr>
        <w:t>тем выше экономия</w:t>
      </w:r>
      <w:r>
        <w:rPr>
          <w:rFonts w:ascii="Times New Roman" w:hAnsi="Times New Roman" w:cs="Times New Roman"/>
          <w:sz w:val="24"/>
        </w:rPr>
        <w:t xml:space="preserve"> для бюджета в случае отказа от </w:t>
      </w:r>
      <w:r w:rsidRPr="00810FD8">
        <w:rPr>
          <w:rFonts w:ascii="Times New Roman" w:hAnsi="Times New Roman" w:cs="Times New Roman"/>
          <w:sz w:val="24"/>
        </w:rPr>
        <w:t xml:space="preserve">индексации пенсий </w:t>
      </w:r>
      <w:r>
        <w:rPr>
          <w:rFonts w:ascii="Times New Roman" w:hAnsi="Times New Roman" w:cs="Times New Roman"/>
          <w:sz w:val="24"/>
        </w:rPr>
        <w:t>работающим пенсионерам. При по</w:t>
      </w:r>
      <w:r w:rsidRPr="00810FD8">
        <w:rPr>
          <w:rFonts w:ascii="Times New Roman" w:hAnsi="Times New Roman" w:cs="Times New Roman"/>
          <w:sz w:val="24"/>
        </w:rPr>
        <w:t xml:space="preserve">вышении пенсионного </w:t>
      </w:r>
      <w:r>
        <w:rPr>
          <w:rFonts w:ascii="Times New Roman" w:hAnsi="Times New Roman" w:cs="Times New Roman"/>
          <w:sz w:val="24"/>
        </w:rPr>
        <w:t>возраста и ограничении индекса</w:t>
      </w:r>
      <w:r w:rsidRPr="00810FD8">
        <w:rPr>
          <w:rFonts w:ascii="Times New Roman" w:hAnsi="Times New Roman" w:cs="Times New Roman"/>
          <w:sz w:val="24"/>
        </w:rPr>
        <w:t>ции пенсий уровнем инфляции этот эффект минимален</w:t>
      </w:r>
      <w:r>
        <w:rPr>
          <w:rFonts w:ascii="Times New Roman" w:hAnsi="Times New Roman" w:cs="Times New Roman"/>
          <w:sz w:val="24"/>
        </w:rPr>
        <w:t>.</w:t>
      </w:r>
    </w:p>
    <w:p w:rsidR="00542F16" w:rsidRPr="00542F16" w:rsidRDefault="00720DB1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а</w:t>
      </w:r>
      <w:r w:rsidR="00542F16" w:rsidRPr="00542F16">
        <w:rPr>
          <w:rFonts w:ascii="Times New Roman" w:hAnsi="Times New Roman" w:cs="Times New Roman"/>
          <w:sz w:val="24"/>
        </w:rPr>
        <w:t>нал</w:t>
      </w:r>
      <w:r>
        <w:rPr>
          <w:rFonts w:ascii="Times New Roman" w:hAnsi="Times New Roman" w:cs="Times New Roman"/>
          <w:sz w:val="24"/>
        </w:rPr>
        <w:t>из пенсионной системы РФ показывает</w:t>
      </w:r>
      <w:r w:rsidR="00542F16" w:rsidRPr="00542F16">
        <w:rPr>
          <w:rFonts w:ascii="Times New Roman" w:hAnsi="Times New Roman" w:cs="Times New Roman"/>
          <w:sz w:val="24"/>
        </w:rPr>
        <w:t xml:space="preserve">, </w:t>
      </w:r>
      <w:proofErr w:type="gramStart"/>
      <w:r w:rsidR="00542F16" w:rsidRPr="00542F16">
        <w:rPr>
          <w:rFonts w:ascii="Times New Roman" w:hAnsi="Times New Roman" w:cs="Times New Roman"/>
          <w:sz w:val="24"/>
        </w:rPr>
        <w:t>что</w:t>
      </w:r>
      <w:proofErr w:type="gramEnd"/>
      <w:r w:rsidR="00542F16" w:rsidRPr="00542F16">
        <w:rPr>
          <w:rFonts w:ascii="Times New Roman" w:hAnsi="Times New Roman" w:cs="Times New Roman"/>
          <w:sz w:val="24"/>
        </w:rPr>
        <w:t xml:space="preserve"> несмотря на проводимые реформы, остаются нерешенные вопросы, не позволяющие говорить о высокой эффективности пенсионной системы.</w:t>
      </w:r>
    </w:p>
    <w:p w:rsidR="00542F16" w:rsidRPr="00542F16" w:rsidRDefault="00542F16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>Управляющие компании всех уровней не могут обеспечить стабильно положительную доходность пенсионных накоплений. Невысокая эффективность пенсионной системы также подтверждается расчетными данными. В то же время, нельзя рассматривать банковский депозит как замену накопительного компонента пенсии, поскольку эти инструменты имеют разный горизонт инвестирования и созданы для разных целей. С учетом вышесказанного возникает вопрос о необходимости изменения концепции формирования накопительного элемента.</w:t>
      </w:r>
    </w:p>
    <w:p w:rsidR="00720DB1" w:rsidRDefault="00542F16" w:rsidP="0054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 xml:space="preserve">С одной стороны, доходность данного компонента должна превышать доходность депозитных схем накопления. С другой стороны, обеспечивать высокую ликвидность активов и относительно низкий риск. </w:t>
      </w:r>
    </w:p>
    <w:p w:rsidR="003041F2" w:rsidRDefault="00542F16" w:rsidP="0030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2F16">
        <w:rPr>
          <w:rFonts w:ascii="Times New Roman" w:hAnsi="Times New Roman" w:cs="Times New Roman"/>
          <w:sz w:val="24"/>
        </w:rPr>
        <w:t xml:space="preserve">В качестве возможного технологического решения можно рассматривать модель т.н. биржевого инвестиционного фонда (ETF, </w:t>
      </w:r>
      <w:proofErr w:type="spellStart"/>
      <w:r w:rsidRPr="00542F16">
        <w:rPr>
          <w:rFonts w:ascii="Times New Roman" w:hAnsi="Times New Roman" w:cs="Times New Roman"/>
          <w:sz w:val="24"/>
        </w:rPr>
        <w:t>Exchange</w:t>
      </w:r>
      <w:proofErr w:type="spellEnd"/>
      <w:r w:rsidRPr="00542F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F16">
        <w:rPr>
          <w:rFonts w:ascii="Times New Roman" w:hAnsi="Times New Roman" w:cs="Times New Roman"/>
          <w:sz w:val="24"/>
        </w:rPr>
        <w:t>Traded</w:t>
      </w:r>
      <w:proofErr w:type="spellEnd"/>
      <w:r w:rsidRPr="00542F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F16">
        <w:rPr>
          <w:rFonts w:ascii="Times New Roman" w:hAnsi="Times New Roman" w:cs="Times New Roman"/>
          <w:sz w:val="24"/>
        </w:rPr>
        <w:t>Fund</w:t>
      </w:r>
      <w:proofErr w:type="spellEnd"/>
      <w:r w:rsidRPr="00542F16">
        <w:rPr>
          <w:rFonts w:ascii="Times New Roman" w:hAnsi="Times New Roman" w:cs="Times New Roman"/>
          <w:sz w:val="24"/>
        </w:rPr>
        <w:t xml:space="preserve">) – одной из самых серьезных инноваций последних десятилетий на финансовых рынках. В качестве допустимых объектов инвестирования подобного фонда (фондов) можно использовать широкий спектр, а в пределе всю совокупность обращающихся на российском биржевом рынке ценных бумаг российских эмитентов. В данном случае решение задачи увеличения доходности пенсионных накоплений и, как следствие, повышения уровни жизни граждан, </w:t>
      </w:r>
      <w:r w:rsidRPr="00542F16">
        <w:rPr>
          <w:rFonts w:ascii="Times New Roman" w:hAnsi="Times New Roman" w:cs="Times New Roman"/>
          <w:sz w:val="24"/>
        </w:rPr>
        <w:lastRenderedPageBreak/>
        <w:t>достигших пенсионного возраста, будет совмещаться с решение другой важнейшей макроэкономической задачей – обеспечение российского корпоративного сектора внутре</w:t>
      </w:r>
      <w:r w:rsidR="003041F2">
        <w:rPr>
          <w:rFonts w:ascii="Times New Roman" w:hAnsi="Times New Roman" w:cs="Times New Roman"/>
          <w:sz w:val="24"/>
        </w:rPr>
        <w:t>нним источником финансирования.</w:t>
      </w:r>
    </w:p>
    <w:p w:rsidR="00481371" w:rsidRDefault="00481371" w:rsidP="0030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D5B" w:rsidRPr="003041F2" w:rsidRDefault="00EF6D5B" w:rsidP="00EF6D5B">
      <w:pPr>
        <w:jc w:val="both"/>
        <w:rPr>
          <w:rFonts w:ascii="Times New Roman" w:hAnsi="Times New Roman" w:cs="Times New Roman"/>
          <w:b/>
          <w:sz w:val="24"/>
        </w:rPr>
      </w:pPr>
      <w:r w:rsidRPr="003041F2">
        <w:rPr>
          <w:rFonts w:ascii="Times New Roman" w:hAnsi="Times New Roman" w:cs="Times New Roman"/>
          <w:b/>
          <w:sz w:val="24"/>
        </w:rPr>
        <w:t>Список источников:</w:t>
      </w:r>
    </w:p>
    <w:p w:rsidR="00481371" w:rsidRPr="00481371" w:rsidRDefault="00481371" w:rsidP="0048137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81371">
        <w:rPr>
          <w:rFonts w:ascii="Times New Roman" w:hAnsi="Times New Roman" w:cs="Times New Roman"/>
          <w:sz w:val="24"/>
        </w:rPr>
        <w:t>Тесленко М.О. Изменения в пенсионной системе России в 2016 г. // Молодой ученый. 2015. № 24. С. 599–601</w:t>
      </w:r>
    </w:p>
    <w:p w:rsidR="00EF6D5B" w:rsidRPr="00481371" w:rsidRDefault="00EF6D5B" w:rsidP="0048137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81371">
        <w:rPr>
          <w:rFonts w:ascii="Times New Roman" w:hAnsi="Times New Roman" w:cs="Times New Roman"/>
          <w:sz w:val="24"/>
        </w:rPr>
        <w:t>Хить</w:t>
      </w:r>
      <w:proofErr w:type="spellEnd"/>
      <w:r w:rsidRPr="00481371">
        <w:rPr>
          <w:rFonts w:ascii="Times New Roman" w:hAnsi="Times New Roman" w:cs="Times New Roman"/>
          <w:sz w:val="24"/>
        </w:rPr>
        <w:t xml:space="preserve"> Л.В. Комплексная оценка эффективности пенсионной системы как приоритетное направление социально-экономической политики России. [Электронный ресурс] // Теория и практика общественного развития. – 2011. – №2. – Режим доступа: </w:t>
      </w:r>
      <w:hyperlink r:id="rId11" w:history="1">
        <w:r w:rsidRPr="00481371">
          <w:rPr>
            <w:rStyle w:val="a8"/>
            <w:rFonts w:ascii="Times New Roman" w:hAnsi="Times New Roman" w:cs="Times New Roman"/>
            <w:sz w:val="24"/>
          </w:rPr>
          <w:t>http://www.teoria-practica.ru/-2-</w:t>
        </w:r>
      </w:hyperlink>
      <w:r w:rsidRPr="00481371">
        <w:rPr>
          <w:rFonts w:ascii="Times New Roman" w:hAnsi="Times New Roman" w:cs="Times New Roman"/>
          <w:sz w:val="24"/>
        </w:rPr>
        <w:t xml:space="preserve"> 2011/</w:t>
      </w:r>
      <w:proofErr w:type="spellStart"/>
      <w:r w:rsidRPr="00481371">
        <w:rPr>
          <w:rFonts w:ascii="Times New Roman" w:hAnsi="Times New Roman" w:cs="Times New Roman"/>
          <w:sz w:val="24"/>
        </w:rPr>
        <w:t>economika</w:t>
      </w:r>
      <w:proofErr w:type="spellEnd"/>
      <w:r w:rsidRPr="00481371">
        <w:rPr>
          <w:rFonts w:ascii="Times New Roman" w:hAnsi="Times New Roman" w:cs="Times New Roman"/>
          <w:sz w:val="24"/>
        </w:rPr>
        <w:t>/khit.pdf</w:t>
      </w:r>
    </w:p>
    <w:p w:rsidR="00542F16" w:rsidRPr="00481371" w:rsidRDefault="00EF6D5B" w:rsidP="0048137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81371">
        <w:rPr>
          <w:rFonts w:ascii="Times New Roman" w:hAnsi="Times New Roman" w:cs="Times New Roman"/>
          <w:sz w:val="24"/>
        </w:rPr>
        <w:t xml:space="preserve">Данные официального сайта Пенсионного фонда Российской Федерации. Режим доступа: </w:t>
      </w:r>
      <w:hyperlink r:id="rId12" w:history="1">
        <w:r w:rsidRPr="00481371">
          <w:rPr>
            <w:rStyle w:val="a8"/>
            <w:rFonts w:ascii="Times New Roman" w:hAnsi="Times New Roman" w:cs="Times New Roman"/>
            <w:sz w:val="24"/>
          </w:rPr>
          <w:t>http://www.pfrf.ru</w:t>
        </w:r>
      </w:hyperlink>
    </w:p>
    <w:p w:rsidR="005759BB" w:rsidRPr="00481371" w:rsidRDefault="00EF6D5B" w:rsidP="0048137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81371">
        <w:rPr>
          <w:rFonts w:ascii="Times New Roman" w:hAnsi="Times New Roman" w:cs="Times New Roman"/>
          <w:sz w:val="24"/>
        </w:rPr>
        <w:t xml:space="preserve">Данные официального сайта  </w:t>
      </w:r>
      <w:r w:rsidR="005759BB" w:rsidRPr="00481371">
        <w:rPr>
          <w:rFonts w:ascii="Times New Roman" w:hAnsi="Times New Roman" w:cs="Times New Roman"/>
          <w:sz w:val="24"/>
        </w:rPr>
        <w:t>Министерства финансов РФ</w:t>
      </w:r>
      <w:r w:rsidRPr="00481371">
        <w:rPr>
          <w:rFonts w:ascii="Times New Roman" w:hAnsi="Times New Roman" w:cs="Times New Roman"/>
          <w:sz w:val="24"/>
        </w:rPr>
        <w:t xml:space="preserve">. </w:t>
      </w:r>
      <w:r w:rsidR="005759BB" w:rsidRPr="00481371">
        <w:rPr>
          <w:rFonts w:ascii="Times New Roman" w:hAnsi="Times New Roman" w:cs="Times New Roman"/>
          <w:sz w:val="24"/>
        </w:rPr>
        <w:t>Режим доступа: http://minfin.ru</w:t>
      </w:r>
    </w:p>
    <w:p w:rsidR="005759BB" w:rsidRPr="00481371" w:rsidRDefault="00EF6D5B" w:rsidP="0048137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81371">
        <w:rPr>
          <w:rFonts w:ascii="Times New Roman" w:hAnsi="Times New Roman" w:cs="Times New Roman"/>
          <w:sz w:val="24"/>
        </w:rPr>
        <w:t xml:space="preserve">Данные </w:t>
      </w:r>
      <w:r w:rsidR="005759BB" w:rsidRPr="00481371">
        <w:rPr>
          <w:rFonts w:ascii="Times New Roman" w:hAnsi="Times New Roman" w:cs="Times New Roman"/>
          <w:sz w:val="24"/>
        </w:rPr>
        <w:t>Федеральной службы государственной статистики</w:t>
      </w:r>
      <w:r w:rsidRPr="00481371">
        <w:rPr>
          <w:rFonts w:ascii="Times New Roman" w:hAnsi="Times New Roman" w:cs="Times New Roman"/>
          <w:sz w:val="24"/>
        </w:rPr>
        <w:t xml:space="preserve">. </w:t>
      </w:r>
      <w:r w:rsidR="005759BB" w:rsidRPr="00481371">
        <w:rPr>
          <w:rFonts w:ascii="Times New Roman" w:hAnsi="Times New Roman" w:cs="Times New Roman"/>
          <w:sz w:val="24"/>
        </w:rPr>
        <w:t>Режим доступа: http://www.gks.ru</w:t>
      </w:r>
    </w:p>
    <w:p w:rsid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p w:rsid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p w:rsid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p w:rsid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p w:rsid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p w:rsid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p w:rsid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p w:rsid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p w:rsidR="00542F16" w:rsidRPr="00542F16" w:rsidRDefault="00542F16" w:rsidP="00542F16">
      <w:pPr>
        <w:jc w:val="both"/>
        <w:rPr>
          <w:rFonts w:ascii="Times New Roman" w:hAnsi="Times New Roman" w:cs="Times New Roman"/>
          <w:b/>
          <w:sz w:val="24"/>
        </w:rPr>
      </w:pPr>
    </w:p>
    <w:sectPr w:rsidR="00542F16" w:rsidRPr="0054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2A" w:rsidRDefault="00774F2A" w:rsidP="00774F2A">
      <w:pPr>
        <w:spacing w:after="0" w:line="240" w:lineRule="auto"/>
      </w:pPr>
      <w:r>
        <w:separator/>
      </w:r>
    </w:p>
  </w:endnote>
  <w:endnote w:type="continuationSeparator" w:id="0">
    <w:p w:rsidR="00774F2A" w:rsidRDefault="00774F2A" w:rsidP="0077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2A" w:rsidRDefault="00774F2A" w:rsidP="00774F2A">
      <w:pPr>
        <w:spacing w:after="0" w:line="240" w:lineRule="auto"/>
      </w:pPr>
      <w:r>
        <w:separator/>
      </w:r>
    </w:p>
  </w:footnote>
  <w:footnote w:type="continuationSeparator" w:id="0">
    <w:p w:rsidR="00774F2A" w:rsidRDefault="00774F2A" w:rsidP="00774F2A">
      <w:pPr>
        <w:spacing w:after="0" w:line="240" w:lineRule="auto"/>
      </w:pPr>
      <w:r>
        <w:continuationSeparator/>
      </w:r>
    </w:p>
  </w:footnote>
  <w:footnote w:id="1">
    <w:p w:rsidR="00481371" w:rsidRPr="00481371" w:rsidRDefault="00481371" w:rsidP="00481371">
      <w:pPr>
        <w:pStyle w:val="a5"/>
        <w:jc w:val="both"/>
        <w:rPr>
          <w:rFonts w:ascii="Times New Roman" w:hAnsi="Times New Roman" w:cs="Times New Roman"/>
        </w:rPr>
      </w:pPr>
      <w:r w:rsidRPr="00481371">
        <w:rPr>
          <w:rStyle w:val="a7"/>
          <w:rFonts w:ascii="Times New Roman" w:hAnsi="Times New Roman" w:cs="Times New Roman"/>
          <w:sz w:val="22"/>
        </w:rPr>
        <w:footnoteRef/>
      </w:r>
      <w:r w:rsidRPr="0048137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81371">
        <w:rPr>
          <w:rFonts w:ascii="Times New Roman" w:hAnsi="Times New Roman" w:cs="Times New Roman"/>
          <w:sz w:val="22"/>
        </w:rPr>
        <w:t>Хить</w:t>
      </w:r>
      <w:proofErr w:type="spellEnd"/>
      <w:r w:rsidRPr="00481371">
        <w:rPr>
          <w:rFonts w:ascii="Times New Roman" w:hAnsi="Times New Roman" w:cs="Times New Roman"/>
          <w:sz w:val="22"/>
        </w:rPr>
        <w:t xml:space="preserve"> Л.В. Комплексная оценка эффективности пенсионной системы как приоритетное направление социально-экономической политики России. [Электронный ресурс] // Теория и практика общественного развития. – 2011. – №2. – Режим доступа: http://www.teoria-practica.ru/-2- 2011/</w:t>
      </w:r>
      <w:proofErr w:type="spellStart"/>
      <w:r w:rsidRPr="00481371">
        <w:rPr>
          <w:rFonts w:ascii="Times New Roman" w:hAnsi="Times New Roman" w:cs="Times New Roman"/>
          <w:sz w:val="22"/>
        </w:rPr>
        <w:t>economika</w:t>
      </w:r>
      <w:proofErr w:type="spellEnd"/>
      <w:r w:rsidRPr="00481371">
        <w:rPr>
          <w:rFonts w:ascii="Times New Roman" w:hAnsi="Times New Roman" w:cs="Times New Roman"/>
          <w:sz w:val="22"/>
        </w:rPr>
        <w:t>/khit.pdf</w:t>
      </w:r>
    </w:p>
  </w:footnote>
  <w:footnote w:id="2">
    <w:p w:rsidR="00774F2A" w:rsidRPr="00774F2A" w:rsidRDefault="00774F2A" w:rsidP="00774F2A">
      <w:pPr>
        <w:pStyle w:val="a5"/>
        <w:jc w:val="both"/>
        <w:rPr>
          <w:rFonts w:ascii="Times New Roman" w:hAnsi="Times New Roman" w:cs="Times New Roman"/>
        </w:rPr>
      </w:pPr>
      <w:r w:rsidRPr="00774F2A">
        <w:rPr>
          <w:rStyle w:val="a7"/>
          <w:rFonts w:ascii="Times New Roman" w:hAnsi="Times New Roman" w:cs="Times New Roman"/>
          <w:sz w:val="24"/>
        </w:rPr>
        <w:footnoteRef/>
      </w:r>
      <w:r w:rsidRPr="00774F2A">
        <w:rPr>
          <w:rFonts w:ascii="Times New Roman" w:hAnsi="Times New Roman" w:cs="Times New Roman"/>
          <w:sz w:val="24"/>
        </w:rPr>
        <w:t xml:space="preserve"> Данные официального сайта Пенсионного фонда Российской Федерации. Режим доступа: http://www.pfrf.ru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BFD"/>
    <w:multiLevelType w:val="hybridMultilevel"/>
    <w:tmpl w:val="D20E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2"/>
    <w:rsid w:val="00120AF2"/>
    <w:rsid w:val="002E34AF"/>
    <w:rsid w:val="003041F2"/>
    <w:rsid w:val="00481371"/>
    <w:rsid w:val="00542F16"/>
    <w:rsid w:val="005759BB"/>
    <w:rsid w:val="00687179"/>
    <w:rsid w:val="006B75EE"/>
    <w:rsid w:val="00703129"/>
    <w:rsid w:val="00720DB1"/>
    <w:rsid w:val="00774F2A"/>
    <w:rsid w:val="00805230"/>
    <w:rsid w:val="00810FD8"/>
    <w:rsid w:val="00976637"/>
    <w:rsid w:val="009E51B5"/>
    <w:rsid w:val="00B41EEB"/>
    <w:rsid w:val="00BC3FC2"/>
    <w:rsid w:val="00C9731E"/>
    <w:rsid w:val="00EF6D5B"/>
    <w:rsid w:val="00F44E32"/>
    <w:rsid w:val="00F46BF7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F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74F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4F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4F2A"/>
    <w:rPr>
      <w:vertAlign w:val="superscript"/>
    </w:rPr>
  </w:style>
  <w:style w:type="character" w:styleId="a8">
    <w:name w:val="Hyperlink"/>
    <w:basedOn w:val="a0"/>
    <w:uiPriority w:val="99"/>
    <w:unhideWhenUsed/>
    <w:rsid w:val="005759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1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F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74F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4F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4F2A"/>
    <w:rPr>
      <w:vertAlign w:val="superscript"/>
    </w:rPr>
  </w:style>
  <w:style w:type="character" w:styleId="a8">
    <w:name w:val="Hyperlink"/>
    <w:basedOn w:val="a0"/>
    <w:uiPriority w:val="99"/>
    <w:unhideWhenUsed/>
    <w:rsid w:val="005759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oria-practica.ru/-2-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Лист1!$G$3:$M$3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Лист1!$G$4:$M$4</c:f>
              <c:numCache>
                <c:formatCode>General</c:formatCode>
                <c:ptCount val="7"/>
                <c:pt idx="0">
                  <c:v>11860</c:v>
                </c:pt>
                <c:pt idx="1">
                  <c:v>11943</c:v>
                </c:pt>
                <c:pt idx="2">
                  <c:v>12055</c:v>
                </c:pt>
                <c:pt idx="3">
                  <c:v>11970</c:v>
                </c:pt>
                <c:pt idx="4">
                  <c:v>12176</c:v>
                </c:pt>
                <c:pt idx="5">
                  <c:v>12514</c:v>
                </c:pt>
                <c:pt idx="6">
                  <c:v>12725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317376"/>
        <c:axId val="47318912"/>
        <c:axId val="0"/>
      </c:bar3DChart>
      <c:catAx>
        <c:axId val="4731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47318912"/>
        <c:crosses val="autoZero"/>
        <c:auto val="1"/>
        <c:lblAlgn val="ctr"/>
        <c:lblOffset val="100"/>
        <c:noMultiLvlLbl val="0"/>
      </c:catAx>
      <c:valAx>
        <c:axId val="4731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317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Лист2!$G$25:$M$25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Лист2!$G$26:$M$26</c:f>
              <c:numCache>
                <c:formatCode>0.00</c:formatCode>
                <c:ptCount val="7"/>
                <c:pt idx="0">
                  <c:v>1.72</c:v>
                </c:pt>
                <c:pt idx="1">
                  <c:v>1.7</c:v>
                </c:pt>
                <c:pt idx="2">
                  <c:v>1.68</c:v>
                </c:pt>
                <c:pt idx="3">
                  <c:v>1.66</c:v>
                </c:pt>
                <c:pt idx="4">
                  <c:v>1.64</c:v>
                </c:pt>
                <c:pt idx="5">
                  <c:v>1.62</c:v>
                </c:pt>
                <c:pt idx="6">
                  <c:v>1.64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371008"/>
        <c:axId val="47372544"/>
        <c:axId val="0"/>
      </c:bar3DChart>
      <c:catAx>
        <c:axId val="473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372544"/>
        <c:crosses val="autoZero"/>
        <c:auto val="1"/>
        <c:lblAlgn val="ctr"/>
        <c:lblOffset val="100"/>
        <c:noMultiLvlLbl val="0"/>
      </c:catAx>
      <c:valAx>
        <c:axId val="473725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7371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87AD-69F1-4FFE-A9B4-B1A00827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2017-10-09T17:54:00Z</dcterms:created>
  <dcterms:modified xsi:type="dcterms:W3CDTF">2017-10-09T20:20:00Z</dcterms:modified>
</cp:coreProperties>
</file>