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52" w:rsidRDefault="00202B44">
      <w:pPr>
        <w:ind w:right="0" w:firstLine="709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bookmarkStart w:id="0" w:name="_GoBack"/>
      <w:bookmarkEnd w:id="0"/>
      <w:r w:rsidRPr="004C4C05">
        <w:rPr>
          <w:rFonts w:ascii="Times New Roman" w:hAnsi="Times New Roman" w:cs="Times New Roman"/>
          <w:b/>
          <w:caps/>
          <w:sz w:val="32"/>
          <w:szCs w:val="32"/>
        </w:rPr>
        <w:t>содержание</w:t>
      </w:r>
    </w:p>
    <w:p w:rsidR="002656EC" w:rsidRPr="002656EC" w:rsidRDefault="002656EC" w:rsidP="002656EC">
      <w:pPr>
        <w:ind w:right="0" w:firstLine="709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303715087"/>
      </w:sdtPr>
      <w:sdtEndPr/>
      <w:sdtContent>
        <w:p w:rsidR="002656EC" w:rsidRPr="002656EC" w:rsidRDefault="002656EC" w:rsidP="002656EC">
          <w:pPr>
            <w:pStyle w:val="12"/>
            <w:tabs>
              <w:tab w:val="right" w:leader="dot" w:pos="10195"/>
            </w:tabs>
            <w:spacing w:after="0"/>
            <w:ind w:righ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656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56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56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321034" w:history="1">
            <w:r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CD4FE6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_Toc494321034 \h </w:instrText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35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 И</w:t>
            </w:r>
            <w:r w:rsidR="00CD4FE6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стория</w:t>
            </w:r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МГУПИ </w:t>
            </w:r>
            <w:r w:rsidR="00CD4FE6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и кафедры</w:t>
            </w:r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КБ-6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_Toc494321035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36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1.1 История</w:t>
            </w:r>
            <w:r w:rsidR="002656EC" w:rsidRPr="002656EC">
              <w:rPr>
                <w:rStyle w:val="af2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МГУПИ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_Toc494321036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37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1.2 История кафедры </w:t>
            </w:r>
            <w:r w:rsidR="002656EC" w:rsidRPr="002656EC">
              <w:rPr>
                <w:rStyle w:val="af2"/>
                <w:rFonts w:ascii="Times New Roman" w:hAnsi="Times New Roman" w:cs="Times New Roman"/>
                <w:caps/>
                <w:noProof/>
                <w:sz w:val="28"/>
                <w:szCs w:val="28"/>
              </w:rPr>
              <w:t>КБ-6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_Toc494321037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38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 С</w:t>
            </w:r>
            <w:r w:rsidR="00CD4FE6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редства измерений для разработчиков аппаратуры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_Toc494321038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39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2.1 Оборудование на рабочем месте инженера – разработчика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_Toc494321039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40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2.2 Измерительные приборы инженера – разработчика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_Toc494321040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45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CD4FE6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_Toc494321045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557D81" w:rsidP="002656EC">
          <w:pPr>
            <w:pStyle w:val="12"/>
            <w:tabs>
              <w:tab w:val="right" w:leader="dot" w:pos="10195"/>
            </w:tabs>
            <w:spacing w:after="0"/>
            <w:ind w:righ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21046" w:history="1">
            <w:r w:rsidR="002656EC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CD4FE6" w:rsidRPr="002656EC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_Toc494321046 \h </w:instrTex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656EC" w:rsidRPr="002656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56EC" w:rsidRPr="002656EC" w:rsidRDefault="002656EC" w:rsidP="002656EC">
          <w:pPr>
            <w:ind w:right="0"/>
            <w:rPr>
              <w:rFonts w:ascii="Times New Roman" w:hAnsi="Times New Roman" w:cs="Times New Roman"/>
              <w:sz w:val="28"/>
              <w:szCs w:val="28"/>
            </w:rPr>
          </w:pPr>
          <w:r w:rsidRPr="002656E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17452" w:rsidRPr="004C4C05" w:rsidRDefault="00202B44">
      <w:pPr>
        <w:rPr>
          <w:rFonts w:ascii="Times New Roman" w:hAnsi="Times New Roman" w:cs="Times New Roman"/>
          <w:sz w:val="28"/>
        </w:rPr>
      </w:pPr>
      <w:r w:rsidRPr="004C4C05">
        <w:rPr>
          <w:rFonts w:ascii="Times New Roman" w:hAnsi="Times New Roman" w:cs="Times New Roman"/>
        </w:rPr>
        <w:br w:type="page"/>
      </w:r>
    </w:p>
    <w:p w:rsidR="00617452" w:rsidRPr="004C4C05" w:rsidRDefault="00557D81" w:rsidP="00305726">
      <w:pPr>
        <w:pStyle w:val="1"/>
        <w:ind w:firstLine="709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left:0;text-align:left;margin-left:0;margin-top:0;width:50pt;height:50pt;z-index:251657728;visibility:hidden">
            <o:lock v:ext="edit" selection="t"/>
          </v:shape>
        </w:pict>
      </w:r>
      <w:bookmarkStart w:id="1" w:name="_Toc494321034"/>
      <w:r w:rsidR="00305726" w:rsidRPr="004C4C05">
        <w:t>ВВЕДЕНИЕ</w:t>
      </w:r>
      <w:bookmarkEnd w:id="1"/>
    </w:p>
    <w:p w:rsidR="00617452" w:rsidRPr="00C552D2" w:rsidRDefault="00617452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D2" w:rsidRDefault="00361251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Контроль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многочисленных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параметров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качества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является,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в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первую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очередь,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задачей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измерительной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техники.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Высокое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качество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продукции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может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быть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достигнуто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только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там,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где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контрольно-измерительная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техника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составляет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неотъемлемую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часть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процесса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производства.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D2" w:rsidRDefault="00361251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Кроме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того,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необходимость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повышения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качества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предъявляет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постоянно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возрастающие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требования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к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эффективности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самой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измерительной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техники.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51" w:rsidRPr="00C552D2" w:rsidRDefault="00361251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Поэтому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обеспечение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качества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и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измерительная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техника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в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процессах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производства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неразрывно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связаны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между</w:t>
      </w:r>
      <w:r w:rsidR="00202B44"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Pr="00C552D2">
        <w:rPr>
          <w:rFonts w:ascii="Times New Roman" w:hAnsi="Times New Roman" w:cs="Times New Roman"/>
          <w:sz w:val="28"/>
          <w:szCs w:val="28"/>
        </w:rPr>
        <w:t>собой.</w:t>
      </w:r>
    </w:p>
    <w:p w:rsidR="00305726" w:rsidRPr="00C552D2" w:rsidRDefault="00305726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осуществлялось в </w:t>
      </w:r>
      <w:r w:rsidR="00C552D2" w:rsidRPr="00C552D2">
        <w:rPr>
          <w:rFonts w:ascii="Times New Roman" w:hAnsi="Times New Roman" w:cs="Times New Roman"/>
          <w:sz w:val="28"/>
          <w:szCs w:val="28"/>
        </w:rPr>
        <w:t>МГУПИ</w:t>
      </w:r>
      <w:r w:rsidRPr="00C552D2">
        <w:rPr>
          <w:rFonts w:ascii="Times New Roman" w:hAnsi="Times New Roman" w:cs="Times New Roman"/>
          <w:sz w:val="28"/>
          <w:szCs w:val="28"/>
        </w:rPr>
        <w:t>, г. Москва.</w:t>
      </w:r>
    </w:p>
    <w:p w:rsidR="00305726" w:rsidRPr="00C552D2" w:rsidRDefault="00305726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Срок прохождения – с 0</w:t>
      </w:r>
      <w:r w:rsidR="00823EA7" w:rsidRPr="00823EA7">
        <w:rPr>
          <w:rFonts w:ascii="Times New Roman" w:hAnsi="Times New Roman" w:cs="Times New Roman"/>
          <w:sz w:val="28"/>
          <w:szCs w:val="28"/>
        </w:rPr>
        <w:t>9</w:t>
      </w:r>
      <w:r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="00823EA7">
        <w:rPr>
          <w:rFonts w:ascii="Times New Roman" w:hAnsi="Times New Roman" w:cs="Times New Roman"/>
          <w:sz w:val="28"/>
          <w:szCs w:val="28"/>
        </w:rPr>
        <w:t>сентября</w:t>
      </w:r>
      <w:r w:rsidRPr="00C552D2">
        <w:rPr>
          <w:rFonts w:ascii="Times New Roman" w:hAnsi="Times New Roman" w:cs="Times New Roman"/>
          <w:sz w:val="28"/>
          <w:szCs w:val="28"/>
        </w:rPr>
        <w:t xml:space="preserve"> 2017г. по </w:t>
      </w:r>
      <w:r w:rsidR="00823EA7" w:rsidRPr="00823EA7">
        <w:rPr>
          <w:rFonts w:ascii="Times New Roman" w:hAnsi="Times New Roman" w:cs="Times New Roman"/>
          <w:sz w:val="28"/>
          <w:szCs w:val="28"/>
        </w:rPr>
        <w:t>07</w:t>
      </w:r>
      <w:r w:rsidRPr="00C552D2">
        <w:rPr>
          <w:rFonts w:ascii="Times New Roman" w:hAnsi="Times New Roman" w:cs="Times New Roman"/>
          <w:sz w:val="28"/>
          <w:szCs w:val="28"/>
        </w:rPr>
        <w:t xml:space="preserve"> </w:t>
      </w:r>
      <w:r w:rsidR="00823EA7">
        <w:rPr>
          <w:rFonts w:ascii="Times New Roman" w:hAnsi="Times New Roman" w:cs="Times New Roman"/>
          <w:sz w:val="28"/>
          <w:szCs w:val="28"/>
        </w:rPr>
        <w:t>октября</w:t>
      </w:r>
      <w:r w:rsidRPr="00C552D2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6D1D58" w:rsidRPr="00C552D2" w:rsidRDefault="006D1D58" w:rsidP="00C552D2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Для достижения цели, необходимо решить следующие задачи:</w:t>
      </w:r>
    </w:p>
    <w:p w:rsidR="006D1D58" w:rsidRPr="00C552D2" w:rsidRDefault="00C552D2" w:rsidP="00C552D2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 xml:space="preserve">изучить историю </w:t>
      </w:r>
      <w:r w:rsidR="006D1D58" w:rsidRPr="00C552D2">
        <w:rPr>
          <w:rFonts w:ascii="Times New Roman" w:hAnsi="Times New Roman" w:cs="Times New Roman"/>
          <w:sz w:val="28"/>
          <w:szCs w:val="28"/>
        </w:rPr>
        <w:t>МГУПИ;</w:t>
      </w:r>
    </w:p>
    <w:p w:rsidR="006D1D58" w:rsidRPr="00C552D2" w:rsidRDefault="00C552D2" w:rsidP="00C552D2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 xml:space="preserve">изучить историю </w:t>
      </w:r>
      <w:r w:rsidR="006D1D58" w:rsidRPr="00C552D2">
        <w:rPr>
          <w:rFonts w:ascii="Times New Roman" w:hAnsi="Times New Roman" w:cs="Times New Roman"/>
          <w:sz w:val="28"/>
          <w:szCs w:val="28"/>
        </w:rPr>
        <w:t>кафедры КБ-6;</w:t>
      </w:r>
    </w:p>
    <w:p w:rsidR="006D1D58" w:rsidRPr="00C552D2" w:rsidRDefault="00C552D2" w:rsidP="00C552D2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изучить оборудование на рабочем месте инженера – разработчика;</w:t>
      </w:r>
    </w:p>
    <w:p w:rsidR="006D1D58" w:rsidRPr="00C552D2" w:rsidRDefault="00C552D2" w:rsidP="00C552D2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2">
        <w:rPr>
          <w:rFonts w:ascii="Times New Roman" w:hAnsi="Times New Roman" w:cs="Times New Roman"/>
          <w:sz w:val="28"/>
          <w:szCs w:val="28"/>
        </w:rPr>
        <w:t>рассмотреть измерительные приборы инженера – разработчика.</w:t>
      </w:r>
    </w:p>
    <w:p w:rsidR="006D1D58" w:rsidRPr="00027AFD" w:rsidRDefault="006D1D58">
      <w:pPr>
        <w:ind w:left="284" w:righ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452" w:rsidRPr="004C4C05" w:rsidRDefault="00202B44">
      <w:pPr>
        <w:ind w:right="0" w:firstLine="709"/>
        <w:rPr>
          <w:rFonts w:ascii="Times New Roman" w:hAnsi="Times New Roman" w:cs="Times New Roman"/>
          <w:sz w:val="28"/>
        </w:rPr>
      </w:pPr>
      <w:r w:rsidRPr="004C4C05">
        <w:rPr>
          <w:rFonts w:ascii="Times New Roman" w:hAnsi="Times New Roman" w:cs="Times New Roman"/>
        </w:rPr>
        <w:br w:type="page"/>
      </w:r>
    </w:p>
    <w:p w:rsidR="00617452" w:rsidRPr="004C4C05" w:rsidRDefault="008349B9" w:rsidP="008349B9">
      <w:pPr>
        <w:pStyle w:val="1"/>
        <w:ind w:firstLine="709"/>
      </w:pPr>
      <w:bookmarkStart w:id="2" w:name="_Toc494321035"/>
      <w:r w:rsidRPr="004C4C05">
        <w:lastRenderedPageBreak/>
        <w:t>1</w:t>
      </w:r>
      <w:r>
        <w:t xml:space="preserve"> </w:t>
      </w:r>
      <w:r w:rsidRPr="004C4C05">
        <w:t>ИСТОРИЯ</w:t>
      </w:r>
      <w:r>
        <w:t xml:space="preserve"> </w:t>
      </w:r>
      <w:r w:rsidRPr="004C4C05">
        <w:t>МГУПИ</w:t>
      </w:r>
      <w:r>
        <w:t xml:space="preserve"> </w:t>
      </w:r>
      <w:r w:rsidRPr="004C4C05">
        <w:t>И</w:t>
      </w:r>
      <w:r>
        <w:t xml:space="preserve"> </w:t>
      </w:r>
      <w:r w:rsidRPr="004C4C05">
        <w:t>КАФЕДРЫ</w:t>
      </w:r>
      <w:r>
        <w:t xml:space="preserve"> </w:t>
      </w:r>
      <w:r w:rsidRPr="004C4C05">
        <w:t>КБ-6</w:t>
      </w:r>
      <w:bookmarkEnd w:id="2"/>
    </w:p>
    <w:p w:rsidR="00617452" w:rsidRPr="004C4C05" w:rsidRDefault="00617452" w:rsidP="008349B9">
      <w:pPr>
        <w:ind w:right="0" w:firstLine="709"/>
        <w:rPr>
          <w:rFonts w:ascii="Times New Roman" w:hAnsi="Times New Roman" w:cs="Times New Roman"/>
          <w:sz w:val="28"/>
        </w:rPr>
      </w:pPr>
    </w:p>
    <w:p w:rsidR="00617452" w:rsidRPr="004C4C05" w:rsidRDefault="00202B44" w:rsidP="008349B9">
      <w:pPr>
        <w:pStyle w:val="1"/>
        <w:ind w:firstLine="709"/>
      </w:pPr>
      <w:bookmarkStart w:id="3" w:name="_Toc494321036"/>
      <w:r w:rsidRPr="004C4C05">
        <w:t>1.1</w:t>
      </w:r>
      <w:r>
        <w:t xml:space="preserve"> </w:t>
      </w:r>
      <w:r w:rsidRPr="004C4C05">
        <w:t>История</w:t>
      </w:r>
      <w:r>
        <w:rPr>
          <w:caps/>
        </w:rPr>
        <w:t xml:space="preserve"> </w:t>
      </w:r>
      <w:r w:rsidRPr="004C4C05">
        <w:rPr>
          <w:caps/>
        </w:rPr>
        <w:t>МГУПИ</w:t>
      </w:r>
      <w:bookmarkEnd w:id="3"/>
    </w:p>
    <w:p w:rsidR="00617452" w:rsidRPr="004C4C05" w:rsidRDefault="00617452" w:rsidP="002D1A04">
      <w:pPr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C05" w:rsidRPr="004C4C05" w:rsidRDefault="004C4C05" w:rsidP="004C4C0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4C05">
        <w:rPr>
          <w:color w:val="000000" w:themeColor="text1"/>
          <w:sz w:val="28"/>
          <w:szCs w:val="28"/>
        </w:rPr>
        <w:t>Результатом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подписания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Народному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комиссариату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местной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промышленности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РСФСР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16.09.1936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№1168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стало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создание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республиканского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заочного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института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металлообрабатывающей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промышленности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(ЗИМП),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который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согласно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постановлением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Совета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Народных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Комиссаров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СССР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29.08.1938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№951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приказом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Народному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Комиссариату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местной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промышленности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РСФСР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21.09.1938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№783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относился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категории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самостоятельных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заочных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высших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учебных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заведений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получил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название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заочного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института</w:t>
      </w:r>
      <w:r w:rsidR="00202B44">
        <w:rPr>
          <w:color w:val="000000" w:themeColor="text1"/>
          <w:sz w:val="28"/>
          <w:szCs w:val="28"/>
        </w:rPr>
        <w:t xml:space="preserve">  </w:t>
      </w:r>
      <w:r w:rsidRPr="004C4C05">
        <w:rPr>
          <w:color w:val="000000" w:themeColor="text1"/>
          <w:sz w:val="28"/>
          <w:szCs w:val="28"/>
        </w:rPr>
        <w:t>металлопромышленности.</w:t>
      </w:r>
    </w:p>
    <w:p w:rsidR="004C4C05" w:rsidRPr="004C4C05" w:rsidRDefault="004C4C05" w:rsidP="004C4C0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4C05">
        <w:rPr>
          <w:color w:val="000000" w:themeColor="text1"/>
          <w:sz w:val="28"/>
          <w:szCs w:val="28"/>
        </w:rPr>
        <w:t>Распоряжение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Совета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Министров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СССР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04.09.1950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№14083-р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Министра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СССР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27.09.1950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№1705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привели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реорганизации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заочного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института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металлопромышленности.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Был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создан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Всесоюзный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заочный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машиностроительный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институт,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который,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свою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очередь,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после</w:t>
      </w:r>
      <w:r w:rsidR="00202B44">
        <w:rPr>
          <w:color w:val="000000" w:themeColor="text1"/>
          <w:sz w:val="28"/>
          <w:szCs w:val="28"/>
        </w:rPr>
        <w:t xml:space="preserve">    </w:t>
      </w:r>
      <w:r w:rsidRPr="004C4C05">
        <w:rPr>
          <w:color w:val="000000" w:themeColor="text1"/>
          <w:sz w:val="28"/>
          <w:szCs w:val="28"/>
        </w:rPr>
        <w:t>постановления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Совета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Министров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СССР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14.03.1988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№337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Министерства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среднего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специального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РСФСР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21.04.1988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№230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трансформировался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стал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Московским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институтом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приборостроения.</w:t>
      </w:r>
    </w:p>
    <w:p w:rsidR="004C4C05" w:rsidRPr="004C4C05" w:rsidRDefault="004C4C05" w:rsidP="004C4C0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4C05">
        <w:rPr>
          <w:color w:val="000000" w:themeColor="text1"/>
          <w:sz w:val="28"/>
          <w:szCs w:val="28"/>
        </w:rPr>
        <w:t>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соответствии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приказом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комитета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Российской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Федерации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высшему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01.07.1994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№647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произошло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переименование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института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Московскую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государственную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академию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информатики.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Согласно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Министерства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общего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профессионального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Российской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Федерации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17.07.1998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№1945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произошла</w:t>
      </w:r>
      <w:r w:rsidR="00202B44">
        <w:rPr>
          <w:color w:val="000000" w:themeColor="text1"/>
          <w:sz w:val="28"/>
          <w:szCs w:val="28"/>
        </w:rPr>
        <w:t xml:space="preserve"> </w:t>
      </w:r>
      <w:proofErr w:type="gramStart"/>
      <w:r w:rsidRPr="004C4C05">
        <w:rPr>
          <w:color w:val="000000" w:themeColor="text1"/>
          <w:sz w:val="28"/>
          <w:szCs w:val="28"/>
        </w:rPr>
        <w:t>реорганизация</w:t>
      </w:r>
      <w:r w:rsidR="00202B44">
        <w:rPr>
          <w:color w:val="000000" w:themeColor="text1"/>
          <w:sz w:val="28"/>
          <w:szCs w:val="28"/>
        </w:rPr>
        <w:t xml:space="preserve">  </w:t>
      </w:r>
      <w:r w:rsidRPr="004C4C05">
        <w:rPr>
          <w:color w:val="000000" w:themeColor="text1"/>
          <w:sz w:val="28"/>
          <w:szCs w:val="28"/>
        </w:rPr>
        <w:t>путем</w:t>
      </w:r>
      <w:proofErr w:type="gramEnd"/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слияния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Московским</w:t>
      </w:r>
      <w:r w:rsidR="00202B44">
        <w:rPr>
          <w:color w:val="000000" w:themeColor="text1"/>
          <w:sz w:val="28"/>
          <w:szCs w:val="28"/>
        </w:rPr>
        <w:t xml:space="preserve"> </w:t>
      </w:r>
      <w:proofErr w:type="spellStart"/>
      <w:r w:rsidRPr="004C4C05">
        <w:rPr>
          <w:color w:val="000000" w:themeColor="text1"/>
          <w:sz w:val="28"/>
          <w:szCs w:val="28"/>
        </w:rPr>
        <w:t>радиомеханическим</w:t>
      </w:r>
      <w:proofErr w:type="spellEnd"/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техникумом.</w:t>
      </w:r>
    </w:p>
    <w:p w:rsidR="004C4C05" w:rsidRPr="004C4C05" w:rsidRDefault="004C4C05" w:rsidP="004C4C0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4C05">
        <w:rPr>
          <w:color w:val="000000" w:themeColor="text1"/>
          <w:sz w:val="28"/>
          <w:szCs w:val="28"/>
        </w:rPr>
        <w:t>Московскую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государственную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академию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информатики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17.08.2004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внесли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Единый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реестр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юридических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лиц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качестве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образовательного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учреждения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lastRenderedPageBreak/>
        <w:t>профессионального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«Московская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государственная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академия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информатики»,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которое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согласно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Федерального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агентства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29.12.2005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№1703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изменило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название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стало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Государственным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образовательным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учреждением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профессионального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«Московский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университет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информатики».</w:t>
      </w:r>
    </w:p>
    <w:p w:rsidR="004C4C05" w:rsidRPr="004C4C05" w:rsidRDefault="004C4C05" w:rsidP="004C4C0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4C05">
        <w:rPr>
          <w:color w:val="000000" w:themeColor="text1"/>
          <w:sz w:val="28"/>
          <w:szCs w:val="28"/>
        </w:rPr>
        <w:t>На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основании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приказа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Министерства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науки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РФ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27.05.2011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года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№1879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государственному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образовательному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учреждению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профессионально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«Московский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университет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информатики»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было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присвоено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название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федерального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бюджетного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образовательного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учреждения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высшего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профессионального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образования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«Московский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государственный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университет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приборостроения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</w:t>
      </w:r>
      <w:r w:rsidR="00202B44">
        <w:rPr>
          <w:color w:val="000000" w:themeColor="text1"/>
          <w:sz w:val="28"/>
          <w:szCs w:val="28"/>
        </w:rPr>
        <w:t xml:space="preserve"> </w:t>
      </w:r>
      <w:r w:rsidRPr="004C4C05">
        <w:rPr>
          <w:color w:val="000000" w:themeColor="text1"/>
          <w:sz w:val="28"/>
          <w:szCs w:val="28"/>
        </w:rPr>
        <w:t>информатики».</w:t>
      </w:r>
    </w:p>
    <w:p w:rsidR="00617452" w:rsidRPr="004C4C05" w:rsidRDefault="004C4C05" w:rsidP="004C4C05">
      <w:pPr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МГУПИ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стал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неотъемлемым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="00C0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CC9" w:rsidRPr="00C04CC9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C05" w:rsidRPr="004C4C05" w:rsidRDefault="004C4C05" w:rsidP="004C4C05">
      <w:pPr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452" w:rsidRPr="00361251" w:rsidRDefault="00202B44" w:rsidP="008349B9">
      <w:pPr>
        <w:pStyle w:val="1"/>
        <w:ind w:firstLine="709"/>
      </w:pPr>
      <w:bookmarkStart w:id="4" w:name="_Toc494321037"/>
      <w:r w:rsidRPr="00361251">
        <w:t>1.2</w:t>
      </w:r>
      <w:r>
        <w:t xml:space="preserve"> </w:t>
      </w:r>
      <w:r w:rsidRPr="00361251">
        <w:t>История</w:t>
      </w:r>
      <w:r>
        <w:t xml:space="preserve"> </w:t>
      </w:r>
      <w:r w:rsidRPr="00361251">
        <w:t>кафедры</w:t>
      </w:r>
      <w:r>
        <w:t xml:space="preserve"> </w:t>
      </w:r>
      <w:r w:rsidRPr="00361251">
        <w:rPr>
          <w:caps/>
        </w:rPr>
        <w:t>КБ-6</w:t>
      </w:r>
      <w:bookmarkEnd w:id="4"/>
    </w:p>
    <w:p w:rsidR="00617452" w:rsidRPr="004C4C05" w:rsidRDefault="00617452" w:rsidP="002D1A04">
      <w:pPr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КБ-6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информационно-измерительные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университете.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заведующим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физико-математических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А.Б.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Снедков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произошло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слияние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кафедр: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«Информационные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оптико-электронные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«Точные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измерительные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СССР,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подписанным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1947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выделено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институте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ВЗМИ.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«Приборостроения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радиоэлектроники»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«Приборостроение».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невозможно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декан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Евгеньевич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Безменов,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являвшийся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известным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ученым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метрологии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основополагающих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относительно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взаимозаменяемости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измерений.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А.Е.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Безменова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аспирантуру,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привело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специалистами.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учебную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лабораторию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метрологии,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оснащенную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приборами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измерений,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оптическими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степенью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точности.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1955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структуру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института,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переименовали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механики».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квалифицированная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качественная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происходила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преподавателей,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являлись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сотрудниками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занимающихся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проектно-конструкторскими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научно-исследовательскими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работами,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находящихся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преобладающим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приборостроения: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Богуславский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А.С.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Дубовик;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Рязанов;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И.В.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Стрижевский;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В.П.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Дмитриев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Приборостроительного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завода;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А.С.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Стародубцев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НИИЧаспром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Е.Р.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Дворецкий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Бюро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взаимозаменяемости;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Г.П.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Анучкин,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С.С.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Каниовский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Г.П.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Степанов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доценты;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Г.Г.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Бебенин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С.Д.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сектором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управления;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А.В.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Алферов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создатель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относительно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измерительной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вычислительной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техники.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1970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ознаменовался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назначением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приборостроения,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авиационных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Н.Е.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Жуковского,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генерала-майора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Заслуженного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Боднера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принадлежит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авторство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относительно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колебаний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компрессорах,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двигателях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упругих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системах.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изложены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превышает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единиц.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проводились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диссертаций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кандидатских.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Боднера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единогласно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основоположником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авиационного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приборостроения,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внесшего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вклад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усилиям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А.М.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Курицкого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Вечерний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приборостроительный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располагавшийся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часовом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(2МЧЗ),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произошла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реорганизация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УКП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(Долгопрудного,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Загорска,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Красногорска,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Серпухова,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Углича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др.),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местах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приборостроительных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(ЗЭМЗ,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ЗОМЗ)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заводов.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всеобщее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народно-хозяйственного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направления.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экспонировались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ВДНХ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СССР.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1975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удостоены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медалями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ВДНХ.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числе: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золотых,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серебряных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бронзовых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медалей.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1979-1983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наградили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медалями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ВДНХ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НИР.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появившихся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кафедре,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промышленности.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организациям,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оборудование,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2-ой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часовой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Волжский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автозавод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(ВАЗ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Тольятти),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7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7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ГПЗ,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авиационной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промышленности,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интроскопии,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«Спектр»,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«Дельфин»,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Хронотрон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Кировский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металлургические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Магнитогорска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Ижевска.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Боднера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19.01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«Приборостроение».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Позже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переименовали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измерительные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Боднер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назначил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С.С.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Каниовского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Значительно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снизился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разрезе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вечерней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смотря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УКП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Сергиев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Посад,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Серпухов,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Углич,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дополняется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дневным.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дневную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расширяют.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появляются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магистратура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бакалавриат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внедряется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постепенным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ПР-1,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слияния,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возглавлял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С.С.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Каниовский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являющийся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проректором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заслуженным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членом-корреспондентом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метрологической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физико-математических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профессором.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«Информационные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оптико-электронные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200203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«Оптико-электронные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Причиной,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подтолкнувшей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проведению,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послужило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стремительное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приборостроения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послевоенный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массовое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всевозможных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оптико-электронных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всевозможных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сферах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оборонной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промышленности,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вооруженных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силах.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немаловажную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сыграл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А.Н.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Бардин,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заведовали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А.Г.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Горелик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В.В.Слепцов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новосозданная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ПР-1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переименована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информационно-измерительные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системы»,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назначили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Слепцова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заслуженного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информатизации,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написавшего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создавшего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изобретений.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4C05" w:rsidRPr="004C4C05" w:rsidRDefault="004C4C05" w:rsidP="004C4C05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ознаменовался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магистров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направлениям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Оптотехника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«Приборостроение».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сентябре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С.М.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исполнял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заведующего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октября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А.Б.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Снедков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доцент.</w:t>
      </w:r>
    </w:p>
    <w:p w:rsidR="002D1A04" w:rsidRPr="004C4C05" w:rsidRDefault="004C4C05" w:rsidP="004C4C05">
      <w:pPr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кафедре,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характера.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Преобладающее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относящихся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Оптотехника</w:t>
      </w:r>
      <w:proofErr w:type="spellEnd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припадает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дистанционного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окружающей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всевозможных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механизмов.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аспиранты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студенты,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старших</w:t>
      </w:r>
      <w:proofErr w:type="gramEnd"/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курсах.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отметить,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процентное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соотношение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дипломные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плана,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тенденцию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увеличению</w:t>
      </w:r>
      <w:r w:rsidR="00C04CC9" w:rsidRPr="00C04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4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[2]</w:t>
      </w:r>
      <w:r w:rsidRPr="004C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17452" w:rsidRPr="004C4C05" w:rsidRDefault="00202B44" w:rsidP="002D1A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0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17452" w:rsidRPr="004C4C05" w:rsidRDefault="008349B9" w:rsidP="008349B9">
      <w:pPr>
        <w:pStyle w:val="1"/>
        <w:ind w:firstLine="709"/>
      </w:pPr>
      <w:bookmarkStart w:id="5" w:name="_Toc494321038"/>
      <w:r w:rsidRPr="004C4C05">
        <w:lastRenderedPageBreak/>
        <w:t>2</w:t>
      </w:r>
      <w:r>
        <w:t xml:space="preserve"> </w:t>
      </w:r>
      <w:r w:rsidRPr="004C4C05">
        <w:t>СРЕДСТВА</w:t>
      </w:r>
      <w:r>
        <w:t xml:space="preserve"> </w:t>
      </w:r>
      <w:r w:rsidRPr="004C4C05">
        <w:t>ИЗМЕРЕНИЙ</w:t>
      </w:r>
      <w:r>
        <w:t xml:space="preserve"> </w:t>
      </w:r>
      <w:r w:rsidRPr="004C4C05">
        <w:t>ДЛЯ</w:t>
      </w:r>
      <w:r>
        <w:t xml:space="preserve"> </w:t>
      </w:r>
      <w:r w:rsidRPr="004C4C05">
        <w:t>РАЗРАБОТЧИКОВ</w:t>
      </w:r>
      <w:r>
        <w:t xml:space="preserve"> </w:t>
      </w:r>
      <w:r w:rsidRPr="004C4C05">
        <w:t>АППАРАТУРЫ</w:t>
      </w:r>
      <w:bookmarkEnd w:id="5"/>
    </w:p>
    <w:p w:rsidR="00617452" w:rsidRPr="00855D79" w:rsidRDefault="00617452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Проектирование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современных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оптико-электронных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приборов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(ОЭП)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(ОЭС)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невозможно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без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применения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техники.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целый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ряд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причин: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52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1.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являются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сложными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комплексами,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включающими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себя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звенья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различной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физической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природы,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оптическая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фотоприемник,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электронные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блоки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обработки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видеосигналов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(изображений),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устройства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отображения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другие.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2.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новых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приборов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инженер-разработчик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должен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проверить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несколько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вариантов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схем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построения,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меняя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состав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звеньев,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характеристики,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затем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выбрать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наилучший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вариант.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Следовательно,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«под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рукой»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проектировщика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всегда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должен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находиться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архив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звеньев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совокупностью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параметров,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присущих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каждому.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3.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Очень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(практически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всегда)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нельзя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предсказать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точное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поведение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звеньев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ОЭП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условиях,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условия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заранее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предусмотреть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невозможно.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Следовательно,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разработке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приборов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необходимо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учитывать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случайный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характер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процессов,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происходящих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внутри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прибора,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вне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него.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случайность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также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многократных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(до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миллионов)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расчетов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оптико-электронного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тракта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(ОЭТ)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выход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случайном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сочетании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параметров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4.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Применение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анализе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ОЭП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предоставляет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уникальные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возможности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проверке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схем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построения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проектируемого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прибора.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5.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Еще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одну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возможность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предоставляют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подбору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требуемых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алгоритмов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обработки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изображений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ОЭС,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где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состав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входит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бортовой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(БК),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осуществляющий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обработку.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настоящее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время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насчитываются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тысячи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алгоритмов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цифровой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обработки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изображений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(ЦОИ),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среди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проектировщику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трудно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ориентироваться.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Моделируя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прибор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инженер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имеет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возможность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генерировать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экране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монитора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входное,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выходное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изображение,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получаемое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ОЭП.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Таким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образом,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использование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современных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технологий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разработке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должно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носить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всепроникающий,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сквозной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характер,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обеспечивая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проектировщику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вычислительную,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информационную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поддержку.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должен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брать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себя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рутинную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поиску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обработке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оставляя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проектировщиком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творческий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компонент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определения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направлений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исследований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выбора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стратегии.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более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актуально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сейчас,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когда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мир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находится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пороге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создания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глобальной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вычислительной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сети</w:t>
      </w:r>
      <w:r w:rsidR="00C04CC9" w:rsidRPr="00C04CC9">
        <w:rPr>
          <w:rFonts w:ascii="Times New Roman" w:hAnsi="Times New Roman" w:cs="Times New Roman"/>
          <w:sz w:val="28"/>
          <w:szCs w:val="28"/>
        </w:rPr>
        <w:t xml:space="preserve"> [1]</w:t>
      </w:r>
      <w:r w:rsidRPr="00855D79">
        <w:rPr>
          <w:rFonts w:ascii="Times New Roman" w:hAnsi="Times New Roman" w:cs="Times New Roman"/>
          <w:sz w:val="28"/>
          <w:szCs w:val="28"/>
        </w:rPr>
        <w:t>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2" w:rsidRPr="00EC7835" w:rsidRDefault="00202B44" w:rsidP="008349B9">
      <w:pPr>
        <w:pStyle w:val="1"/>
        <w:ind w:firstLine="709"/>
      </w:pPr>
      <w:bookmarkStart w:id="6" w:name="_Toc494321039"/>
      <w:r w:rsidRPr="00EC7835">
        <w:t>2.1 Оборудование на рабочем месте инженера – разработчика</w:t>
      </w:r>
      <w:bookmarkEnd w:id="6"/>
    </w:p>
    <w:p w:rsidR="00617452" w:rsidRPr="00855D79" w:rsidRDefault="00617452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Система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(САПР)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определяется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организационно-техническая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состоящая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комплекса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средств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автоматизации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проектирования,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взаимосвязанного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подразделениями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организации,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выполняющая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автоматизированное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проектирование.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Комплекс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средств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включает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себя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методическое,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лингвистическое,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математическое,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программное,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информационное,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техническое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организационное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методическим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понимается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совокупность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инструкций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описаний,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обеспечивающих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доступ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определяющих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правила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ней.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Лингвистическое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подразумевает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наличие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некоторого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языка,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именно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совокупности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терминов,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имен,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знаков,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также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правил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расположения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(включая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числовые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данные,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вводимые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клавиатуры),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позволяют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бесконфликтно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общаться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передавать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свои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запросы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требуемую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выполнения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интерпретировать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получаемые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результаты.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настоящее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время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оснащаются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дружественным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пользовательским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интерфейсом,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через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меню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подсказок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«вед</w:t>
      </w:r>
      <w:r w:rsidR="00EC7835">
        <w:rPr>
          <w:rFonts w:ascii="Times New Roman" w:hAnsi="Times New Roman" w:cs="Times New Roman"/>
          <w:sz w:val="28"/>
          <w:szCs w:val="28"/>
        </w:rPr>
        <w:t>е</w:t>
      </w:r>
      <w:r w:rsidRPr="00855D79">
        <w:rPr>
          <w:rFonts w:ascii="Times New Roman" w:hAnsi="Times New Roman" w:cs="Times New Roman"/>
          <w:sz w:val="28"/>
          <w:szCs w:val="28"/>
        </w:rPr>
        <w:t>т»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предлагая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ему,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где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возможно,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альтернативный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выбор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нескольких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вариантов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(опций),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выводя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экран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примеры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задания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или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числовых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значений,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также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размерности,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контролируя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правильность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форматов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значений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вводимых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сообщая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сделанных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вводе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ошибках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предложением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исправить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(иногда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сама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исправляет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ошибки,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выдавая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соответствующие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сообщения).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Необходимым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элементом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пользовательских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интерфейсов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стало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наличие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возможности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вызова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справки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(HELP)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любой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момент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системой,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позволяет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легко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решать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возникшие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затруднения.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52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подходе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взаимодействию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нормальном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«человеческом»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языке,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привычной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ему,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специалисту,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терминов.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менее,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многие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испытывают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затруднения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первых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опытах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общения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системой,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поэтому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разработчики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должны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уделять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методическому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лингвистическому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пристальное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внимание.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особенно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актуально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нынешней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«рыночной»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ситуации,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когда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продаваемость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коммерческих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продуктов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напрямую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зависит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доступности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точки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зрения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простоты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общения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ними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потенциального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Основным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элементом,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базой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любой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является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математическое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Именно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составляющая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несет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основную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«ответственность»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реализуемые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решения.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Ядром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математического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является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математическая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модель,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формализованное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языке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описание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физических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процессов,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происходящих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процессе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объекта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дальнейшем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математическому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моделированию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будет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посвящен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отдельный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раздел.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Программное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состоит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двух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частей.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Во-первых,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состав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входит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операционная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среде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совокупности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программирования,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разрабатывается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(например,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MatLab7).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Во-вторых,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базе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первой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реализуются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алгоритмы,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заложенные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основу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математической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модели.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образом,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вторая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является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решения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конкретных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задач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технических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объектов.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(ПО)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обозначают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английским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термином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D79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D79">
        <w:rPr>
          <w:rFonts w:ascii="Times New Roman" w:hAnsi="Times New Roman" w:cs="Times New Roman"/>
          <w:sz w:val="28"/>
          <w:szCs w:val="28"/>
        </w:rPr>
        <w:t>ware</w:t>
      </w:r>
      <w:proofErr w:type="spellEnd"/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или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просто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D79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855D79">
        <w:rPr>
          <w:rFonts w:ascii="Times New Roman" w:hAnsi="Times New Roman" w:cs="Times New Roman"/>
          <w:sz w:val="28"/>
          <w:szCs w:val="28"/>
        </w:rPr>
        <w:t>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делится,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образом,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прикладное.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Информационное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включает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себя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базы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данных,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необходимые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поддержки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процесса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этот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вид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входят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также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управляющие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–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управления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базами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(СУБД),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организуют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внутри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поиск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</w:t>
      </w:r>
      <w:r w:rsidR="00EC7835">
        <w:rPr>
          <w:rFonts w:ascii="Times New Roman" w:hAnsi="Times New Roman" w:cs="Times New Roman"/>
          <w:sz w:val="28"/>
          <w:szCs w:val="28"/>
        </w:rPr>
        <w:t>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автоматическую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выдачу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запросам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или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основной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(моделирующей)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программы.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СУБД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отвечают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также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«наполнение»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баз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соответствующей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информацией,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получаемой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извне,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например,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записи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параметров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проектируемого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объекта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архив.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Базы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(БД)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организуются,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как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правило,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совокупности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хранимой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однотипной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Например,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таблицы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спектральных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характеристик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звеньев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оптико-электронного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тракта,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наборы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паспортных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параметров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фотоприемников,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архивы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оптических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конструктивными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параметрами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обращении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указывается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идентификатор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которому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автоматически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находится.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Некоторые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являются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ориентированными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обслуживание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пользователей,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предназначены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выдачи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справочной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непосредственно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запросу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только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него.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Сюда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относятся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справочники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(научно-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техническая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литература,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нормативная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документация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п.).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Очень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информационное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реализуется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автономно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есть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служит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только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выдачи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пользователю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справочной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техническим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5D79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D79">
        <w:rPr>
          <w:rFonts w:ascii="Times New Roman" w:hAnsi="Times New Roman" w:cs="Times New Roman"/>
          <w:sz w:val="28"/>
          <w:szCs w:val="28"/>
        </w:rPr>
        <w:t>ware</w:t>
      </w:r>
      <w:proofErr w:type="spellEnd"/>
      <w:r w:rsidRPr="00855D79">
        <w:rPr>
          <w:rFonts w:ascii="Times New Roman" w:hAnsi="Times New Roman" w:cs="Times New Roman"/>
          <w:sz w:val="28"/>
          <w:szCs w:val="28"/>
        </w:rPr>
        <w:t>)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понимается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совокупность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технических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устройств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(компьютера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периферии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нему),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требуемых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проведении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Чаще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всего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разработчики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стараются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выходить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рамки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стандартной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комплектации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современных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компьютеров.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lastRenderedPageBreak/>
        <w:t>Однако,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встречаются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случаи,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когда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состав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технического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приходится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вводить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специально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разрабатываемые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устройства.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Например,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моделировании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работы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ОЭС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возникает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задача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многократного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преобразования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Фурье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над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большими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массивами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Решение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этой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задачи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центральным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процессором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типового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значительного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времени.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35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Поэтому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компьютер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устанавливают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дополнительный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быстродействующий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процессор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сверхоперативным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запоминающим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устройством,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который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выполняет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только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Фурье-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преобразования.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Быстродействие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системы,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таким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образом,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увеличивается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несколько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порядков.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Организационное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обеспечение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подразумевает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создание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организации,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использующей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структурных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подразделений,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отвечающих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за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автоматизированное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проектирование.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C9" w:rsidRPr="00DC3C43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Сложные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работающие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многопользовательском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режиме,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требуют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системного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установки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приоритетов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для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разных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пользователей.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Например,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часть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информации,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используемой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проектировании,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может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быть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конфиденциальной,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тогда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доступ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пользователей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ней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ограничивается.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состав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подразделений,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использующих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САПР,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кроме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непосредственных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инженеров-проектировщиков,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могут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входить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электронщики,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обеспечивающие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работу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оборудования,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и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системные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программисты</w:t>
      </w:r>
      <w:r w:rsidR="00C04CC9" w:rsidRPr="00C04CC9">
        <w:rPr>
          <w:rFonts w:ascii="Times New Roman" w:hAnsi="Times New Roman" w:cs="Times New Roman"/>
          <w:sz w:val="28"/>
          <w:szCs w:val="28"/>
        </w:rPr>
        <w:t xml:space="preserve"> [1]</w:t>
      </w:r>
      <w:r w:rsidRPr="00855D79">
        <w:rPr>
          <w:rFonts w:ascii="Times New Roman" w:hAnsi="Times New Roman" w:cs="Times New Roman"/>
          <w:sz w:val="28"/>
          <w:szCs w:val="28"/>
        </w:rPr>
        <w:t>.</w:t>
      </w:r>
    </w:p>
    <w:p w:rsidR="00855D79" w:rsidRPr="00855D79" w:rsidRDefault="00855D79" w:rsidP="00855D79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2" w:rsidRPr="00EC7835" w:rsidRDefault="00202B44" w:rsidP="008349B9">
      <w:pPr>
        <w:pStyle w:val="1"/>
        <w:ind w:firstLine="709"/>
      </w:pPr>
      <w:bookmarkStart w:id="7" w:name="_Toc494321040"/>
      <w:r w:rsidRPr="00EC7835">
        <w:t>2.2 Измерительные приборы инженера – разработчика</w:t>
      </w:r>
      <w:bookmarkEnd w:id="7"/>
    </w:p>
    <w:p w:rsidR="00EC7835" w:rsidRDefault="00EC7835" w:rsidP="00855D79">
      <w:pPr>
        <w:shd w:val="clear" w:color="auto" w:fill="FFFFFF"/>
        <w:ind w:righ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1251" w:rsidRPr="00EC7835" w:rsidRDefault="00361251" w:rsidP="00855D79">
      <w:pPr>
        <w:shd w:val="clear" w:color="auto" w:fill="FFFFFF"/>
        <w:ind w:righ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" w:name="_Toc494321041"/>
      <w:proofErr w:type="spellStart"/>
      <w:r w:rsidRPr="00EC78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SystemVue</w:t>
      </w:r>
      <w:bookmarkEnd w:id="8"/>
      <w:proofErr w:type="spellEnd"/>
    </w:p>
    <w:p w:rsidR="00361251" w:rsidRPr="00361251" w:rsidRDefault="00361251" w:rsidP="00855D79">
      <w:pPr>
        <w:shd w:val="clear" w:color="auto" w:fill="FFFFFF"/>
        <w:ind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Программное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SystemVue</w:t>
      </w:r>
      <w:proofErr w:type="spellEnd"/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специализированную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среду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САПР,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предназначенную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уровне.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САПР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SystemVue</w:t>
      </w:r>
      <w:proofErr w:type="spellEnd"/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системным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инженерам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разработчикам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алгоритмов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оптимизировать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(PHY)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беспроводных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поколения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аэрокосмической/оборонной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разработчиков,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ВЧ-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компоненты,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сигнальные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процессоры,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ПЛИС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интегральные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схемы.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Являясь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сигналов,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SystemVue</w:t>
      </w:r>
      <w:proofErr w:type="spellEnd"/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цифровые,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аналоговые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назначения.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SystemVue</w:t>
      </w:r>
      <w:proofErr w:type="spellEnd"/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вдвое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верификации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проектирования.</w:t>
      </w:r>
    </w:p>
    <w:p w:rsidR="00361251" w:rsidRPr="00361251" w:rsidRDefault="00361251" w:rsidP="00855D79">
      <w:pPr>
        <w:shd w:val="clear" w:color="auto" w:fill="FFFFFF"/>
        <w:ind w:righ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1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преимущества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САПР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1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SystemVue</w:t>
      </w:r>
      <w:proofErr w:type="spellEnd"/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61251" w:rsidRPr="00361251" w:rsidRDefault="00361251" w:rsidP="00202B4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Лучшая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частей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1251" w:rsidRPr="00361251" w:rsidRDefault="00361251" w:rsidP="00202B4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измерительным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оптимизировать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основанный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архитектуры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верификации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1251" w:rsidRPr="00361251" w:rsidRDefault="00361251" w:rsidP="00202B4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инженеров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смешанными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сигналами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1251" w:rsidRPr="00202B44" w:rsidRDefault="00361251" w:rsidP="00855D79">
      <w:pPr>
        <w:pStyle w:val="3"/>
        <w:keepNext w:val="0"/>
        <w:keepLines w:val="0"/>
        <w:shd w:val="clear" w:color="auto" w:fill="FFFFFF"/>
        <w:spacing w:before="0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_Toc494321042"/>
      <w:r w:rsidRPr="00202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</w:t>
      </w:r>
      <w:r w:rsidR="00202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возможности</w:t>
      </w:r>
      <w:bookmarkEnd w:id="9"/>
    </w:p>
    <w:p w:rsidR="00361251" w:rsidRPr="00202B44" w:rsidRDefault="00361251" w:rsidP="00A64CBC">
      <w:pPr>
        <w:shd w:val="clear" w:color="auto" w:fill="FFFFFF"/>
        <w:ind w:left="709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Ядро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САПР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202B44" w:rsidRDefault="00361251" w:rsidP="00A64CBC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Простота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многопоточной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набор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прикладных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входных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модельно-ориентированного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маршрута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(блоки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интерфейса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коды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языках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C++,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math</w:t>
      </w:r>
      <w:proofErr w:type="spellEnd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/MATLAB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VHDL)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Сценарии,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графики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файлы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входных/выходных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Отладка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окно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текущих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отчетов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сложных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Простая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инкапсуляция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имеющихся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форматов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единый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Привлекательные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сетевой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лицензией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shd w:val="clear" w:color="auto" w:fill="FFFFFF"/>
        <w:ind w:left="709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Интерфейс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C++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202B44" w:rsidRDefault="00361251" w:rsidP="00A64CBC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плавающей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запятой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запятой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C++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Отладка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привычного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интерфейса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202B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Visual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Studio</w:t>
      </w:r>
      <w:proofErr w:type="spellEnd"/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shd w:val="clear" w:color="auto" w:fill="FFFFFF"/>
        <w:ind w:left="709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Встроенное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отладка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алгоритмов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A64CBC" w:rsidRDefault="00361251" w:rsidP="00A64CBC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Встроенная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синтаксиса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сотен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математических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функций,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ориентированных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передачу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A64CBC" w:rsidRDefault="00361251" w:rsidP="00A64CBC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Текстовый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интерфейсы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упрощения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моделей,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симуляции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A64CBC" w:rsidRDefault="00361251" w:rsidP="00A64CBC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Привычный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интерфейс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командной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строки,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интерактивный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отладчик,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протоколу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TCP/IP,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заменяет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лицензий,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</w:t>
      </w:r>
      <w:r w:rsidR="00202B44"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CBC">
        <w:rPr>
          <w:rFonts w:ascii="Times New Roman" w:hAnsi="Times New Roman" w:cs="Times New Roman"/>
          <w:color w:val="000000" w:themeColor="text1"/>
          <w:sz w:val="28"/>
          <w:szCs w:val="28"/>
        </w:rPr>
        <w:t>сред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shd w:val="clear" w:color="auto" w:fill="FFFFFF"/>
        <w:ind w:left="709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Высокопроизводительный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симулятор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потоков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202B44" w:rsidRDefault="00361251" w:rsidP="00A64CBC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огибающей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несущих,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синхронизированных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потоков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потоков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высокопроизводительных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включая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радио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Усовершенствованный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планировщик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скоростей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передачи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способный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сложными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топологиями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Многопоточная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ускоренного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многоядерных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процессоров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симуляции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внешних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кодов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HDL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MATLAB</w:t>
      </w:r>
      <w:r w:rsidR="00A64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A64CBC">
      <w:pPr>
        <w:shd w:val="clear" w:color="auto" w:fill="FFFFFF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наборов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блоков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202B44" w:rsidRDefault="00361251" w:rsidP="00E13884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Базовая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сотни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блоков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цифровых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процессоров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(ЦСП),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модулей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каналов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передачи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E13884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аналоговых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эффектов,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фазовый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шум,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S-параметры,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смещение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приемниках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прямого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частотная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</w:p>
    <w:p w:rsidR="00361251" w:rsidRPr="00202B44" w:rsidRDefault="00361251" w:rsidP="00E13884">
      <w:pPr>
        <w:shd w:val="clear" w:color="auto" w:fill="FFFFFF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измерительными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приборами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202B44" w:rsidRDefault="00361251" w:rsidP="00E13884">
      <w:pPr>
        <w:numPr>
          <w:ilvl w:val="1"/>
          <w:numId w:val="12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приборами,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поддерживающими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ввод/вывод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TCP/IP,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встроенное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потоков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командной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строки</w:t>
      </w:r>
    </w:p>
    <w:p w:rsidR="00361251" w:rsidRPr="00202B44" w:rsidRDefault="00361251" w:rsidP="00E13884">
      <w:pPr>
        <w:numPr>
          <w:ilvl w:val="1"/>
          <w:numId w:val="12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Многократное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одних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проверки,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сценариев,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векторов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тестовых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беспроводной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переходе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тестированию</w:t>
      </w:r>
    </w:p>
    <w:p w:rsidR="00361251" w:rsidRPr="00202B44" w:rsidRDefault="00361251" w:rsidP="00E13884">
      <w:pPr>
        <w:numPr>
          <w:ilvl w:val="1"/>
          <w:numId w:val="12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векторного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сигналов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Keysight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89601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VSA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визуализации</w:t>
      </w:r>
    </w:p>
    <w:p w:rsidR="00361251" w:rsidRPr="00202B44" w:rsidRDefault="00361251" w:rsidP="00E13884">
      <w:pPr>
        <w:numPr>
          <w:ilvl w:val="1"/>
          <w:numId w:val="12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САПР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SystemVue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измерительные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приборы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Keysight</w:t>
      </w:r>
      <w:proofErr w:type="spellEnd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новыми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качествами</w:t>
      </w:r>
    </w:p>
    <w:p w:rsidR="00361251" w:rsidRPr="00202B44" w:rsidRDefault="00361251" w:rsidP="00E13884">
      <w:pPr>
        <w:shd w:val="clear" w:color="auto" w:fill="FFFFFF"/>
        <w:ind w:left="709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Синтез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цифровых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фильтров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251" w:rsidRPr="00202B44" w:rsidRDefault="00361251" w:rsidP="00E13884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Фильтры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конечной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(КИХ)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(БИХ)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импульсной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характеристикой,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фильтры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аналоговых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E13884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частотной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области,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251" w:rsidRPr="00202B44" w:rsidRDefault="00361251" w:rsidP="00E13884">
      <w:pPr>
        <w:numPr>
          <w:ilvl w:val="1"/>
          <w:numId w:val="13"/>
        </w:numPr>
        <w:shd w:val="clear" w:color="auto" w:fill="FFFFFF"/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фильтров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щелчком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мыши</w:t>
      </w:r>
      <w:r w:rsidR="00E13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CF3" w:rsidRPr="00EC7835" w:rsidRDefault="006C5CF3" w:rsidP="00202B44">
      <w:pPr>
        <w:shd w:val="clear" w:color="auto" w:fill="FFFFFF"/>
        <w:tabs>
          <w:tab w:val="num" w:pos="0"/>
        </w:tabs>
        <w:ind w:righ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0" w:name="_Toc494321043"/>
      <w:proofErr w:type="spellStart"/>
      <w:r w:rsidRPr="00EC78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Genesys</w:t>
      </w:r>
      <w:bookmarkEnd w:id="10"/>
      <w:proofErr w:type="spellEnd"/>
    </w:p>
    <w:p w:rsidR="006C5CF3" w:rsidRPr="006C5CF3" w:rsidRDefault="006C5CF3" w:rsidP="00202B44">
      <w:pPr>
        <w:shd w:val="clear" w:color="auto" w:fill="FFFFFF"/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Программное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Genesys</w:t>
      </w:r>
      <w:proofErr w:type="spellEnd"/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Keysight</w:t>
      </w:r>
      <w:proofErr w:type="spellEnd"/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цене,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использовании,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высокопроизводительное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предназначенное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разработчиков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СВЧ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модулей.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Экономическую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подтвердить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5000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пользователей.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Genesys</w:t>
      </w:r>
      <w:proofErr w:type="spellEnd"/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окупается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эксплуатации,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лишних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прототипирования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автоматизированного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схем.</w:t>
      </w:r>
    </w:p>
    <w:p w:rsidR="006C5CF3" w:rsidRPr="006C5CF3" w:rsidRDefault="006C5CF3" w:rsidP="00202B44">
      <w:pPr>
        <w:shd w:val="clear" w:color="auto" w:fill="FFFFFF"/>
        <w:tabs>
          <w:tab w:val="num" w:pos="0"/>
        </w:tabs>
        <w:ind w:righ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преимущества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САПР</w:t>
      </w:r>
      <w:r w:rsidR="00202B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5C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Genesys</w:t>
      </w:r>
      <w:proofErr w:type="spellEnd"/>
      <w:r w:rsidR="009232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C5CF3" w:rsidRPr="006C5CF3" w:rsidRDefault="006C5CF3" w:rsidP="00E1388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автоматизированного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ВЧ/СВЧ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фильтров,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цепей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согласования</w:t>
      </w:r>
      <w:r w:rsidR="0009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CF3" w:rsidRPr="006C5CF3" w:rsidRDefault="006C5CF3" w:rsidP="00E1388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частотное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позволяющее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 w:rsidR="0009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CF3" w:rsidRPr="006C5CF3" w:rsidRDefault="006C5CF3" w:rsidP="00E1388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нелинейные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схемотехнические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симуляторы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цепей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возможностью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параметров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статистического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годных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изделий</w:t>
      </w:r>
      <w:r w:rsidR="0009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CF3" w:rsidRPr="006C5CF3" w:rsidRDefault="006C5CF3" w:rsidP="00E1388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3D-планарный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электромагнитный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симулятор,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позволяющий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топологию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печатных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планарных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антенн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изготовления</w:t>
      </w:r>
      <w:r w:rsidR="0009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CF3" w:rsidRPr="006C5CF3" w:rsidRDefault="006C5CF3" w:rsidP="00E1388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дешевле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функциональнее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сравнению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конкурентными</w:t>
      </w:r>
      <w:r w:rsidR="0020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продуктами</w:t>
      </w:r>
    </w:p>
    <w:p w:rsidR="006C5CF3" w:rsidRPr="00202B44" w:rsidRDefault="006C5CF3" w:rsidP="00923267">
      <w:pPr>
        <w:pStyle w:val="3"/>
        <w:keepNext w:val="0"/>
        <w:keepLines w:val="0"/>
        <w:shd w:val="clear" w:color="auto" w:fill="FFFFFF"/>
        <w:tabs>
          <w:tab w:val="num" w:pos="0"/>
        </w:tabs>
        <w:spacing w:before="0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494321044"/>
      <w:r w:rsidRPr="00202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</w:t>
      </w:r>
      <w:r w:rsidR="00202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возможности</w:t>
      </w:r>
      <w:r w:rsidR="009232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bookmarkEnd w:id="11"/>
    </w:p>
    <w:p w:rsidR="006C5CF3" w:rsidRPr="00202B44" w:rsidRDefault="006C5CF3" w:rsidP="0092326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Ядро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САПР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Genesys</w:t>
      </w:r>
      <w:proofErr w:type="spellEnd"/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(блок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Core</w:t>
      </w:r>
      <w:proofErr w:type="spellEnd"/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полнофункциональную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среду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включающую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линейного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схемотехнического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статистического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моделирования,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топологии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модулей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возможности: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синтез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схем,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нелинейное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схем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3D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планарное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электромагнитное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моделирование.</w:t>
      </w:r>
    </w:p>
    <w:p w:rsidR="006C5CF3" w:rsidRPr="00202B44" w:rsidRDefault="006C5CF3" w:rsidP="0092326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Возможности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САПР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Genesys</w:t>
      </w:r>
      <w:proofErr w:type="spellEnd"/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синтезу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ВЧ/СВЧ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высококачественных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схем,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рутинных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закупке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Модули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синтеза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фильтров,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согласующих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цепей,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генераторов,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смесителей,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линий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передачи,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цепей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фазовых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искажений,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цепей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фазовой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автоподстройки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частоты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(ФАПЧ)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схем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сигналом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включены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ядро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САПР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Genesys</w:t>
      </w:r>
      <w:proofErr w:type="spellEnd"/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пакеты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Genesys</w:t>
      </w:r>
      <w:proofErr w:type="spellEnd"/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CF3" w:rsidRPr="00202B44" w:rsidRDefault="006C5CF3" w:rsidP="0092326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Средства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моделирования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САПР</w:t>
      </w:r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Genesys</w:t>
      </w:r>
      <w:proofErr w:type="spellEnd"/>
      <w:r w:rsidR="00202B44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анализу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ВЧ/СВЧ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частот,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моделированию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нелинейных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схем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частотной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3D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планарному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электромагнитному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моделированию.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уравнений,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совместимых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MATLAB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программирования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математических</w:t>
      </w:r>
      <w:r w:rsid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вычислений</w:t>
      </w:r>
      <w:r w:rsidR="00C04CC9" w:rsidRPr="00C0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CF3" w:rsidRPr="00202B44" w:rsidRDefault="006C5CF3" w:rsidP="00202B44">
      <w:pPr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2" w:rsidRPr="00202B44" w:rsidRDefault="00202B44" w:rsidP="00202B44">
      <w:pPr>
        <w:tabs>
          <w:tab w:val="num" w:pos="0"/>
        </w:tabs>
        <w:ind w:righ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02B44">
        <w:rPr>
          <w:rFonts w:ascii="Times New Roman" w:hAnsi="Times New Roman" w:cs="Times New Roman"/>
          <w:sz w:val="28"/>
          <w:szCs w:val="28"/>
        </w:rPr>
        <w:br w:type="page"/>
      </w:r>
    </w:p>
    <w:p w:rsidR="00617452" w:rsidRPr="004C4C05" w:rsidRDefault="008349B9" w:rsidP="008349B9">
      <w:pPr>
        <w:pStyle w:val="1"/>
        <w:ind w:firstLine="709"/>
      </w:pPr>
      <w:bookmarkStart w:id="12" w:name="_Toc494321045"/>
      <w:r w:rsidRPr="004C4C05">
        <w:lastRenderedPageBreak/>
        <w:t>ЗАКЛЮЧЕНИЕ</w:t>
      </w:r>
      <w:bookmarkEnd w:id="12"/>
    </w:p>
    <w:p w:rsidR="00617452" w:rsidRPr="00FB5A55" w:rsidRDefault="00617452" w:rsidP="00FB5A55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D2" w:rsidRPr="00FB5A55" w:rsidRDefault="00C552D2" w:rsidP="00FB5A55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55">
        <w:rPr>
          <w:rFonts w:ascii="Times New Roman" w:hAnsi="Times New Roman" w:cs="Times New Roman"/>
          <w:sz w:val="28"/>
          <w:szCs w:val="28"/>
        </w:rPr>
        <w:t>При прохождении практики, были решены следующие задачи:</w:t>
      </w:r>
    </w:p>
    <w:p w:rsidR="00C552D2" w:rsidRPr="00FB5A55" w:rsidRDefault="00C552D2" w:rsidP="00FB5A55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55">
        <w:rPr>
          <w:rFonts w:ascii="Times New Roman" w:hAnsi="Times New Roman" w:cs="Times New Roman"/>
          <w:sz w:val="28"/>
          <w:szCs w:val="28"/>
        </w:rPr>
        <w:t>изучена история МГУПИ;</w:t>
      </w:r>
    </w:p>
    <w:p w:rsidR="00C552D2" w:rsidRPr="00FB5A55" w:rsidRDefault="00C552D2" w:rsidP="00FB5A55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55">
        <w:rPr>
          <w:rFonts w:ascii="Times New Roman" w:hAnsi="Times New Roman" w:cs="Times New Roman"/>
          <w:sz w:val="28"/>
          <w:szCs w:val="28"/>
        </w:rPr>
        <w:t>изучена история кафедры КБ-6;</w:t>
      </w:r>
    </w:p>
    <w:p w:rsidR="00C552D2" w:rsidRPr="00FB5A55" w:rsidRDefault="00C552D2" w:rsidP="00FB5A55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55">
        <w:rPr>
          <w:rFonts w:ascii="Times New Roman" w:hAnsi="Times New Roman" w:cs="Times New Roman"/>
          <w:sz w:val="28"/>
          <w:szCs w:val="28"/>
        </w:rPr>
        <w:t>изучено оборудование на рабочем месте инженера – разработчика;</w:t>
      </w:r>
    </w:p>
    <w:p w:rsidR="00C552D2" w:rsidRPr="00FB5A55" w:rsidRDefault="00C552D2" w:rsidP="00FB5A55">
      <w:pPr>
        <w:pStyle w:val="aa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55">
        <w:rPr>
          <w:rFonts w:ascii="Times New Roman" w:hAnsi="Times New Roman" w:cs="Times New Roman"/>
          <w:sz w:val="28"/>
          <w:szCs w:val="28"/>
        </w:rPr>
        <w:t>рассмотрены измерительные приборы инженера – разработчика.</w:t>
      </w:r>
    </w:p>
    <w:p w:rsidR="00FB5A55" w:rsidRPr="00FB5A55" w:rsidRDefault="00FB5A55" w:rsidP="00FB5A55">
      <w:pPr>
        <w:ind w:right="-1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B5A5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 процессе прохождения учебной практики были соблюдены сроки календарного графика и проявлены хорошие навыки работы с теоретическими материалами</w:t>
      </w:r>
      <w:r w:rsidRPr="00FB5A5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FB5A55" w:rsidRPr="00FB5A55" w:rsidRDefault="00FB5A55" w:rsidP="00FB5A55">
      <w:pPr>
        <w:pStyle w:val="aa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5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Теоретическая значимость работы заключается в обобщении научных и учебно-методических источников по теме: </w:t>
      </w:r>
      <w:r w:rsidRPr="00FB5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B5A5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особенности использования средства измерений для инженеров-разработчиков измерительной техники</w:t>
      </w:r>
      <w:r w:rsidRPr="00FB5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FB5A5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которые могут быть рекомендованы при изучении курса дисциплины «</w:t>
      </w:r>
      <w:r w:rsidRPr="00FB5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«Приборы и информационно-измерительные системы»</w:t>
      </w:r>
      <w:r w:rsidRPr="00FB5A5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617452" w:rsidRPr="00FB5A55" w:rsidRDefault="00617452" w:rsidP="00FB5A55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2" w:rsidRPr="004C4C05" w:rsidRDefault="00202B44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4C4C05">
        <w:rPr>
          <w:rFonts w:ascii="Times New Roman" w:hAnsi="Times New Roman" w:cs="Times New Roman"/>
        </w:rPr>
        <w:br w:type="page"/>
      </w:r>
    </w:p>
    <w:p w:rsidR="00617452" w:rsidRPr="004C4C05" w:rsidRDefault="008349B9" w:rsidP="008349B9">
      <w:pPr>
        <w:pStyle w:val="1"/>
        <w:ind w:firstLine="709"/>
      </w:pPr>
      <w:bookmarkStart w:id="13" w:name="_Toc494321046"/>
      <w:r w:rsidRPr="004C4C05">
        <w:lastRenderedPageBreak/>
        <w:t>СПИСОК</w:t>
      </w:r>
      <w:r>
        <w:t xml:space="preserve"> </w:t>
      </w:r>
      <w:r w:rsidRPr="004C4C05">
        <w:t>ИСПОЛЬЗОВАННЫХ</w:t>
      </w:r>
      <w:r>
        <w:t xml:space="preserve"> </w:t>
      </w:r>
      <w:r w:rsidRPr="004C4C05">
        <w:t>ИСТОЧНИКОВ</w:t>
      </w:r>
      <w:bookmarkEnd w:id="13"/>
    </w:p>
    <w:p w:rsidR="00617452" w:rsidRPr="00C04CC9" w:rsidRDefault="00617452" w:rsidP="008349B9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7452" w:rsidRPr="00C04CC9" w:rsidRDefault="001C3936" w:rsidP="008349B9">
      <w:pPr>
        <w:pStyle w:val="aa"/>
        <w:numPr>
          <w:ilvl w:val="0"/>
          <w:numId w:val="1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C9">
        <w:rPr>
          <w:rFonts w:ascii="Times New Roman" w:hAnsi="Times New Roman" w:cs="Times New Roman"/>
          <w:sz w:val="28"/>
          <w:szCs w:val="28"/>
        </w:rPr>
        <w:t xml:space="preserve">Введение в основы компьютерного моделирования оптико-электронных систем: учеб. пособие / Е.В. </w:t>
      </w:r>
      <w:proofErr w:type="spellStart"/>
      <w:r w:rsidRPr="00C04CC9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C04CC9">
        <w:rPr>
          <w:rFonts w:ascii="Times New Roman" w:hAnsi="Times New Roman" w:cs="Times New Roman"/>
          <w:sz w:val="28"/>
          <w:szCs w:val="28"/>
        </w:rPr>
        <w:t>. – Новосибирск: СГГА, 2016. – 87 с.</w:t>
      </w:r>
    </w:p>
    <w:p w:rsidR="00C04CC9" w:rsidRPr="00C04CC9" w:rsidRDefault="00C04CC9" w:rsidP="008349B9">
      <w:pPr>
        <w:pStyle w:val="aa"/>
        <w:numPr>
          <w:ilvl w:val="0"/>
          <w:numId w:val="17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C9">
        <w:rPr>
          <w:rFonts w:ascii="Times New Roman" w:hAnsi="Times New Roman" w:cs="Times New Roman"/>
          <w:sz w:val="28"/>
          <w:szCs w:val="28"/>
        </w:rPr>
        <w:t xml:space="preserve">История кафедры «Приборы и информационно-измерительные системы» </w:t>
      </w:r>
      <w:proofErr w:type="gramStart"/>
      <w:r w:rsidRPr="00C04CC9">
        <w:rPr>
          <w:rFonts w:ascii="Times New Roman" w:hAnsi="Times New Roman" w:cs="Times New Roman"/>
          <w:sz w:val="28"/>
          <w:szCs w:val="28"/>
        </w:rPr>
        <w:t>URL:https://security.mirea.ru/the-department/the-department-of-instruments-and-information-measuring-systems/</w:t>
      </w:r>
      <w:proofErr w:type="gramEnd"/>
      <w:r w:rsidRPr="00C04CC9">
        <w:rPr>
          <w:rFonts w:ascii="Times New Roman" w:hAnsi="Times New Roman" w:cs="Times New Roman"/>
          <w:sz w:val="28"/>
          <w:szCs w:val="28"/>
        </w:rPr>
        <w:t xml:space="preserve"> (дата обращения 25.09.2017)</w:t>
      </w:r>
    </w:p>
    <w:p w:rsidR="00EC7347" w:rsidRPr="00C04CC9" w:rsidRDefault="00EC7347" w:rsidP="008349B9">
      <w:pPr>
        <w:pStyle w:val="aa"/>
        <w:numPr>
          <w:ilvl w:val="0"/>
          <w:numId w:val="17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C9">
        <w:rPr>
          <w:rFonts w:ascii="Times New Roman" w:hAnsi="Times New Roman" w:cs="Times New Roman"/>
          <w:sz w:val="28"/>
          <w:szCs w:val="28"/>
        </w:rPr>
        <w:t xml:space="preserve">История МГУПИ </w:t>
      </w:r>
      <w:proofErr w:type="gramStart"/>
      <w:r w:rsidRPr="00C04CC9">
        <w:rPr>
          <w:rFonts w:ascii="Times New Roman" w:hAnsi="Times New Roman" w:cs="Times New Roman"/>
          <w:sz w:val="28"/>
          <w:szCs w:val="28"/>
        </w:rPr>
        <w:t>URL:https://www.mirea.ru/about/history-of-the-university/history-of-the-university/</w:t>
      </w:r>
      <w:proofErr w:type="gramEnd"/>
      <w:r w:rsidRPr="00C04CC9">
        <w:rPr>
          <w:rFonts w:ascii="Times New Roman" w:hAnsi="Times New Roman" w:cs="Times New Roman"/>
          <w:sz w:val="28"/>
          <w:szCs w:val="28"/>
        </w:rPr>
        <w:t xml:space="preserve"> (дата обращения 25.09.2017)</w:t>
      </w:r>
    </w:p>
    <w:p w:rsidR="00C04CC9" w:rsidRPr="00C04CC9" w:rsidRDefault="00C04CC9" w:rsidP="00C04CC9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CC9" w:rsidRPr="00C04CC9" w:rsidSect="00884DAF">
      <w:footerReference w:type="default" r:id="rId8"/>
      <w:pgSz w:w="11906" w:h="16838"/>
      <w:pgMar w:top="1134" w:right="567" w:bottom="1134" w:left="1134" w:header="0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81" w:rsidRDefault="00557D81" w:rsidP="00617452">
      <w:pPr>
        <w:spacing w:line="240" w:lineRule="auto"/>
      </w:pPr>
      <w:r>
        <w:separator/>
      </w:r>
    </w:p>
  </w:endnote>
  <w:endnote w:type="continuationSeparator" w:id="0">
    <w:p w:rsidR="00557D81" w:rsidRDefault="00557D81" w:rsidP="00617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SOCPEUR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36045"/>
    </w:sdtPr>
    <w:sdtEndPr>
      <w:rPr>
        <w:rFonts w:ascii="Times New Roman" w:hAnsi="Times New Roman" w:cs="Times New Roman"/>
        <w:sz w:val="28"/>
        <w:szCs w:val="28"/>
      </w:rPr>
    </w:sdtEndPr>
    <w:sdtContent>
      <w:p w:rsidR="00202B44" w:rsidRPr="00884DAF" w:rsidRDefault="00A02BD9" w:rsidP="00EC7835">
        <w:pPr>
          <w:pStyle w:val="ad"/>
          <w:tabs>
            <w:tab w:val="clear" w:pos="9355"/>
            <w:tab w:val="right" w:pos="10206"/>
          </w:tabs>
          <w:ind w:right="-1"/>
          <w:jc w:val="right"/>
          <w:rPr>
            <w:rFonts w:ascii="Times New Roman" w:hAnsi="Times New Roman" w:cs="Times New Roman"/>
            <w:sz w:val="28"/>
            <w:szCs w:val="28"/>
            <w:lang w:val="en-US"/>
          </w:rPr>
        </w:pPr>
        <w:r w:rsidRPr="00EC78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7835" w:rsidRPr="00EC78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8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29A6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EC78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81" w:rsidRDefault="00557D81" w:rsidP="00617452">
      <w:pPr>
        <w:spacing w:line="240" w:lineRule="auto"/>
      </w:pPr>
      <w:r>
        <w:separator/>
      </w:r>
    </w:p>
  </w:footnote>
  <w:footnote w:type="continuationSeparator" w:id="0">
    <w:p w:rsidR="00557D81" w:rsidRDefault="00557D81" w:rsidP="00617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5C3"/>
    <w:multiLevelType w:val="multilevel"/>
    <w:tmpl w:val="AC3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5FB4"/>
    <w:multiLevelType w:val="multilevel"/>
    <w:tmpl w:val="936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227D9"/>
    <w:multiLevelType w:val="multilevel"/>
    <w:tmpl w:val="DD9E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0132E"/>
    <w:multiLevelType w:val="multilevel"/>
    <w:tmpl w:val="55E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36D97"/>
    <w:multiLevelType w:val="multilevel"/>
    <w:tmpl w:val="8E7EE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E7CE1"/>
    <w:multiLevelType w:val="multilevel"/>
    <w:tmpl w:val="EF1814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A4E6B"/>
    <w:multiLevelType w:val="multilevel"/>
    <w:tmpl w:val="47D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C258F"/>
    <w:multiLevelType w:val="multilevel"/>
    <w:tmpl w:val="8CB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D3F79"/>
    <w:multiLevelType w:val="multilevel"/>
    <w:tmpl w:val="7BF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978F5"/>
    <w:multiLevelType w:val="hybridMultilevel"/>
    <w:tmpl w:val="5C14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5BEE"/>
    <w:multiLevelType w:val="multilevel"/>
    <w:tmpl w:val="DD9E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113CE"/>
    <w:multiLevelType w:val="multilevel"/>
    <w:tmpl w:val="464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7111F"/>
    <w:multiLevelType w:val="multilevel"/>
    <w:tmpl w:val="AC1C5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B3492"/>
    <w:multiLevelType w:val="multilevel"/>
    <w:tmpl w:val="62B8BD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53C4C"/>
    <w:multiLevelType w:val="hybridMultilevel"/>
    <w:tmpl w:val="C06A2DD0"/>
    <w:lvl w:ilvl="0" w:tplc="12BE637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BA12F7"/>
    <w:multiLevelType w:val="multilevel"/>
    <w:tmpl w:val="D52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C4CB9"/>
    <w:multiLevelType w:val="multilevel"/>
    <w:tmpl w:val="A01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452"/>
    <w:rsid w:val="00027AFD"/>
    <w:rsid w:val="0009100A"/>
    <w:rsid w:val="000B5DCD"/>
    <w:rsid w:val="001C3936"/>
    <w:rsid w:val="00202B44"/>
    <w:rsid w:val="002656EC"/>
    <w:rsid w:val="002D1A04"/>
    <w:rsid w:val="00305726"/>
    <w:rsid w:val="00361251"/>
    <w:rsid w:val="004C4C05"/>
    <w:rsid w:val="00557D81"/>
    <w:rsid w:val="00617452"/>
    <w:rsid w:val="006C5CF3"/>
    <w:rsid w:val="006D1D58"/>
    <w:rsid w:val="00823EA7"/>
    <w:rsid w:val="008349B9"/>
    <w:rsid w:val="00855D79"/>
    <w:rsid w:val="00857352"/>
    <w:rsid w:val="008575BA"/>
    <w:rsid w:val="00884DAF"/>
    <w:rsid w:val="00923267"/>
    <w:rsid w:val="00A02BD9"/>
    <w:rsid w:val="00A64CBC"/>
    <w:rsid w:val="00AB1085"/>
    <w:rsid w:val="00C04CC9"/>
    <w:rsid w:val="00C552D2"/>
    <w:rsid w:val="00CD4FE6"/>
    <w:rsid w:val="00DC3C43"/>
    <w:rsid w:val="00E13884"/>
    <w:rsid w:val="00E57003"/>
    <w:rsid w:val="00EC29A6"/>
    <w:rsid w:val="00EC7347"/>
    <w:rsid w:val="00EC7835"/>
    <w:rsid w:val="00F470B0"/>
    <w:rsid w:val="00FB5A55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7E10DF-198B-46BF-AEBC-0BD25CF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5B"/>
    <w:pPr>
      <w:spacing w:line="360" w:lineRule="auto"/>
      <w:ind w:right="851"/>
    </w:pPr>
  </w:style>
  <w:style w:type="paragraph" w:styleId="1">
    <w:name w:val="heading 1"/>
    <w:basedOn w:val="a"/>
    <w:next w:val="a"/>
    <w:link w:val="10"/>
    <w:uiPriority w:val="9"/>
    <w:qFormat/>
    <w:rsid w:val="00305726"/>
    <w:pPr>
      <w:ind w:right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361251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1251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B65E5"/>
  </w:style>
  <w:style w:type="character" w:customStyle="1" w:styleId="a4">
    <w:name w:val="Нижний колонтитул Знак"/>
    <w:basedOn w:val="a0"/>
    <w:uiPriority w:val="99"/>
    <w:qFormat/>
    <w:rsid w:val="00DB65E5"/>
  </w:style>
  <w:style w:type="character" w:customStyle="1" w:styleId="a5">
    <w:name w:val="Текст выноски Знак"/>
    <w:basedOn w:val="a0"/>
    <w:uiPriority w:val="99"/>
    <w:semiHidden/>
    <w:qFormat/>
    <w:rsid w:val="009E5753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qFormat/>
    <w:rsid w:val="0061745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617452"/>
    <w:pPr>
      <w:spacing w:after="140" w:line="288" w:lineRule="auto"/>
    </w:pPr>
  </w:style>
  <w:style w:type="paragraph" w:styleId="a7">
    <w:name w:val="List"/>
    <w:basedOn w:val="a6"/>
    <w:rsid w:val="00617452"/>
    <w:rPr>
      <w:rFonts w:cs="FreeSans"/>
    </w:rPr>
  </w:style>
  <w:style w:type="paragraph" w:styleId="a8">
    <w:name w:val="Title"/>
    <w:basedOn w:val="a"/>
    <w:rsid w:val="006174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617452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23F1F"/>
    <w:pPr>
      <w:ind w:left="720"/>
      <w:contextualSpacing/>
    </w:pPr>
  </w:style>
  <w:style w:type="paragraph" w:customStyle="1" w:styleId="ab">
    <w:name w:val="Чертежный"/>
    <w:qFormat/>
    <w:rsid w:val="00694440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header"/>
    <w:basedOn w:val="a"/>
    <w:uiPriority w:val="99"/>
    <w:semiHidden/>
    <w:unhideWhenUsed/>
    <w:rsid w:val="00DB65E5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DB65E5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9E5753"/>
    <w:pPr>
      <w:spacing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B0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AB108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612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612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basedOn w:val="a0"/>
    <w:uiPriority w:val="99"/>
    <w:unhideWhenUsed/>
    <w:rsid w:val="00EC73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72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2656EC"/>
    <w:pPr>
      <w:keepNext/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2656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56E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656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9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D3E2-54E0-4DB9-ABA3-4092789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Александрия Курловская</cp:lastModifiedBy>
  <cp:revision>14</cp:revision>
  <cp:lastPrinted>2015-12-25T10:11:00Z</cp:lastPrinted>
  <dcterms:created xsi:type="dcterms:W3CDTF">2017-09-27T20:59:00Z</dcterms:created>
  <dcterms:modified xsi:type="dcterms:W3CDTF">2019-04-18T23:29:00Z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