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комиссии и присутствующие, добрый день. Тема представляемой к защите работы “</w:t>
      </w:r>
      <w:r w:rsidRPr="00DC7B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и анализ услуг по аренде торговых помещений на примере филиала «Челябинский торговый центр» ОАО «Кузнецкие ферросплавы»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темы обусловлена тем, что а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рендные отношения всегда занимали значительное место в экономических отношениях, ввиду потребности одних хозяйствующих субъектов в имущественных объектах при отсутствии финансовой возможности его приобретения в собственность и избытка данного имущества у других субъектов при необходимости извлечения из него гарантированного дохода.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7"/>
          <w:lang w:eastAsia="ru-RU"/>
        </w:rPr>
        <w:t>В настоящее время в российской экономике арендные отношения являются достаточно распространенной формой экономических отношений между хозяйствующими субъектами. Они возникают в связи с потребностью современного предпринимательства в основных средствах (зданиях, сооружениях, транспорте, оборудовании и т.д.), стоимость которых достаточно высока и часто недоступна для большинства организаций и предпринимателей, особенно на стадии становления бизнеса. Аренда позволяет предпринимателям сэкономить денежные средства в связи с её относительной дешевизной по сравнению с приобретением имущества по ипотеке или в кредит.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b/>
          <w:sz w:val="28"/>
          <w:szCs w:val="27"/>
          <w:lang w:eastAsia="ru-RU"/>
        </w:rPr>
        <w:t xml:space="preserve">Цель работы </w:t>
      </w:r>
      <w:r w:rsidRPr="00DC7BDD">
        <w:rPr>
          <w:rFonts w:ascii="Times New Roman" w:eastAsia="MS Mincho" w:hAnsi="Times New Roman" w:cs="Times New Roman"/>
          <w:sz w:val="28"/>
          <w:szCs w:val="27"/>
          <w:lang w:eastAsia="ru-RU"/>
        </w:rPr>
        <w:t>– произвести анализ бухгалтерского учета организации и услуг по аренде торговых помещений, которые она оказывает на примере Филиала «Челябинский торговый центр» ОАО «Кузнецкие ферросплавы».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Для написания работы были использованы нормативн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ые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документы, регулирующие вопросы учета услуг по аренде торговых помещений и экономическая литература.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Диплом состоит из трёх глав, введения, заключения, списка используемой литературы и приложений.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Первая глава посвящена теоретическому изучению традиционных подходов учета и анализа услуг по аренде торговых помещений.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7"/>
          <w:lang w:eastAsia="ru-RU"/>
        </w:rPr>
        <w:t>Вторая глава представляет собой практическую часть, в которой дается характеристика организационно-экономической деятельности предприятия, составляется схема документооборота, производится анализ услуг по аренде торговых помещений, определяется порядок ведения бухгалтерского учета, а так же управленческого учета Филиала «ЧТЦ» ОАО «КФ».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7"/>
          <w:lang w:eastAsia="ru-RU"/>
        </w:rPr>
        <w:t>В третьей главе разрабатываются рекомендации по усовершенствованию бухгалтерского и управленческого учета в Филиале «ЧТЦ» ОАО «КФ».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Предметом работы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являются услуги по аренде торговых помещений.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Результаты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дипломной работы имеют практическую значимость и могут применяться Филиалом «Челябинский торговый центр» ОАО «Кузнецкие ферросплавы» с целью совершенствования бухгалтерского и управленческого учета.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написания работы были сделаны следующие выводы и заключения.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Особый интерес для предпринимателей представляет аренда недвижимого имущества, в первую очередь нежилых помещений, интерес предпринимателей в данном случае оп</w:t>
      </w: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softHyphen/>
        <w:t>ределяется тем, что данные объекты, необходимые для осуществления предпринимательской деятельности, имеют достаточно высокую стоимость. Заключение договора арен</w:t>
      </w: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softHyphen/>
        <w:t>ды позволяет не отчуждать сразу крупные денежные суммы.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нынешних условиях договор аренды нежилых помещений имеет исключительно важное значение. Цель данного договора – обеспечить передачу имущества во временное владение и пользование. В этом заинтересованы обе стороны. Интерес арендодателя предполагает, что с помощью передачи нежилых помещений в аренду реализуются его интересы как собственника по извлечению дохода из имеющейся у него в наличии собственности.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В первой главе дипломной работы были рассмотрены традиционные подходы к учету и анализу услуг по аренде торговых помещений, а именно организация системы бухгалтерского и управленческого учета услуг по аренде торговых помещений. Арендные сделки являются объектами бухгалтерского учета, так как представляют собой совокупность экономических отношений, в результате которых образуются обязательства, связанные с реализацией договора аренды, заключающегося в том, что одна сторона предоставляет другой стороне во временное пользование (владение) имущество за плату. Также в первой главе была рассмотрена судебная практика в сфере услуг по аренде торговых помещений.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 второй главе дипломной работы была рассмотрена организационно-экономическая характеристика предприятия, в результате изученной информации можно сделать вывод о том, что динамика предприятия в 2013-2014 г. была не стабильной. Проведен анализ услуг по аренде торговых помещений на примере филиала «Челябинский торговый центр» ОАО «Кузнецкие ферросплавы» на основании которого можно сделать вывод, что в 2015 г. выросла арендная ставка примерно на 10 000 руб., по сравнению с 2012 г., это вызвано резким ухудшением экономической ситуации в стране. Для того, чтобы остаться конкурентоспособным и удовлетворить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возрастающие требования инфляции филиал «ЧТЦ» ОАО «Кузнецкие ферросплавы» увеличивает аренду, так как необходимо покрыть свои возрастающие затраты и соответственно извлечь больше дохода со своих арендных отношений. А также рассмотрен порядок ведения бухгалтерского учета услуг по аренде выбранного предприятия.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В третьей главе работы даны практические рекомендаций по совершенствованию бухгалтерского учета услуг по аренде торговых помещений для филиала «Челябинский торговый центр» ОАО «Кузнецкие ферросплавы»: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 xml:space="preserve">Имущество, передаваемое в текущую аренду, должно отражаться в бухгалтерском учете арендодателя обособленно.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Филиал  «Челябинский торговый центр» ОАО «Кузнецкие ферросплавы» должен </w:t>
      </w:r>
      <w:r w:rsidRPr="00DC7BDD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ru-RU"/>
        </w:rPr>
        <w:t>открывать на соответствующих счетах учета имущества отдельные субсчета для учета имущества, передаваемого в текущую аренду.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DC7BDD">
        <w:rPr>
          <w:rFonts w:ascii="Times New Roman" w:eastAsia="MS Mincho" w:hAnsi="Times New Roman" w:cs="Times New Roman"/>
          <w:sz w:val="28"/>
          <w:szCs w:val="25"/>
          <w:lang w:eastAsia="ru-RU"/>
        </w:rPr>
        <w:t xml:space="preserve">Филиал «ЧТЦ» ОАО «Кузнецкие ферросплавы» относит выручку на кредит счета 91, как прочие доходы. Но предоставление помещений в аренду является обычным видом деятельности филиала «ЧТЦ»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ОАО «Кузнецкие ферросплавы.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5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</w:t>
      </w:r>
      <w:r w:rsidRPr="00DC7BDD">
        <w:rPr>
          <w:rFonts w:ascii="Times New Roman" w:eastAsia="MS Mincho" w:hAnsi="Times New Roman" w:cs="Times New Roman"/>
          <w:sz w:val="28"/>
          <w:szCs w:val="25"/>
          <w:lang w:eastAsia="ru-RU"/>
        </w:rPr>
        <w:t>В бухгалтерском учете в конце соответствующего периода отражается выручка в виде арендной платы по каждому из контрагентов проводкой:</w:t>
      </w:r>
      <w:r w:rsidRPr="00DC7BDD">
        <w:rPr>
          <w:rFonts w:ascii="Times New Roman" w:eastAsia="MS Mincho" w:hAnsi="Times New Roman" w:cs="Times New Roman"/>
          <w:sz w:val="28"/>
          <w:szCs w:val="25"/>
          <w:lang w:eastAsia="ru-RU"/>
        </w:rPr>
        <w:br/>
        <w:t>     – Дебет 62, субсчет «Расчеты с покупателями и заказчиками по оказанным услугам» Кредит 90, субсчет «Выручка от реализации»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7BDD">
        <w:rPr>
          <w:rFonts w:ascii="Times New Roman" w:eastAsia="MS Mincho" w:hAnsi="Times New Roman" w:cs="Times New Roman"/>
          <w:sz w:val="28"/>
          <w:szCs w:val="25"/>
          <w:lang w:eastAsia="ru-RU"/>
        </w:rPr>
        <w:t xml:space="preserve">А так же рекомендации по совершенствованию управленческого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учета услуг по аренде торговых помещений для филиала «Челябинский торговый центр» ОАО «Кузнецкие ферросплавы»: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Для формирования себестоимости в рамках управленческого учета можно рекомендовать применение калькуляционной подсистемы «стандарт-кост».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Учет отклонений целесообразнее будет отражать на специальных счетах. Оперативный учет отклонений можно вести по труду, общепроизводственным (общехозяйственным) расходам и валовой прибыли. Наиболее эффективно применение системы «стандарт-кост» будет при организации управленческого учета по центрам ответственности и местам возникновения затрат.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рамках управленческого учета также целесообразно ввести бюджетирование, поскольку оно является одним из гибких и эффективных инструментов управления, анализа и контроля за доходами и расходами организации. </w:t>
      </w:r>
    </w:p>
    <w:p w:rsidR="00DC7BDD" w:rsidRPr="00DC7BDD" w:rsidRDefault="00DC7BDD" w:rsidP="00DC7BDD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7BDD">
        <w:rPr>
          <w:rFonts w:ascii="Times New Roman" w:eastAsia="MS Mincho" w:hAnsi="Times New Roman" w:cs="Times New Roman"/>
          <w:sz w:val="28"/>
          <w:szCs w:val="28"/>
          <w:lang w:eastAsia="ru-RU"/>
        </w:rPr>
        <w:t>Результаты дипломной работы имеют практическую значимость и могут применяться Филиалом «Челябинский торговый центр» ОАО «Кузнецкие ферросплавы» с целью совершенствования бухгалтерского и управленческого учета.</w:t>
      </w:r>
    </w:p>
    <w:p w:rsid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цель работы достигнута, задачи решены.</w:t>
      </w:r>
    </w:p>
    <w:p w:rsidR="00DC7BDD" w:rsidRPr="00DC7BDD" w:rsidRDefault="00DC7BDD" w:rsidP="00DC7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DC7BDD" w:rsidRPr="00DC7BDD" w:rsidRDefault="00DC7BDD" w:rsidP="00DC7BDD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DC7BDD" w:rsidRPr="00DC7BDD" w:rsidSect="004A37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C8" w:rsidRDefault="001D2DC8" w:rsidP="00BE5057">
      <w:pPr>
        <w:spacing w:after="0" w:line="240" w:lineRule="auto"/>
      </w:pPr>
      <w:r>
        <w:separator/>
      </w:r>
    </w:p>
  </w:endnote>
  <w:endnote w:type="continuationSeparator" w:id="0">
    <w:p w:rsidR="001D2DC8" w:rsidRDefault="001D2DC8" w:rsidP="00BE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C8" w:rsidRDefault="001D2DC8" w:rsidP="00BE5057">
      <w:pPr>
        <w:spacing w:after="0" w:line="240" w:lineRule="auto"/>
      </w:pPr>
      <w:r>
        <w:separator/>
      </w:r>
    </w:p>
  </w:footnote>
  <w:footnote w:type="continuationSeparator" w:id="0">
    <w:p w:rsidR="001D2DC8" w:rsidRDefault="001D2DC8" w:rsidP="00BE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57" w:rsidRDefault="00BE5057" w:rsidP="00BE5057">
    <w:pPr>
      <w:pStyle w:val="a4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:rsidR="00BE5057" w:rsidRDefault="00BE5057" w:rsidP="00BE5057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BE5057" w:rsidRDefault="00BE5057" w:rsidP="00BE5057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BE5057" w:rsidRDefault="00BE5057" w:rsidP="00BE5057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E5057" w:rsidRDefault="00BE50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302"/>
    <w:multiLevelType w:val="hybridMultilevel"/>
    <w:tmpl w:val="62BEAD0E"/>
    <w:lvl w:ilvl="0" w:tplc="624A3B58">
      <w:start w:val="1"/>
      <w:numFmt w:val="decimal"/>
      <w:pStyle w:val="a"/>
      <w:lvlText w:val="%1)"/>
      <w:lvlJc w:val="left"/>
      <w:pPr>
        <w:ind w:left="75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1A2"/>
    <w:rsid w:val="001D2DC8"/>
    <w:rsid w:val="004A370F"/>
    <w:rsid w:val="00574411"/>
    <w:rsid w:val="005A51A2"/>
    <w:rsid w:val="00B31339"/>
    <w:rsid w:val="00BE5057"/>
    <w:rsid w:val="00DC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70F"/>
  </w:style>
  <w:style w:type="paragraph" w:styleId="3">
    <w:name w:val="heading 3"/>
    <w:basedOn w:val="a0"/>
    <w:link w:val="30"/>
    <w:semiHidden/>
    <w:unhideWhenUsed/>
    <w:qFormat/>
    <w:rsid w:val="00BE505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0"/>
    <w:link w:val="40"/>
    <w:semiHidden/>
    <w:unhideWhenUsed/>
    <w:qFormat/>
    <w:rsid w:val="00BE5057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$Нумерованный список"/>
    <w:qFormat/>
    <w:rsid w:val="00DC7BDD"/>
    <w:pPr>
      <w:numPr>
        <w:numId w:val="1"/>
      </w:numPr>
      <w:tabs>
        <w:tab w:val="num" w:pos="360"/>
        <w:tab w:val="left" w:pos="851"/>
      </w:tabs>
      <w:spacing w:after="0" w:line="360" w:lineRule="auto"/>
      <w:ind w:left="0" w:firstLine="397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semiHidden/>
    <w:unhideWhenUsed/>
    <w:rsid w:val="00BE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BE5057"/>
  </w:style>
  <w:style w:type="paragraph" w:styleId="a6">
    <w:name w:val="footer"/>
    <w:basedOn w:val="a0"/>
    <w:link w:val="a7"/>
    <w:uiPriority w:val="99"/>
    <w:semiHidden/>
    <w:unhideWhenUsed/>
    <w:rsid w:val="00BE5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BE5057"/>
  </w:style>
  <w:style w:type="character" w:customStyle="1" w:styleId="30">
    <w:name w:val="Заголовок 3 Знак"/>
    <w:basedOn w:val="a1"/>
    <w:link w:val="3"/>
    <w:semiHidden/>
    <w:rsid w:val="00BE505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BE5057"/>
    <w:rPr>
      <w:rFonts w:ascii="Liberation Sans" w:eastAsia="Microsoft YaHei" w:hAnsi="Liberation Sans" w:cs="Mangal"/>
      <w:sz w:val="28"/>
      <w:szCs w:val="28"/>
    </w:rPr>
  </w:style>
  <w:style w:type="character" w:styleId="a8">
    <w:name w:val="Hyperlink"/>
    <w:basedOn w:val="a1"/>
    <w:uiPriority w:val="99"/>
    <w:semiHidden/>
    <w:unhideWhenUsed/>
    <w:rsid w:val="00B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$Нумерованный список"/>
    <w:qFormat/>
    <w:rsid w:val="00DC7BDD"/>
    <w:pPr>
      <w:numPr>
        <w:numId w:val="1"/>
      </w:numPr>
      <w:tabs>
        <w:tab w:val="num" w:pos="360"/>
        <w:tab w:val="left" w:pos="851"/>
      </w:tabs>
      <w:spacing w:after="0" w:line="360" w:lineRule="auto"/>
      <w:ind w:left="0" w:firstLine="397"/>
      <w:jc w:val="both"/>
    </w:pPr>
    <w:rPr>
      <w:rFonts w:ascii="Times New Roman" w:eastAsia="MS Mincho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саша</cp:lastModifiedBy>
  <cp:revision>4</cp:revision>
  <dcterms:created xsi:type="dcterms:W3CDTF">2016-06-10T21:04:00Z</dcterms:created>
  <dcterms:modified xsi:type="dcterms:W3CDTF">2019-09-26T11:24:00Z</dcterms:modified>
</cp:coreProperties>
</file>