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2" w:rsidRP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аграрный университет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дисциплине: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t>Современные тенденции урбанизации в России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0129B2" w:rsidRDefault="000129B2" w:rsidP="000129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группы </w:t>
      </w:r>
    </w:p>
    <w:p w:rsidR="000129B2" w:rsidRPr="000129B2" w:rsidRDefault="000129B2" w:rsidP="000129B2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9B2"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0129B2" w:rsidRDefault="000129B2" w:rsidP="000129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</w:t>
      </w:r>
    </w:p>
    <w:p w:rsidR="000129B2" w:rsidRPr="000129B2" w:rsidRDefault="000129B2" w:rsidP="000129B2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9B2">
        <w:rPr>
          <w:rFonts w:ascii="Times New Roman" w:hAnsi="Times New Roman" w:cs="Times New Roman"/>
          <w:b/>
          <w:color w:val="FF0000"/>
          <w:sz w:val="28"/>
          <w:szCs w:val="28"/>
        </w:rPr>
        <w:t>Должность, звание</w:t>
      </w:r>
    </w:p>
    <w:p w:rsidR="000129B2" w:rsidRPr="000129B2" w:rsidRDefault="000129B2" w:rsidP="000129B2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9B2"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BB6E5A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129B2">
        <w:rPr>
          <w:rFonts w:ascii="Times New Roman" w:hAnsi="Times New Roman" w:cs="Times New Roman"/>
          <w:b/>
          <w:sz w:val="28"/>
          <w:szCs w:val="28"/>
        </w:rPr>
        <w:t>. Санкт-Петербург, 2016</w:t>
      </w:r>
    </w:p>
    <w:p w:rsidR="001F7C21" w:rsidRP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9733B6" w:rsidTr="00CF1972">
        <w:tc>
          <w:tcPr>
            <w:tcW w:w="8897" w:type="dxa"/>
          </w:tcPr>
          <w:p w:rsidR="009733B6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9733B6" w:rsidRPr="00172BC7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33B6" w:rsidTr="00CF1972">
        <w:tc>
          <w:tcPr>
            <w:tcW w:w="8897" w:type="dxa"/>
          </w:tcPr>
          <w:p w:rsidR="009733B6" w:rsidRPr="00172BC7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Глава 1. Значение и история развития процесса урбанизации в России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733B6" w:rsidTr="00CF1972">
        <w:tc>
          <w:tcPr>
            <w:tcW w:w="8897" w:type="dxa"/>
          </w:tcPr>
          <w:p w:rsidR="009733B6" w:rsidRPr="00172BC7" w:rsidRDefault="009733B6" w:rsidP="009733B6">
            <w:pPr>
              <w:pStyle w:val="a3"/>
              <w:numPr>
                <w:ilvl w:val="1"/>
                <w:numId w:val="1"/>
              </w:num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Сущность и значимость процесса урбанизации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733B6" w:rsidTr="00CF1972">
        <w:tc>
          <w:tcPr>
            <w:tcW w:w="8897" w:type="dxa"/>
          </w:tcPr>
          <w:p w:rsidR="009733B6" w:rsidRDefault="009733B6" w:rsidP="009733B6">
            <w:pPr>
              <w:pStyle w:val="a3"/>
              <w:numPr>
                <w:ilvl w:val="1"/>
                <w:numId w:val="1"/>
              </w:num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урбанизации в России</w:t>
            </w:r>
          </w:p>
          <w:p w:rsidR="009733B6" w:rsidRPr="00172BC7" w:rsidRDefault="009733B6" w:rsidP="009733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733B6" w:rsidTr="00CF1972">
        <w:tc>
          <w:tcPr>
            <w:tcW w:w="8897" w:type="dxa"/>
          </w:tcPr>
          <w:p w:rsidR="009733B6" w:rsidRPr="007F6322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22">
              <w:rPr>
                <w:rFonts w:ascii="Times New Roman" w:hAnsi="Times New Roman" w:cs="Times New Roman"/>
                <w:sz w:val="28"/>
                <w:szCs w:val="28"/>
              </w:rPr>
              <w:t>Глава 2. Современные тенденции урбанизации в России</w:t>
            </w:r>
          </w:p>
        </w:tc>
        <w:tc>
          <w:tcPr>
            <w:tcW w:w="674" w:type="dxa"/>
          </w:tcPr>
          <w:p w:rsidR="009733B6" w:rsidRPr="00127FCC" w:rsidRDefault="00127FCC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3B6" w:rsidTr="00CF1972">
        <w:tc>
          <w:tcPr>
            <w:tcW w:w="8897" w:type="dxa"/>
          </w:tcPr>
          <w:p w:rsidR="009733B6" w:rsidRPr="007F6322" w:rsidRDefault="009733B6" w:rsidP="009733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22">
              <w:rPr>
                <w:rFonts w:ascii="Times New Roman" w:hAnsi="Times New Roman" w:cs="Times New Roman"/>
                <w:sz w:val="28"/>
                <w:szCs w:val="28"/>
              </w:rPr>
              <w:t>2.1. Особенности современной урбанизации</w:t>
            </w:r>
          </w:p>
        </w:tc>
        <w:tc>
          <w:tcPr>
            <w:tcW w:w="674" w:type="dxa"/>
          </w:tcPr>
          <w:p w:rsidR="009733B6" w:rsidRPr="00127FCC" w:rsidRDefault="00127FCC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3B6" w:rsidTr="00CF1972">
        <w:tc>
          <w:tcPr>
            <w:tcW w:w="8897" w:type="dxa"/>
          </w:tcPr>
          <w:p w:rsidR="009733B6" w:rsidRDefault="009733B6" w:rsidP="009733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22">
              <w:rPr>
                <w:rFonts w:ascii="Times New Roman" w:hAnsi="Times New Roman" w:cs="Times New Roman"/>
                <w:sz w:val="28"/>
                <w:szCs w:val="28"/>
              </w:rPr>
              <w:t>2.2. Стадии процесса урбанизации в России</w:t>
            </w:r>
          </w:p>
          <w:p w:rsidR="009733B6" w:rsidRPr="007F6322" w:rsidRDefault="009733B6" w:rsidP="009733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127FCC" w:rsidRDefault="00127FCC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3B6" w:rsidTr="00CF1972">
        <w:trPr>
          <w:trHeight w:val="150"/>
        </w:trPr>
        <w:tc>
          <w:tcPr>
            <w:tcW w:w="8897" w:type="dxa"/>
          </w:tcPr>
          <w:p w:rsidR="009733B6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4A">
              <w:rPr>
                <w:rFonts w:ascii="Times New Roman" w:hAnsi="Times New Roman" w:cs="Times New Roman"/>
                <w:sz w:val="28"/>
                <w:szCs w:val="28"/>
              </w:rPr>
              <w:t>Глава 3. Незавершенность урбанизации в России</w:t>
            </w:r>
          </w:p>
          <w:p w:rsidR="009733B6" w:rsidRPr="007C1D4A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127FCC" w:rsidRDefault="00127FCC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3B6" w:rsidTr="00CF1972">
        <w:trPr>
          <w:trHeight w:val="157"/>
        </w:trPr>
        <w:tc>
          <w:tcPr>
            <w:tcW w:w="8897" w:type="dxa"/>
          </w:tcPr>
          <w:p w:rsidR="009733B6" w:rsidRPr="007C1D4A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4A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674" w:type="dxa"/>
          </w:tcPr>
          <w:p w:rsidR="009733B6" w:rsidRPr="00127FCC" w:rsidRDefault="00127FCC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3B6" w:rsidTr="00CF1972">
        <w:trPr>
          <w:trHeight w:val="180"/>
        </w:trPr>
        <w:tc>
          <w:tcPr>
            <w:tcW w:w="8897" w:type="dxa"/>
          </w:tcPr>
          <w:p w:rsidR="009733B6" w:rsidRPr="007C1D4A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4A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9733B6" w:rsidRPr="00127FCC" w:rsidRDefault="00127FCC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Pr="00BB6E5A" w:rsidRDefault="009733B6" w:rsidP="00BB6E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B6E5A" w:rsidRPr="00BB6E5A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832575" w:rsidRDefault="00832575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На современном этапе развития урбанизация понимается как рост городов, увеличение численности их населения.</w:t>
      </w:r>
    </w:p>
    <w:p w:rsidR="009733B6" w:rsidRDefault="00832575" w:rsidP="008325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Изначально в понятие урбанизации вкладывался смысл исторического процесса повышения </w:t>
      </w:r>
      <w:r w:rsidR="009733B6" w:rsidRPr="009733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роли городов и городского образа жизни в развитии общества. </w:t>
      </w:r>
    </w:p>
    <w:p w:rsidR="00545797" w:rsidRDefault="00545797" w:rsidP="008325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Кроме того, с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овременная урбанизация - это процесс появления уже не только крупных городов, но и объединений городов - агломераций.</w:t>
      </w:r>
    </w:p>
    <w:p w:rsidR="00545797" w:rsidRDefault="00545797" w:rsidP="005457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Для современной урбанизации ха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рактерны следующие особенности: к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онцентрация, интенсификация, дифференциация и разнообразие городских видов деятельности в городах и агломерациях;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р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аспространение вне центров и урбанизированных ареалов городского образа жизни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;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азвитие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крупных городских агломераций; у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сложнение форм и систем урбанизированного расселения: переход от точечных агломераций к линейным, узловым, полосовым;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у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величение радиусов расселения в пределах агломераций и урбанизированных районов, связанных с местами приложения труда, зонами отдыха и т.д.</w:t>
      </w:r>
    </w:p>
    <w:p w:rsidR="00545797" w:rsidRDefault="0073544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Актуальность данной темы определяется п</w:t>
      </w:r>
      <w:r w:rsidR="009733B6" w:rsidRPr="009733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овышение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м</w:t>
      </w:r>
      <w:r w:rsidR="009733B6" w:rsidRPr="009733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роли городов на всем протяжении истории человечества, </w:t>
      </w:r>
      <w:r w:rsid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 так же усилением концентрации людей в городах.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Цель данной работы состоит в теоретическом изучении современных тенденций урбанизации в России. 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Исходя из поставленной цели были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выдвинуты следующие задачи: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1 – анализ исторических аспектов развития урбанизации в России;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2 – изучение особенностей и стадий современного процесса урбанизации в России;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3 – определение направлений возможного развития урбанизации. 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Объектом исследования является процесс урбанизации в России.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Предметом исследования в работе выступают современные аспекты и тенденции развития урбанизации. </w:t>
      </w:r>
    </w:p>
    <w:p w:rsidR="00BB6E5A" w:rsidRPr="00BB6E5A" w:rsidRDefault="00BB6E5A" w:rsidP="00BB6E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A">
        <w:rPr>
          <w:rFonts w:ascii="Times New Roman" w:hAnsi="Times New Roman" w:cs="Times New Roman"/>
          <w:b/>
          <w:sz w:val="28"/>
          <w:szCs w:val="28"/>
        </w:rPr>
        <w:lastRenderedPageBreak/>
        <w:t>Глава 1. Значение и история развития процесса урбанизации в России</w:t>
      </w:r>
    </w:p>
    <w:p w:rsidR="00BB6E5A" w:rsidRPr="00BB6E5A" w:rsidRDefault="00BB6E5A" w:rsidP="00BB6E5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A">
        <w:rPr>
          <w:rFonts w:ascii="Times New Roman" w:hAnsi="Times New Roman" w:cs="Times New Roman"/>
          <w:b/>
          <w:sz w:val="28"/>
          <w:szCs w:val="28"/>
        </w:rPr>
        <w:t>Сущность и значимость процесса урбанизации</w:t>
      </w:r>
    </w:p>
    <w:p w:rsidR="007554FC" w:rsidRDefault="007554FC" w:rsidP="0054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различные научные мнения авторов с целью выявления закономерностей в развитии процесса урбанизации и возможности выдвижения собственного определения. </w:t>
      </w:r>
    </w:p>
    <w:p w:rsidR="007554FC" w:rsidRDefault="007554FC" w:rsidP="0054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Общепринятым в экономической литературе является следующее определение урбанизации:</w:t>
      </w:r>
    </w:p>
    <w:p w:rsidR="00545797" w:rsidRDefault="00545797" w:rsidP="0054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97">
        <w:rPr>
          <w:rFonts w:ascii="Times New Roman" w:hAnsi="Times New Roman" w:cs="Times New Roman"/>
          <w:sz w:val="28"/>
          <w:szCs w:val="28"/>
        </w:rPr>
        <w:t xml:space="preserve">Урбанизация – многосторонний социально-экономический, демографический и географический процесс, происходящий на основе исторически сложившихся форм общественного и территориального разделения труда. В более узком, </w:t>
      </w:r>
      <w:proofErr w:type="spellStart"/>
      <w:r w:rsidRPr="00545797">
        <w:rPr>
          <w:rFonts w:ascii="Times New Roman" w:hAnsi="Times New Roman" w:cs="Times New Roman"/>
          <w:sz w:val="28"/>
          <w:szCs w:val="28"/>
        </w:rPr>
        <w:t>демографо</w:t>
      </w:r>
      <w:proofErr w:type="spellEnd"/>
      <w:r w:rsidRPr="00545797">
        <w:rPr>
          <w:rFonts w:ascii="Times New Roman" w:hAnsi="Times New Roman" w:cs="Times New Roman"/>
          <w:sz w:val="28"/>
          <w:szCs w:val="28"/>
        </w:rPr>
        <w:t>-статистическом понимании урбанизация – это рост городов, особенно больших, повышение удельного веса городского населения в стране, регионе, мире.</w:t>
      </w:r>
    </w:p>
    <w:p w:rsidR="00127FCC" w:rsidRPr="00127FCC" w:rsidRDefault="007554FC" w:rsidP="00127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Староверов В. И. в своей работе «</w:t>
      </w:r>
      <w:r w:rsidRPr="007554FC">
        <w:rPr>
          <w:rFonts w:ascii="Times New Roman" w:hAnsi="Times New Roman" w:cs="Times New Roman"/>
          <w:sz w:val="28"/>
          <w:szCs w:val="28"/>
        </w:rPr>
        <w:t>Социальный прогресс и урбанизация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7FCC">
        <w:rPr>
          <w:rFonts w:ascii="Times New Roman" w:hAnsi="Times New Roman" w:cs="Times New Roman"/>
          <w:sz w:val="28"/>
          <w:szCs w:val="28"/>
        </w:rPr>
        <w:t xml:space="preserve"> трактует процесс урбанизации как «распространение</w:t>
      </w:r>
      <w:r w:rsidR="00127FCC" w:rsidRPr="00127FC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27FCC">
        <w:rPr>
          <w:rFonts w:ascii="Times New Roman" w:hAnsi="Times New Roman" w:cs="Times New Roman"/>
          <w:sz w:val="28"/>
          <w:szCs w:val="28"/>
        </w:rPr>
        <w:t>ого образа жизни, основывающееся</w:t>
      </w:r>
      <w:r w:rsidR="00127FCC" w:rsidRPr="00127FCC">
        <w:rPr>
          <w:rFonts w:ascii="Times New Roman" w:hAnsi="Times New Roman" w:cs="Times New Roman"/>
          <w:sz w:val="28"/>
          <w:szCs w:val="28"/>
        </w:rPr>
        <w:t xml:space="preserve"> на представлении об исключительной значимости </w:t>
      </w:r>
      <w:r w:rsidR="00127FCC">
        <w:rPr>
          <w:rFonts w:ascii="Times New Roman" w:hAnsi="Times New Roman" w:cs="Times New Roman"/>
          <w:sz w:val="28"/>
          <w:szCs w:val="28"/>
        </w:rPr>
        <w:t xml:space="preserve">категории городского образа жизни </w:t>
      </w:r>
      <w:r w:rsidR="00127FCC" w:rsidRPr="00127FCC">
        <w:rPr>
          <w:rFonts w:ascii="Times New Roman" w:hAnsi="Times New Roman" w:cs="Times New Roman"/>
          <w:sz w:val="28"/>
          <w:szCs w:val="28"/>
        </w:rPr>
        <w:t>для характеристики такой специфической подсистемы общества как город</w:t>
      </w:r>
      <w:r w:rsidR="00127FCC">
        <w:rPr>
          <w:rFonts w:ascii="Times New Roman" w:hAnsi="Times New Roman" w:cs="Times New Roman"/>
          <w:sz w:val="28"/>
          <w:szCs w:val="28"/>
        </w:rPr>
        <w:t>»</w:t>
      </w:r>
      <w:r w:rsidR="00127FCC" w:rsidRPr="00127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4FC" w:rsidRDefault="007554FC" w:rsidP="00D7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127FCC">
        <w:rPr>
          <w:rFonts w:ascii="Times New Roman" w:hAnsi="Times New Roman" w:cs="Times New Roman"/>
          <w:sz w:val="28"/>
          <w:szCs w:val="28"/>
        </w:rPr>
        <w:t xml:space="preserve">еще один </w:t>
      </w:r>
      <w:r>
        <w:rPr>
          <w:rFonts w:ascii="Times New Roman" w:hAnsi="Times New Roman" w:cs="Times New Roman"/>
          <w:sz w:val="28"/>
          <w:szCs w:val="28"/>
        </w:rPr>
        <w:t xml:space="preserve">автор Сачкова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сформулировала следующее определение урбанизации: э</w:t>
      </w:r>
      <w:r w:rsidR="00D726EB" w:rsidRPr="00D726EB">
        <w:rPr>
          <w:rFonts w:ascii="Times New Roman" w:hAnsi="Times New Roman" w:cs="Times New Roman"/>
          <w:sz w:val="28"/>
          <w:szCs w:val="28"/>
        </w:rPr>
        <w:t xml:space="preserve">то - особая мыслительная конструкция и одновременно реально существующая система социальной организации, имеющая универсальный характер, охватывающая территорию Земли, объединяющая города как специфические типы населенных пунктов (в противовес сельским поселениям) с особым экономическим укладом, системой управления, образом жизни, культуры и т.д. </w:t>
      </w:r>
      <w:proofErr w:type="gramEnd"/>
    </w:p>
    <w:p w:rsidR="007554FC" w:rsidRPr="007554FC" w:rsidRDefault="007554FC" w:rsidP="00755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определение, на мой взгляд, отражает сущность урбанизации в глобальном контексте.  Основными преимуществами существования данного процесса автор видит следующее: </w:t>
      </w:r>
      <w:r w:rsidRPr="007554FC">
        <w:rPr>
          <w:rFonts w:ascii="Times New Roman" w:hAnsi="Times New Roman" w:cs="Times New Roman"/>
          <w:sz w:val="28"/>
          <w:szCs w:val="28"/>
        </w:rPr>
        <w:t xml:space="preserve">1) быстрый прирост городских жителей с </w:t>
      </w:r>
      <w:r w:rsidRPr="007554FC">
        <w:rPr>
          <w:rFonts w:ascii="Times New Roman" w:hAnsi="Times New Roman" w:cs="Times New Roman"/>
          <w:sz w:val="28"/>
          <w:szCs w:val="28"/>
        </w:rPr>
        <w:lastRenderedPageBreak/>
        <w:t xml:space="preserve">середины </w:t>
      </w:r>
      <w:proofErr w:type="spellStart"/>
      <w:r w:rsidRPr="007554FC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7554FC">
        <w:rPr>
          <w:rFonts w:ascii="Times New Roman" w:hAnsi="Times New Roman" w:cs="Times New Roman"/>
          <w:sz w:val="28"/>
          <w:szCs w:val="28"/>
        </w:rPr>
        <w:t xml:space="preserve"> в.; 2) увеличение числа городов-центров мировой экономики; 3) рост количества мегаполисов. </w:t>
      </w:r>
    </w:p>
    <w:p w:rsidR="007554FC" w:rsidRPr="007554FC" w:rsidRDefault="00127FCC" w:rsidP="00755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приведенных мнений, целесообразным является собственное определение процесса урбанизации – это процесс роста городского населения с одновременным повышением уровня жизни в историческом, социальном и экономическом аспектах. </w:t>
      </w:r>
    </w:p>
    <w:p w:rsidR="00BB6E5A" w:rsidRDefault="00545797" w:rsidP="0054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97">
        <w:rPr>
          <w:rFonts w:ascii="Times New Roman" w:hAnsi="Times New Roman" w:cs="Times New Roman"/>
          <w:sz w:val="28"/>
          <w:szCs w:val="28"/>
        </w:rPr>
        <w:t xml:space="preserve">Развитие процесса урбанизации тесно связано с особенностями формирования городского населения, включения в городскую среду или отнесения в городское административное подчинение пригородных территорий, преобразования сельских населенных пунктов </w:t>
      </w:r>
      <w:proofErr w:type="gramStart"/>
      <w:r w:rsidRPr="00545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797">
        <w:rPr>
          <w:rFonts w:ascii="Times New Roman" w:hAnsi="Times New Roman" w:cs="Times New Roman"/>
          <w:sz w:val="28"/>
          <w:szCs w:val="28"/>
        </w:rPr>
        <w:t xml:space="preserve"> городские. Фактически рост городского населения происходит также за счет формирования более или менее широких пригородных зон и урбанизированных местностей. Условия жизни населения в этих районах все более сближаются с условиями жизни в больших городах.</w:t>
      </w:r>
    </w:p>
    <w:p w:rsidR="00722344" w:rsidRDefault="00722344" w:rsidP="00722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A" w:rsidRPr="00722344" w:rsidRDefault="00722344" w:rsidP="0072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44">
        <w:rPr>
          <w:rFonts w:ascii="Times New Roman" w:hAnsi="Times New Roman" w:cs="Times New Roman"/>
          <w:b/>
          <w:sz w:val="28"/>
          <w:szCs w:val="28"/>
        </w:rPr>
        <w:t>1.2.</w:t>
      </w:r>
      <w:r w:rsidRPr="00722344">
        <w:rPr>
          <w:rFonts w:ascii="Times New Roman" w:hAnsi="Times New Roman" w:cs="Times New Roman"/>
          <w:b/>
          <w:sz w:val="28"/>
          <w:szCs w:val="28"/>
        </w:rPr>
        <w:tab/>
        <w:t>Основные этапы развития урбанизации в России</w:t>
      </w:r>
    </w:p>
    <w:p w:rsidR="00BB6E5A" w:rsidRDefault="00991E92" w:rsidP="00624F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процесса урбанизации в Росси представлены тремя этапами:</w:t>
      </w:r>
    </w:p>
    <w:p w:rsidR="00624F48" w:rsidRDefault="00991E92" w:rsidP="001236E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 xml:space="preserve">Начальный этап 20-50-е гг. XX в. </w:t>
      </w:r>
      <w:r w:rsidR="001236EF" w:rsidRPr="00624F48">
        <w:rPr>
          <w:rFonts w:ascii="Times New Roman" w:hAnsi="Times New Roman" w:cs="Times New Roman"/>
          <w:sz w:val="28"/>
          <w:szCs w:val="28"/>
        </w:rPr>
        <w:t>–</w:t>
      </w:r>
      <w:r w:rsidRPr="00624F48">
        <w:rPr>
          <w:rFonts w:ascii="Times New Roman" w:hAnsi="Times New Roman" w:cs="Times New Roman"/>
          <w:sz w:val="28"/>
          <w:szCs w:val="28"/>
        </w:rPr>
        <w:t xml:space="preserve"> </w:t>
      </w:r>
      <w:r w:rsidR="00F071CE" w:rsidRPr="00624F48">
        <w:rPr>
          <w:rFonts w:ascii="Times New Roman" w:hAnsi="Times New Roman" w:cs="Times New Roman"/>
          <w:sz w:val="28"/>
          <w:szCs w:val="28"/>
        </w:rPr>
        <w:t xml:space="preserve">данный этап характеризуется слабым уровнем урбанизации. К началу этого этапа имелось два города-миллионера – Санкт-Петербург и Москва, которые значительно выделялись на общем фоне. Второй уровень по масштабности населения занимали  - Саратов, Казань, Ростов-на-Дону и Тула, численность которых насчитывалась в пределах 100-140 тысяч. Так же данный этап был охарактеризован исследованием знаменитого географа </w:t>
      </w:r>
      <w:proofErr w:type="spellStart"/>
      <w:r w:rsidR="00F071CE" w:rsidRPr="00624F4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071CE" w:rsidRPr="00624F48">
        <w:rPr>
          <w:rFonts w:ascii="Times New Roman" w:hAnsi="Times New Roman" w:cs="Times New Roman"/>
          <w:sz w:val="28"/>
          <w:szCs w:val="28"/>
        </w:rPr>
        <w:t>. Сем</w:t>
      </w:r>
      <w:r w:rsidR="00624F48" w:rsidRPr="00624F48">
        <w:rPr>
          <w:rFonts w:ascii="Times New Roman" w:hAnsi="Times New Roman" w:cs="Times New Roman"/>
          <w:sz w:val="28"/>
          <w:szCs w:val="28"/>
        </w:rPr>
        <w:t>е</w:t>
      </w:r>
      <w:r w:rsidR="00F071CE" w:rsidRPr="00624F48">
        <w:rPr>
          <w:rFonts w:ascii="Times New Roman" w:hAnsi="Times New Roman" w:cs="Times New Roman"/>
          <w:sz w:val="28"/>
          <w:szCs w:val="28"/>
        </w:rPr>
        <w:t>нова-</w:t>
      </w:r>
      <w:proofErr w:type="spellStart"/>
      <w:r w:rsidR="00F071CE" w:rsidRPr="00624F48">
        <w:rPr>
          <w:rFonts w:ascii="Times New Roman" w:hAnsi="Times New Roman" w:cs="Times New Roman"/>
          <w:sz w:val="28"/>
          <w:szCs w:val="28"/>
        </w:rPr>
        <w:t>ТяньШанского</w:t>
      </w:r>
      <w:proofErr w:type="spellEnd"/>
      <w:r w:rsidR="00F071CE" w:rsidRPr="00624F48">
        <w:rPr>
          <w:rFonts w:ascii="Times New Roman" w:hAnsi="Times New Roman" w:cs="Times New Roman"/>
          <w:sz w:val="28"/>
          <w:szCs w:val="28"/>
        </w:rPr>
        <w:t xml:space="preserve">. Результатом данного исследования </w:t>
      </w:r>
      <w:r w:rsidR="00624F48" w:rsidRPr="00624F48">
        <w:rPr>
          <w:rFonts w:ascii="Times New Roman" w:hAnsi="Times New Roman" w:cs="Times New Roman"/>
          <w:sz w:val="28"/>
          <w:szCs w:val="28"/>
        </w:rPr>
        <w:t xml:space="preserve">стал вывод </w:t>
      </w:r>
      <w:proofErr w:type="gramStart"/>
      <w:r w:rsidR="00624F48" w:rsidRPr="00624F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4F48" w:rsidRPr="00624F48">
        <w:rPr>
          <w:rFonts w:ascii="Times New Roman" w:hAnsi="Times New Roman" w:cs="Times New Roman"/>
          <w:sz w:val="28"/>
          <w:szCs w:val="28"/>
        </w:rPr>
        <w:t xml:space="preserve"> отсутствии городских функций, развития промышленности. Другими словами, города </w:t>
      </w:r>
      <w:r w:rsidR="00624F48" w:rsidRPr="00624F48">
        <w:rPr>
          <w:rFonts w:ascii="Times New Roman" w:hAnsi="Times New Roman" w:cs="Times New Roman"/>
          <w:sz w:val="28"/>
          <w:szCs w:val="28"/>
        </w:rPr>
        <w:lastRenderedPageBreak/>
        <w:t xml:space="preserve">являлись городами лишь по численности, и, часто в сельских поселениях инфраструктура была гораздо масштабнее. </w:t>
      </w:r>
      <w:r w:rsidR="000418B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624F48" w:rsidRDefault="001236EF" w:rsidP="00624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 xml:space="preserve">На протяжении последующих десятилетий процессы урбанизации развивались довольно быстро. Численность городского населения увеличилась более чем в 10 раз, а доля горожан почти достигла 3/4 всего населения. Особенно быстрыми темпы урбанизации были в 1930-е </w:t>
      </w:r>
      <w:proofErr w:type="spellStart"/>
      <w:proofErr w:type="gramStart"/>
      <w:r w:rsidRPr="00624F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624F48">
        <w:rPr>
          <w:rFonts w:ascii="Times New Roman" w:hAnsi="Times New Roman" w:cs="Times New Roman"/>
          <w:sz w:val="28"/>
          <w:szCs w:val="28"/>
        </w:rPr>
        <w:t xml:space="preserve">, когда численность городского населения увеличивалась на 10% ежегодно, что было связано с государственной политикой того времени. </w:t>
      </w:r>
    </w:p>
    <w:p w:rsidR="00624F48" w:rsidRDefault="00624F48" w:rsidP="00624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данного этапа стал ускоренный процесс индустриализации, что привлекло население в город, а так же процесс коллективизации, который выталкивал жителей из сел и деревень. </w:t>
      </w:r>
    </w:p>
    <w:p w:rsidR="00624F48" w:rsidRDefault="00624F48" w:rsidP="00624F4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>Второй этап 50-90-е гг. XX в.</w:t>
      </w:r>
      <w:r>
        <w:rPr>
          <w:rFonts w:ascii="Times New Roman" w:hAnsi="Times New Roman" w:cs="Times New Roman"/>
          <w:sz w:val="28"/>
          <w:szCs w:val="28"/>
        </w:rPr>
        <w:t xml:space="preserve"> – данный этап характеризуется интенсивным индустриальным развитием страны в послевоенные годы. </w:t>
      </w:r>
    </w:p>
    <w:p w:rsidR="00624F48" w:rsidRPr="00624F48" w:rsidRDefault="00624F48" w:rsidP="001835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данного этапа состояла в формировании городских агломераций, а так же распространение городского образа и стиля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сельскую. Количество городов за данный этап увеличилось на 160 или  в 1,2 раза. При этом так же увеличилась доля городского населения – с 45% до 74%. </w:t>
      </w:r>
    </w:p>
    <w:p w:rsidR="00624F48" w:rsidRDefault="00624F48" w:rsidP="001835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 xml:space="preserve">Особенно быстро доля горожан и число городов росло до 1981 г., затем темпы роста незначительно снизились. Доля городов России в СССР составляет 50%. </w:t>
      </w:r>
    </w:p>
    <w:p w:rsidR="00624F48" w:rsidRDefault="00624F48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на втором этапе большее значение приобретают интенсивные факторы урбанизации</w:t>
      </w:r>
      <w:r w:rsidR="00055BC9">
        <w:rPr>
          <w:rFonts w:ascii="Times New Roman" w:hAnsi="Times New Roman" w:cs="Times New Roman"/>
          <w:sz w:val="28"/>
          <w:szCs w:val="28"/>
        </w:rPr>
        <w:t xml:space="preserve">, что определяется внутренней дифференциацией самого процесса урбанизации. </w:t>
      </w:r>
      <w:r w:rsidR="0018352A">
        <w:rPr>
          <w:rFonts w:ascii="Times New Roman" w:hAnsi="Times New Roman" w:cs="Times New Roman"/>
          <w:sz w:val="28"/>
          <w:szCs w:val="28"/>
        </w:rPr>
        <w:t>Главное з</w:t>
      </w:r>
      <w:r w:rsidR="00055BC9">
        <w:rPr>
          <w:rFonts w:ascii="Times New Roman" w:hAnsi="Times New Roman" w:cs="Times New Roman"/>
          <w:sz w:val="28"/>
          <w:szCs w:val="28"/>
        </w:rPr>
        <w:t xml:space="preserve">начение данного этапа состоит </w:t>
      </w:r>
      <w:r w:rsidR="0018352A">
        <w:rPr>
          <w:rFonts w:ascii="Times New Roman" w:hAnsi="Times New Roman" w:cs="Times New Roman"/>
          <w:sz w:val="28"/>
          <w:szCs w:val="28"/>
        </w:rPr>
        <w:t xml:space="preserve">в преодолении различий между городом и деревней. </w:t>
      </w:r>
    </w:p>
    <w:p w:rsidR="0018352A" w:rsidRDefault="0018352A" w:rsidP="001835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2A">
        <w:rPr>
          <w:rFonts w:ascii="Times New Roman" w:hAnsi="Times New Roman" w:cs="Times New Roman"/>
          <w:sz w:val="28"/>
          <w:szCs w:val="28"/>
        </w:rPr>
        <w:t>Третий этап «Русский крест» 1990 г. - по наст</w:t>
      </w:r>
      <w:proofErr w:type="gramStart"/>
      <w:r w:rsidRPr="00183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52A">
        <w:rPr>
          <w:rFonts w:ascii="Times New Roman" w:hAnsi="Times New Roman" w:cs="Times New Roman"/>
          <w:sz w:val="28"/>
          <w:szCs w:val="28"/>
        </w:rPr>
        <w:t xml:space="preserve">ремя – данный период характеризуется снижением численности городского населения (только в период с 1993 года по 2000 год – на 2,4 млн. человек). В связи с </w:t>
      </w:r>
      <w:r w:rsidRPr="0018352A">
        <w:rPr>
          <w:rFonts w:ascii="Times New Roman" w:hAnsi="Times New Roman" w:cs="Times New Roman"/>
          <w:sz w:val="28"/>
          <w:szCs w:val="28"/>
        </w:rPr>
        <w:lastRenderedPageBreak/>
        <w:t xml:space="preserve">этим этот этап получил такое название. Основной причиной снижения является социально – экономический кризис, способствовавший появлению естественной убыли и массовым административным преобразованиям небольших городских поселений в сельские населенные пункты. На протяжении нескольких лет наблюдался также миграционный отток жителей </w:t>
      </w:r>
      <w:proofErr w:type="gramStart"/>
      <w:r w:rsidRPr="001835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352A">
        <w:rPr>
          <w:rFonts w:ascii="Times New Roman" w:hAnsi="Times New Roman" w:cs="Times New Roman"/>
          <w:sz w:val="28"/>
          <w:szCs w:val="28"/>
        </w:rPr>
        <w:t xml:space="preserve"> городских в сельские поселения. </w:t>
      </w:r>
      <w:r w:rsidR="000418B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18352A" w:rsidRPr="0018352A" w:rsidRDefault="0018352A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2A">
        <w:rPr>
          <w:rFonts w:ascii="Times New Roman" w:hAnsi="Times New Roman" w:cs="Times New Roman"/>
          <w:sz w:val="28"/>
          <w:szCs w:val="28"/>
        </w:rPr>
        <w:t xml:space="preserve">Среди отдельных субъектов Российской Федерации наибольшей долей городского населения выделяются северные промышленно развитые регионы. Некоторые из них - Мурманская область, Ханты-мансийский автономный округ, Магаданская область - имеют более 90% городского населения. Сельского населения в таких регионах мало, поскольку условия для развития сельского хозяйства очень неблагоприятны. А городских поселений много, так как промышленность относительно развита. Также около 90% городских жителей имеют Московская область с Москвой и Ленинградская область с Санкт-Петербургом. Эти регионы, как уже отмечалось выше, являются наиболее развитыми в России в урбанистическом отношении. </w:t>
      </w:r>
    </w:p>
    <w:p w:rsidR="0018352A" w:rsidRPr="0018352A" w:rsidRDefault="0018352A" w:rsidP="0018352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8352A" w:rsidRDefault="0018352A" w:rsidP="0018352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4F48" w:rsidRDefault="00624F48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C" w:rsidRDefault="00127FCC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C" w:rsidRDefault="00127FCC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C" w:rsidRDefault="00127FCC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C" w:rsidRDefault="00127FCC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C" w:rsidRDefault="00127FCC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C" w:rsidRDefault="00127FCC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C" w:rsidRDefault="00127FCC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52A" w:rsidRPr="0018352A" w:rsidRDefault="0018352A" w:rsidP="001835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2A">
        <w:rPr>
          <w:rFonts w:ascii="Times New Roman" w:hAnsi="Times New Roman" w:cs="Times New Roman"/>
          <w:b/>
          <w:sz w:val="28"/>
          <w:szCs w:val="28"/>
        </w:rPr>
        <w:lastRenderedPageBreak/>
        <w:t>Глава 2. Современные тенденции урбанизации в России</w:t>
      </w:r>
    </w:p>
    <w:p w:rsidR="00BB6E5A" w:rsidRPr="0018352A" w:rsidRDefault="0018352A" w:rsidP="001835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2A">
        <w:rPr>
          <w:rFonts w:ascii="Times New Roman" w:hAnsi="Times New Roman" w:cs="Times New Roman"/>
          <w:b/>
          <w:sz w:val="28"/>
          <w:szCs w:val="28"/>
        </w:rPr>
        <w:t>2.1. Особенности современной урбанизации</w:t>
      </w:r>
    </w:p>
    <w:p w:rsidR="00FE00EF" w:rsidRPr="00FE00EF" w:rsidRDefault="00FE00E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EF">
        <w:rPr>
          <w:rFonts w:ascii="Times New Roman" w:hAnsi="Times New Roman" w:cs="Times New Roman"/>
          <w:sz w:val="28"/>
          <w:szCs w:val="28"/>
        </w:rPr>
        <w:t xml:space="preserve">Крупнейшие города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E00EF">
        <w:rPr>
          <w:rFonts w:ascii="Times New Roman" w:hAnsi="Times New Roman" w:cs="Times New Roman"/>
          <w:sz w:val="28"/>
          <w:szCs w:val="28"/>
        </w:rPr>
        <w:t xml:space="preserve"> центрами концентрации потребления товаров и услуг, что наглядно демонстрирует переход к «обществу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0EF">
        <w:rPr>
          <w:rFonts w:ascii="Times New Roman" w:hAnsi="Times New Roman" w:cs="Times New Roman"/>
          <w:sz w:val="28"/>
          <w:szCs w:val="28"/>
        </w:rPr>
        <w:t xml:space="preserve"> На смену промышленной эпохе приходит эпоха доминирования сферы обслуживания.</w:t>
      </w:r>
    </w:p>
    <w:p w:rsidR="00FE00EF" w:rsidRDefault="00FE00E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EF">
        <w:rPr>
          <w:rFonts w:ascii="Times New Roman" w:hAnsi="Times New Roman" w:cs="Times New Roman"/>
          <w:sz w:val="28"/>
          <w:szCs w:val="28"/>
        </w:rPr>
        <w:t xml:space="preserve">В ходе этих изменений происходит радикальная смена акцентов в функциональной ориентации городов. Ещё в первой половине XX века развитая инфраструктура ориентированная, как на обслуживание производственной деятельности, так и на культурные и бытовые нужды населения, выступала как некоторый символ «роскоши», высокого уровня богатства города на фоне его бедных соседей. </w:t>
      </w: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динамику числа городов по численности населения (см. таблица 1). </w:t>
      </w: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27FCC">
        <w:rPr>
          <w:rFonts w:ascii="Times New Roman" w:hAnsi="Times New Roman" w:cs="Times New Roman"/>
          <w:sz w:val="28"/>
          <w:szCs w:val="28"/>
        </w:rPr>
        <w:t xml:space="preserve"> </w:t>
      </w:r>
      <w:r w:rsidR="001A3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Динамика числа городов по численности населения</w:t>
      </w:r>
      <w:r w:rsidR="00CF1972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746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</w:tblGrid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городов и поселков городского типа</w:t>
            </w:r>
          </w:p>
        </w:tc>
      </w:tr>
      <w:tr w:rsidR="009D61BB" w:rsidRPr="009D61BB" w:rsidTr="009D61BB">
        <w:trPr>
          <w:trHeight w:val="315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1A3965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1A3965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gramStart"/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ода </w:t>
            </w:r>
            <w:r w:rsidRPr="009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1114</w:t>
            </w:r>
          </w:p>
        </w:tc>
      </w:tr>
      <w:tr w:rsidR="009D61BB" w:rsidRPr="009D61BB" w:rsidTr="009D61BB">
        <w:trPr>
          <w:cantSplit/>
          <w:trHeight w:val="6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из них с числом жителей, </w:t>
            </w:r>
            <w:proofErr w:type="spellStart"/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Arial Unicode MS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Arial Unicode MS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3 - 4,9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5 - 9,9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138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10 - 19,9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251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20 - 49,9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360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50 - 99,9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155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100 - 499,9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133</w:t>
            </w:r>
          </w:p>
        </w:tc>
      </w:tr>
    </w:tbl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1 и рисунка 1, количество городов увеличивается от года к году. В 2015 году число городов с численностью населения – от 5 до 9,9 тысяч человек составило 138, что превышает на 5 показатель прошлого года. </w:t>
      </w:r>
    </w:p>
    <w:p w:rsidR="009D61BB" w:rsidRDefault="009D61BB" w:rsidP="009D61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402E0F" wp14:editId="314924C1">
            <wp:extent cx="4467225" cy="2238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61BB" w:rsidRDefault="009D61BB" w:rsidP="009D61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Динамика общего числа городов </w:t>
      </w: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BB">
        <w:rPr>
          <w:rFonts w:ascii="Times New Roman" w:hAnsi="Times New Roman" w:cs="Times New Roman"/>
          <w:sz w:val="28"/>
          <w:szCs w:val="28"/>
        </w:rPr>
        <w:t>В последние десятилетия, в условиях глобализации экономической жизни и обострения конкуренции городов, высокий уровень инфраструктуры, в том числе сферы услуг, связанных с культурой, становится одним из важнейших факторов достижения конкурентных преимуществ на международном рынке урбанизированных территорий.</w:t>
      </w:r>
    </w:p>
    <w:p w:rsidR="001A3965" w:rsidRDefault="001A3965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главный показатель урбанизации – долю городского населения в общей численности страны. </w:t>
      </w:r>
    </w:p>
    <w:p w:rsidR="001A3965" w:rsidRDefault="001A3965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Динамика урбанизации в России</w:t>
      </w:r>
    </w:p>
    <w:tbl>
      <w:tblPr>
        <w:tblW w:w="7460" w:type="dxa"/>
        <w:jc w:val="center"/>
        <w:tblInd w:w="93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</w:tblGrid>
      <w:tr w:rsidR="001A3965" w:rsidRPr="001A3965" w:rsidTr="001A3965">
        <w:trPr>
          <w:trHeight w:val="37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65" w:rsidRPr="001A3965" w:rsidRDefault="001A3965" w:rsidP="001A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1A3965" w:rsidRPr="001A3965" w:rsidTr="001A3965">
        <w:trPr>
          <w:trHeight w:val="37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65" w:rsidRPr="001A3965" w:rsidRDefault="001A3965" w:rsidP="001A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Урбанизация,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65" w:rsidRPr="001A3965" w:rsidRDefault="001A3965" w:rsidP="001A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</w:tbl>
    <w:p w:rsidR="001A3965" w:rsidRDefault="001A3965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65" w:rsidRDefault="001A3965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 и рисунка 2 в динамике урбанизации наблюдаются колебания в доле городского населения в общей численности страны. С 2010 года по 2014  год наблюдается устойчивая тенденция показателя урбанизации населения к росту – в целом за данный период на 0,4%. </w:t>
      </w:r>
    </w:p>
    <w:p w:rsidR="001A3965" w:rsidRDefault="001A3965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сравнении с предыдущим 2014 годом показано снижение на 0,2%. Такое снижение обусловлено политикой государства в сфере привлечения молодых специалистов к работе в сельской местности, обеспечением им достойных условий реализации своих возможностей. </w:t>
      </w:r>
    </w:p>
    <w:p w:rsidR="001A3965" w:rsidRDefault="001A3965" w:rsidP="001A39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9754B2" wp14:editId="17760C03">
            <wp:extent cx="4572000" cy="2352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3965" w:rsidRDefault="001A3965" w:rsidP="001A39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Динамика урбанизации населения России, %</w:t>
      </w:r>
    </w:p>
    <w:p w:rsidR="00FE00EF" w:rsidRDefault="00FE00E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EF">
        <w:rPr>
          <w:rFonts w:ascii="Times New Roman" w:hAnsi="Times New Roman" w:cs="Times New Roman"/>
          <w:sz w:val="28"/>
          <w:szCs w:val="28"/>
        </w:rPr>
        <w:t xml:space="preserve">Таким образом, существует устойчивая тенденция усиления неравномерности развития в системах </w:t>
      </w:r>
      <w:proofErr w:type="gramStart"/>
      <w:r w:rsidRPr="00FE00EF"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 w:rsidRPr="00FE00EF">
        <w:rPr>
          <w:rFonts w:ascii="Times New Roman" w:hAnsi="Times New Roman" w:cs="Times New Roman"/>
          <w:sz w:val="28"/>
          <w:szCs w:val="28"/>
        </w:rPr>
        <w:t xml:space="preserve"> как на национальном, так и на </w:t>
      </w:r>
      <w:proofErr w:type="gramStart"/>
      <w:r w:rsidRPr="00FE00EF">
        <w:rPr>
          <w:rFonts w:ascii="Times New Roman" w:hAnsi="Times New Roman" w:cs="Times New Roman"/>
          <w:sz w:val="28"/>
          <w:szCs w:val="28"/>
        </w:rPr>
        <w:t>мировом</w:t>
      </w:r>
      <w:proofErr w:type="gramEnd"/>
      <w:r w:rsidRPr="00FE00EF">
        <w:rPr>
          <w:rFonts w:ascii="Times New Roman" w:hAnsi="Times New Roman" w:cs="Times New Roman"/>
          <w:sz w:val="28"/>
          <w:szCs w:val="28"/>
        </w:rPr>
        <w:t xml:space="preserve"> уровнях. Однако подобная экспансия мегаполисов не ослабляет, а усиливает </w:t>
      </w:r>
      <w:proofErr w:type="spellStart"/>
      <w:r w:rsidRPr="00FE00EF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FE00EF">
        <w:rPr>
          <w:rFonts w:ascii="Times New Roman" w:hAnsi="Times New Roman" w:cs="Times New Roman"/>
          <w:sz w:val="28"/>
          <w:szCs w:val="28"/>
        </w:rPr>
        <w:t xml:space="preserve"> их экономической жизни. Социально-экономические проблемы, ранее распределенные по обширным территориям, оказываются территориально сконцентрированными на относительно малой части общей площади страны. Это усиливает социальное напряжение, потенциально создавая угрозу дальнейшему благополучному развитию.</w:t>
      </w:r>
    </w:p>
    <w:p w:rsidR="001776FF" w:rsidRDefault="001776F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0EF" w:rsidRPr="00FE00EF" w:rsidRDefault="00FE00EF" w:rsidP="00FE00E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EF">
        <w:rPr>
          <w:rFonts w:ascii="Times New Roman" w:hAnsi="Times New Roman" w:cs="Times New Roman"/>
          <w:b/>
          <w:sz w:val="28"/>
          <w:szCs w:val="28"/>
        </w:rPr>
        <w:t>2.2. Стадии процесса урбанизации в России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1 - </w:t>
      </w: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Развитие, рост и состав городов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Развитие и рост городов (растущих как бы в отдельности). Это - «точечная» концентрация. Город накапливает потенциал, усложняет свои функциональную и планировочную структуры. Проблемы его становятся все масштабнее и приобретают возрастающую остроту, однако их решение в рамках самого города становятся все затруднительнее ввиду ограниченности территориальных ресурсов.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Особенности урбанизации наложили сильный отпечаток на состав российских городов, </w:t>
      </w:r>
      <w:r w:rsidRPr="004D2C13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наделили их характерными чертами:</w:t>
      </w:r>
      <w:r w:rsidR="00127FC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r w:rsidR="001776FF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многофункциональность, узкоспециализированные промышленные центры </w:t>
      </w:r>
      <w:r w:rsidR="001776FF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lastRenderedPageBreak/>
        <w:t xml:space="preserve">(г. Иваново, г. Кузбасс). </w:t>
      </w:r>
      <w:r w:rsidR="00CF1972">
        <w:rPr>
          <w:rStyle w:val="ad"/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footnoteReference w:id="4"/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Приток в города огромных масс людей из сельской местности, не успевших приобщиться к городскому образу жизни, вызвал формирование значительного слоя маргинального населения. </w:t>
      </w:r>
      <w:proofErr w:type="gram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По некоторым оценкам, городские жители, которым свойственен полугородской образ жизни, составляют почти четверть городского населения.</w:t>
      </w:r>
      <w:proofErr w:type="gram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Исследователи сельской местности давно уже выявили достаточно обширную категорию «скрытого городского населения», проживающего в сельских населенных пунктах. Но правомерно говорить также и о «скрытом сельском населении», еще большем по численности.</w:t>
      </w:r>
    </w:p>
    <w:p w:rsidR="009D61BB" w:rsidRPr="009D61BB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Таким образом, с</w:t>
      </w:r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деланный в начале века А. </w:t>
      </w:r>
      <w:proofErr w:type="spellStart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Геттнером</w:t>
      </w:r>
      <w:proofErr w:type="spellEnd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вывод о том, что большинству городов России не достает городской жизни, сохраняет свое значение и столетие </w:t>
      </w:r>
      <w:proofErr w:type="gramStart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спустя</w:t>
      </w:r>
      <w:proofErr w:type="gramEnd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- </w:t>
      </w: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Формирование агломераций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: </w:t>
      </w:r>
    </w:p>
    <w:p w:rsid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Возникновение плеяды городских поселений на базе крупного города вносит коренные изменения в картину расселения. Агломерации становятся ключевой формой территориальной организации производительных сил и расселения. </w:t>
      </w:r>
      <w:r w:rsidR="00CF1972">
        <w:rPr>
          <w:rStyle w:val="ad"/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footnoteReference w:id="5"/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Агломерирование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носит выборочный характер, но в то же время весьма распространено. Агломерации играют ведущую роль во всех развитых и в ряде развивающихся странах. Крупный город находит в них свое дополнение и одновременно обретает новые возможности для решения своих проблем, в том числе и экологических. Выдающийся потенциал крупного города реализуется полнее.</w:t>
      </w:r>
    </w:p>
    <w:p w:rsid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Положительные свойства агломераций сочетаются с их недостатками. Это объясняется тем, что агломерации как бы аккумулировали в себе разрозненные, плохо согласованные между собой частные решения. </w:t>
      </w:r>
    </w:p>
    <w:p w:rsid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- </w:t>
      </w: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Формирование опорного каркаса расселения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Опорный каркас представляет собой </w:t>
      </w: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генерализованный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урбанистический портрет страны или региона. Он образован совокупностью узловых (города, агломерации) и линейных (магистрали, </w:t>
      </w: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полимагистрали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) элементов. Там, где они достаточно </w:t>
      </w:r>
      <w:proofErr w:type="gram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сближены</w:t>
      </w:r>
      <w:proofErr w:type="gram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 территория оказывается перекрытой зонами их непосредственного влияния, формируются урбанизированные районы.</w:t>
      </w:r>
    </w:p>
    <w:p w:rsidR="00127FCC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Формирование опорного каркаса свидетельствует о проявлении двух основных тенденций в развитии расселения - </w:t>
      </w:r>
      <w:proofErr w:type="gram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центростремительной</w:t>
      </w:r>
      <w:proofErr w:type="gram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линейностремительной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</w:p>
    <w:p w:rsidR="004D2C13" w:rsidRDefault="004D2C13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27FCC" w:rsidRDefault="00127FCC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D2C13" w:rsidRDefault="004D2C13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BB6E5A" w:rsidRPr="009D61BB" w:rsidRDefault="009D61BB" w:rsidP="00BB6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BB">
        <w:rPr>
          <w:rFonts w:ascii="Times New Roman" w:hAnsi="Times New Roman" w:cs="Times New Roman"/>
          <w:b/>
          <w:sz w:val="28"/>
          <w:szCs w:val="28"/>
        </w:rPr>
        <w:lastRenderedPageBreak/>
        <w:t>Глава 3. Незавершенность урбанизации в России</w:t>
      </w:r>
    </w:p>
    <w:p w:rsid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всего вышеизложенного, можно сделать вывод, что процесс у</w:t>
      </w:r>
      <w:r w:rsidRPr="00CA13E0">
        <w:rPr>
          <w:rFonts w:ascii="Times New Roman" w:hAnsi="Times New Roman" w:cs="Times New Roman"/>
          <w:sz w:val="28"/>
          <w:szCs w:val="28"/>
        </w:rPr>
        <w:t>рбанизаци</w:t>
      </w:r>
      <w:r>
        <w:rPr>
          <w:rFonts w:ascii="Times New Roman" w:hAnsi="Times New Roman" w:cs="Times New Roman"/>
          <w:sz w:val="28"/>
          <w:szCs w:val="28"/>
        </w:rPr>
        <w:t>и в России не завершен</w:t>
      </w:r>
      <w:r w:rsidRPr="00CA1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E0" w:rsidRP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>По-прежнему Россия испытывает дефицит городов, в том числе больших, способных стать лидерами и отраслевого, и регионального развития.</w:t>
      </w:r>
    </w:p>
    <w:p w:rsidR="00CA13E0" w:rsidRP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>Многим городам России предстоит привести свою градообразующую базу в соответствие с новыми условиями, расширить ее и сделать более разнообразной, развить рыночную инфраструктуру, полнее использовать свое экономико-географическое положение, улучшить городскую среду, поднять уровень жизни своих обитателей и сделать их истинными горожанами.</w:t>
      </w:r>
    </w:p>
    <w:p w:rsidR="00CA13E0" w:rsidRP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 xml:space="preserve">Незавершенность урбанизации проявляется и на уровне опорного каркаса расселения. В восточной части России только одна трансконтинентальная сквозная транспортная ось - Транссиб. Нелогично, что </w:t>
      </w:r>
      <w:proofErr w:type="spellStart"/>
      <w:r w:rsidRPr="00CA13E0">
        <w:rPr>
          <w:rFonts w:ascii="Times New Roman" w:hAnsi="Times New Roman" w:cs="Times New Roman"/>
          <w:sz w:val="28"/>
          <w:szCs w:val="28"/>
        </w:rPr>
        <w:t>трехтысячекилометровая</w:t>
      </w:r>
      <w:proofErr w:type="spellEnd"/>
      <w:r w:rsidRPr="00CA13E0">
        <w:rPr>
          <w:rFonts w:ascii="Times New Roman" w:hAnsi="Times New Roman" w:cs="Times New Roman"/>
          <w:sz w:val="28"/>
          <w:szCs w:val="28"/>
        </w:rPr>
        <w:t xml:space="preserve"> БАМ завершается на Тихом океане небольшими поселениями - городом Советская Гавань (31,7 тыс. чел. с подчиненными поселками) и ПГТ Ванино (20,6 тыс. чел.) Между Читой и Благовещенском расстояние по железной дороге составляет 1911 км, и на нем нет ни одного большого города. Можно ли себе представить, что между Москвой и Челябинском (1919 км) нет ни одного большого города? На трассе БАМ была запроектирована цепь городов-центров освоения природных ресурсов прилегающей территории - Звездный, Ургал, Чара и другие, но пока проекты остались на бумаге.</w:t>
      </w:r>
      <w:r w:rsidR="00CF1972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 xml:space="preserve">Северный морской путь - единственная морская магистраль, которая полностью проходит в территориальных водах России. Но сейчас перевозки по СМП сильно сократились, разрушается система </w:t>
      </w:r>
      <w:proofErr w:type="spellStart"/>
      <w:r w:rsidRPr="00CA13E0">
        <w:rPr>
          <w:rFonts w:ascii="Times New Roman" w:hAnsi="Times New Roman" w:cs="Times New Roman"/>
          <w:sz w:val="28"/>
          <w:szCs w:val="28"/>
        </w:rPr>
        <w:t>метеообеспечения</w:t>
      </w:r>
      <w:proofErr w:type="spellEnd"/>
      <w:r w:rsidRPr="00CA13E0">
        <w:rPr>
          <w:rFonts w:ascii="Times New Roman" w:hAnsi="Times New Roman" w:cs="Times New Roman"/>
          <w:sz w:val="28"/>
          <w:szCs w:val="28"/>
        </w:rPr>
        <w:t xml:space="preserve">, уезжают квалифицированные специалисты. </w:t>
      </w:r>
    </w:p>
    <w:p w:rsid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Закономерен вывод о том, что усилия по завершению урбанизации, сопряженному развитию магистралей и городов необходимо продолжить. Для более рационального устройства России, для создания полноценной городской среды и в существующих городах, и в новых, которые еще предстоит создать, нужна урбанизация. Однако условия в России коренным образом изменились. Если раньше урбанизация свои потребности в людских ресурсах удовлетворяла без затруднений, поскольку в России был демографический достаток, то сейчас наступило время демографического дефицита. </w:t>
      </w: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Pr="00CA13E0" w:rsidRDefault="00CA13E0" w:rsidP="00BB6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CA13E0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CA13E0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урбанизация представляет собой процесс, состоящий в увеличении числа городов, а так же повышении численности городского населения. </w:t>
      </w:r>
    </w:p>
    <w:p w:rsidR="001776FF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процесса урбанизации в России представлена 3 этапами. Первый этап характеризуется слабым уровнем урбанизации. Особенностью реализации второго этапа стало интенсивное индустриальное развитие страны, следствием чего стал переход городского стиля в село. Так же этот этап характеризуется формированием агломераций. Третий этап - с 1990 года по настоящее время – характеризуется снижением темпов роста численности городского населения.</w:t>
      </w:r>
    </w:p>
    <w:p w:rsidR="001776FF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числа городов по численности населения показал устойчивую тенденцию  к росту на протяжении 5-ти анализируемых лет. Так же процесс урбанизации России можно условно подразделить на 3 стадии: развитие и рост городов, формирование агломераций и формирование опорного каркаса расселения.</w:t>
      </w:r>
    </w:p>
    <w:p w:rsidR="001776FF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всего вышеизложенного можно сделать вывод о незавершенности процесса урбанизации в России. </w:t>
      </w: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6FF" w:rsidRDefault="001776FF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Pr="001776FF" w:rsidRDefault="00CA13E0" w:rsidP="00BB6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6F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A13E0" w:rsidRDefault="00CA13E0" w:rsidP="00A575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>. Общая экономическая и социальная география.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12">
        <w:rPr>
          <w:rFonts w:ascii="Times New Roman" w:hAnsi="Times New Roman" w:cs="Times New Roman"/>
          <w:sz w:val="28"/>
          <w:szCs w:val="28"/>
        </w:rPr>
        <w:t xml:space="preserve">лекций. В 2-х ч. - М.: </w:t>
      </w: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– 504 с. 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512">
        <w:rPr>
          <w:rFonts w:ascii="Times New Roman" w:hAnsi="Times New Roman" w:cs="Times New Roman"/>
          <w:sz w:val="28"/>
          <w:szCs w:val="28"/>
        </w:rPr>
        <w:t>Гладкий Ю.Н., Сухоруков В.Д. Общая экономическая и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12">
        <w:rPr>
          <w:rFonts w:ascii="Times New Roman" w:hAnsi="Times New Roman" w:cs="Times New Roman"/>
          <w:sz w:val="28"/>
          <w:szCs w:val="28"/>
        </w:rPr>
        <w:t>география. - 2-е изд. - М.: Академия, 2013.</w:t>
      </w:r>
      <w:r>
        <w:rPr>
          <w:rFonts w:ascii="Times New Roman" w:hAnsi="Times New Roman" w:cs="Times New Roman"/>
          <w:sz w:val="28"/>
          <w:szCs w:val="28"/>
        </w:rPr>
        <w:t xml:space="preserve"> – 294 с.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512">
        <w:rPr>
          <w:rFonts w:ascii="Times New Roman" w:hAnsi="Times New Roman" w:cs="Times New Roman"/>
          <w:sz w:val="28"/>
          <w:szCs w:val="28"/>
        </w:rPr>
        <w:t>Азарова Л.В. Экономическая и социальная география региона: базовый курс. Учеб</w:t>
      </w:r>
      <w:proofErr w:type="gramStart"/>
      <w:r w:rsidRPr="00A57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512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 xml:space="preserve">. – Омск: Издательство </w:t>
      </w:r>
      <w:proofErr w:type="spellStart"/>
      <w:r w:rsidRPr="00A57512">
        <w:rPr>
          <w:rFonts w:ascii="Times New Roman" w:hAnsi="Times New Roman" w:cs="Times New Roman"/>
          <w:sz w:val="28"/>
          <w:szCs w:val="28"/>
        </w:rPr>
        <w:t>ФГОУ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>, 2005 - 332 с.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Лескова И.В. Процессы урбанизации: от города к агломерации. – Ученые записки Российского государственного социального университета / №11 (111)/2012. – 188 с. 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Кризис урбанизации: формирование нового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Проблемы прогнозирования / № 4 / 2010. – 97 с. 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Елохова Т.А. Проблемы урбанизации и рационального использования материальных активов города. – Инновационная наука / № 9 / 2015. – 139 с. </w:t>
      </w:r>
    </w:p>
    <w:p w:rsidR="006D07E3" w:rsidRDefault="006D07E3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Сачкова В. А. Урбанизация как социальный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иссертация.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09.00.11. – 2013 г. – 241 с. </w:t>
      </w:r>
    </w:p>
    <w:p w:rsidR="00127FCC" w:rsidRDefault="00127FCC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Социальный прогресс и урбанизация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иссертация.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09.00.11. – 2011 г. – 196 с. </w:t>
      </w:r>
    </w:p>
    <w:p w:rsidR="00CF1972" w:rsidRDefault="00CF197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54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7554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7512" w:rsidRPr="00A57512" w:rsidRDefault="00A57512" w:rsidP="00A5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512" w:rsidRPr="00A57512" w:rsidRDefault="00A57512" w:rsidP="00A5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Pr="007554FC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P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E5A" w:rsidRPr="00BB6E5A" w:rsidSect="00BB6E5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5A" w:rsidRDefault="00BB6E5A" w:rsidP="00BB6E5A">
      <w:pPr>
        <w:spacing w:after="0" w:line="240" w:lineRule="auto"/>
      </w:pPr>
      <w:r>
        <w:separator/>
      </w:r>
    </w:p>
  </w:endnote>
  <w:endnote w:type="continuationSeparator" w:id="0">
    <w:p w:rsidR="00BB6E5A" w:rsidRDefault="00BB6E5A" w:rsidP="00BB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84623"/>
      <w:docPartObj>
        <w:docPartGallery w:val="Page Numbers (Bottom of Page)"/>
        <w:docPartUnique/>
      </w:docPartObj>
    </w:sdtPr>
    <w:sdtEndPr/>
    <w:sdtContent>
      <w:p w:rsidR="00BB6E5A" w:rsidRDefault="00BB6E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CC">
          <w:rPr>
            <w:noProof/>
          </w:rPr>
          <w:t>3</w:t>
        </w:r>
        <w:r>
          <w:fldChar w:fldCharType="end"/>
        </w:r>
      </w:p>
    </w:sdtContent>
  </w:sdt>
  <w:p w:rsidR="00BB6E5A" w:rsidRDefault="00BB6E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5A" w:rsidRDefault="00BB6E5A" w:rsidP="00BB6E5A">
      <w:pPr>
        <w:spacing w:after="0" w:line="240" w:lineRule="auto"/>
      </w:pPr>
      <w:r>
        <w:separator/>
      </w:r>
    </w:p>
  </w:footnote>
  <w:footnote w:type="continuationSeparator" w:id="0">
    <w:p w:rsidR="00BB6E5A" w:rsidRDefault="00BB6E5A" w:rsidP="00BB6E5A">
      <w:pPr>
        <w:spacing w:after="0" w:line="240" w:lineRule="auto"/>
      </w:pPr>
      <w:r>
        <w:continuationSeparator/>
      </w:r>
    </w:p>
  </w:footnote>
  <w:footnote w:id="1">
    <w:p w:rsidR="000418B2" w:rsidRPr="000418B2" w:rsidRDefault="000418B2">
      <w:pPr>
        <w:pStyle w:val="ab"/>
        <w:rPr>
          <w:rFonts w:ascii="Times New Roman" w:hAnsi="Times New Roman" w:cs="Times New Roman"/>
        </w:rPr>
      </w:pPr>
      <w:r w:rsidRPr="000418B2">
        <w:rPr>
          <w:rStyle w:val="ad"/>
          <w:rFonts w:ascii="Times New Roman" w:hAnsi="Times New Roman" w:cs="Times New Roman"/>
        </w:rPr>
        <w:footnoteRef/>
      </w:r>
      <w:r w:rsidRPr="000418B2">
        <w:rPr>
          <w:rFonts w:ascii="Times New Roman" w:hAnsi="Times New Roman" w:cs="Times New Roman"/>
        </w:rPr>
        <w:t xml:space="preserve"> Гладкий Ю.Н., Сухоруков В.Д. Общая экономическая и социальная география. - 2-е изд. - М.: Академия, 2013. – 294 с.</w:t>
      </w:r>
    </w:p>
  </w:footnote>
  <w:footnote w:id="2">
    <w:p w:rsidR="000418B2" w:rsidRPr="000418B2" w:rsidRDefault="000418B2">
      <w:pPr>
        <w:pStyle w:val="ab"/>
        <w:rPr>
          <w:rFonts w:ascii="Times New Roman" w:hAnsi="Times New Roman" w:cs="Times New Roman"/>
        </w:rPr>
      </w:pPr>
      <w:r w:rsidRPr="000418B2">
        <w:rPr>
          <w:rStyle w:val="ad"/>
          <w:rFonts w:ascii="Times New Roman" w:hAnsi="Times New Roman" w:cs="Times New Roman"/>
        </w:rPr>
        <w:footnoteRef/>
      </w:r>
      <w:r w:rsidRPr="000418B2">
        <w:rPr>
          <w:rFonts w:ascii="Times New Roman" w:hAnsi="Times New Roman" w:cs="Times New Roman"/>
        </w:rPr>
        <w:t xml:space="preserve"> Алексеев </w:t>
      </w:r>
      <w:proofErr w:type="spellStart"/>
      <w:r w:rsidRPr="000418B2">
        <w:rPr>
          <w:rFonts w:ascii="Times New Roman" w:hAnsi="Times New Roman" w:cs="Times New Roman"/>
        </w:rPr>
        <w:t>А.И</w:t>
      </w:r>
      <w:proofErr w:type="spellEnd"/>
      <w:r w:rsidRPr="000418B2">
        <w:rPr>
          <w:rFonts w:ascii="Times New Roman" w:hAnsi="Times New Roman" w:cs="Times New Roman"/>
        </w:rPr>
        <w:t xml:space="preserve">., </w:t>
      </w:r>
      <w:proofErr w:type="spellStart"/>
      <w:r w:rsidRPr="000418B2">
        <w:rPr>
          <w:rFonts w:ascii="Times New Roman" w:hAnsi="Times New Roman" w:cs="Times New Roman"/>
        </w:rPr>
        <w:t>Зубаревич</w:t>
      </w:r>
      <w:proofErr w:type="spellEnd"/>
      <w:r w:rsidRPr="000418B2">
        <w:rPr>
          <w:rFonts w:ascii="Times New Roman" w:hAnsi="Times New Roman" w:cs="Times New Roman"/>
        </w:rPr>
        <w:t xml:space="preserve"> </w:t>
      </w:r>
      <w:proofErr w:type="spellStart"/>
      <w:r w:rsidRPr="000418B2">
        <w:rPr>
          <w:rFonts w:ascii="Times New Roman" w:hAnsi="Times New Roman" w:cs="Times New Roman"/>
        </w:rPr>
        <w:t>Н.В</w:t>
      </w:r>
      <w:proofErr w:type="spellEnd"/>
      <w:r w:rsidRPr="000418B2">
        <w:rPr>
          <w:rFonts w:ascii="Times New Roman" w:hAnsi="Times New Roman" w:cs="Times New Roman"/>
        </w:rPr>
        <w:t>. Кризис урбанизации: формирование нового образа жизни</w:t>
      </w:r>
      <w:proofErr w:type="gramStart"/>
      <w:r w:rsidRPr="000418B2">
        <w:rPr>
          <w:rFonts w:ascii="Times New Roman" w:hAnsi="Times New Roman" w:cs="Times New Roman"/>
        </w:rPr>
        <w:t xml:space="preserve"> .</w:t>
      </w:r>
      <w:proofErr w:type="gramEnd"/>
      <w:r w:rsidRPr="000418B2">
        <w:rPr>
          <w:rFonts w:ascii="Times New Roman" w:hAnsi="Times New Roman" w:cs="Times New Roman"/>
        </w:rPr>
        <w:t xml:space="preserve"> – Проблемы прогнозирования / № 4 / 2010. – 97 с.</w:t>
      </w:r>
    </w:p>
  </w:footnote>
  <w:footnote w:id="3">
    <w:p w:rsidR="00CF1972" w:rsidRPr="001A3965" w:rsidRDefault="00CF1972">
      <w:pPr>
        <w:pStyle w:val="ab"/>
        <w:rPr>
          <w:rFonts w:ascii="Times New Roman" w:hAnsi="Times New Roman" w:cs="Times New Roman"/>
        </w:rPr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Статистические данные: www.gks.ru</w:t>
      </w:r>
    </w:p>
  </w:footnote>
  <w:footnote w:id="4">
    <w:p w:rsidR="00CF1972" w:rsidRPr="00CF1972" w:rsidRDefault="00CF1972" w:rsidP="00CF1972">
      <w:pPr>
        <w:pStyle w:val="ab"/>
        <w:jc w:val="both"/>
        <w:rPr>
          <w:rFonts w:ascii="Times New Roman" w:hAnsi="Times New Roman" w:cs="Times New Roman"/>
        </w:rPr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Лескова И.В. Процессы урбанизации: от города к агломерации. – Ученые записки Российского государственного социального университета / №11 (111)/2012. – 188 с. </w:t>
      </w:r>
    </w:p>
  </w:footnote>
  <w:footnote w:id="5">
    <w:p w:rsidR="00CF1972" w:rsidRPr="00CF1972" w:rsidRDefault="00CF1972" w:rsidP="00CF1972">
      <w:pPr>
        <w:pStyle w:val="ab"/>
        <w:jc w:val="both"/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Алексеев </w:t>
      </w:r>
      <w:proofErr w:type="spellStart"/>
      <w:r w:rsidRPr="00CF1972">
        <w:rPr>
          <w:rFonts w:ascii="Times New Roman" w:hAnsi="Times New Roman" w:cs="Times New Roman"/>
        </w:rPr>
        <w:t>А.И</w:t>
      </w:r>
      <w:proofErr w:type="spellEnd"/>
      <w:r w:rsidRPr="00CF1972">
        <w:rPr>
          <w:rFonts w:ascii="Times New Roman" w:hAnsi="Times New Roman" w:cs="Times New Roman"/>
        </w:rPr>
        <w:t xml:space="preserve">., </w:t>
      </w:r>
      <w:proofErr w:type="spellStart"/>
      <w:r w:rsidRPr="00CF1972">
        <w:rPr>
          <w:rFonts w:ascii="Times New Roman" w:hAnsi="Times New Roman" w:cs="Times New Roman"/>
        </w:rPr>
        <w:t>Зубаревич</w:t>
      </w:r>
      <w:proofErr w:type="spellEnd"/>
      <w:r w:rsidRPr="00CF1972">
        <w:rPr>
          <w:rFonts w:ascii="Times New Roman" w:hAnsi="Times New Roman" w:cs="Times New Roman"/>
        </w:rPr>
        <w:t xml:space="preserve"> </w:t>
      </w:r>
      <w:proofErr w:type="spellStart"/>
      <w:r w:rsidRPr="00CF1972">
        <w:rPr>
          <w:rFonts w:ascii="Times New Roman" w:hAnsi="Times New Roman" w:cs="Times New Roman"/>
        </w:rPr>
        <w:t>Н.В</w:t>
      </w:r>
      <w:proofErr w:type="spellEnd"/>
      <w:r w:rsidRPr="00CF1972">
        <w:rPr>
          <w:rFonts w:ascii="Times New Roman" w:hAnsi="Times New Roman" w:cs="Times New Roman"/>
        </w:rPr>
        <w:t>. Кризис урбанизации: формирование нового образа жизни</w:t>
      </w:r>
      <w:proofErr w:type="gramStart"/>
      <w:r w:rsidRPr="00CF1972">
        <w:rPr>
          <w:rFonts w:ascii="Times New Roman" w:hAnsi="Times New Roman" w:cs="Times New Roman"/>
        </w:rPr>
        <w:t xml:space="preserve"> .</w:t>
      </w:r>
      <w:proofErr w:type="gramEnd"/>
      <w:r w:rsidRPr="00CF1972">
        <w:rPr>
          <w:rFonts w:ascii="Times New Roman" w:hAnsi="Times New Roman" w:cs="Times New Roman"/>
        </w:rPr>
        <w:t xml:space="preserve"> – Проблемы прогнозирования / № 4 / 2010. – 97 с.</w:t>
      </w:r>
    </w:p>
  </w:footnote>
  <w:footnote w:id="6">
    <w:p w:rsidR="00CF1972" w:rsidRPr="00CF1972" w:rsidRDefault="00CF1972" w:rsidP="00CF1972">
      <w:pPr>
        <w:pStyle w:val="ab"/>
        <w:jc w:val="both"/>
        <w:rPr>
          <w:rFonts w:ascii="Times New Roman" w:hAnsi="Times New Roman" w:cs="Times New Roman"/>
        </w:rPr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</w:t>
      </w:r>
      <w:proofErr w:type="spellStart"/>
      <w:r w:rsidRPr="00CF1972">
        <w:rPr>
          <w:rFonts w:ascii="Times New Roman" w:hAnsi="Times New Roman" w:cs="Times New Roman"/>
        </w:rPr>
        <w:t>Максаковский</w:t>
      </w:r>
      <w:proofErr w:type="spellEnd"/>
      <w:r w:rsidRPr="00CF1972">
        <w:rPr>
          <w:rFonts w:ascii="Times New Roman" w:hAnsi="Times New Roman" w:cs="Times New Roman"/>
        </w:rPr>
        <w:t xml:space="preserve"> </w:t>
      </w:r>
      <w:proofErr w:type="spellStart"/>
      <w:r w:rsidRPr="00CF1972">
        <w:rPr>
          <w:rFonts w:ascii="Times New Roman" w:hAnsi="Times New Roman" w:cs="Times New Roman"/>
        </w:rPr>
        <w:t>В.П</w:t>
      </w:r>
      <w:proofErr w:type="spellEnd"/>
      <w:r w:rsidRPr="00CF1972">
        <w:rPr>
          <w:rFonts w:ascii="Times New Roman" w:hAnsi="Times New Roman" w:cs="Times New Roman"/>
        </w:rPr>
        <w:t xml:space="preserve">. Общая экономическая и социальная география. Курс лекций. В 2-х ч. - М.: </w:t>
      </w:r>
      <w:proofErr w:type="spellStart"/>
      <w:r w:rsidRPr="00CF1972">
        <w:rPr>
          <w:rFonts w:ascii="Times New Roman" w:hAnsi="Times New Roman" w:cs="Times New Roman"/>
        </w:rPr>
        <w:t>Владос</w:t>
      </w:r>
      <w:proofErr w:type="spellEnd"/>
      <w:r w:rsidRPr="00CF1972">
        <w:rPr>
          <w:rFonts w:ascii="Times New Roman" w:hAnsi="Times New Roman" w:cs="Times New Roman"/>
        </w:rPr>
        <w:t>, 2009. – 504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8F6"/>
    <w:multiLevelType w:val="multilevel"/>
    <w:tmpl w:val="521C6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BD504C"/>
    <w:multiLevelType w:val="hybridMultilevel"/>
    <w:tmpl w:val="90B25E46"/>
    <w:lvl w:ilvl="0" w:tplc="EACAC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9771EF"/>
    <w:multiLevelType w:val="hybridMultilevel"/>
    <w:tmpl w:val="70B2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0610B"/>
    <w:multiLevelType w:val="multilevel"/>
    <w:tmpl w:val="74D23E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8C"/>
    <w:rsid w:val="000129B2"/>
    <w:rsid w:val="000418B2"/>
    <w:rsid w:val="00055BC9"/>
    <w:rsid w:val="001236EF"/>
    <w:rsid w:val="00127FCC"/>
    <w:rsid w:val="001776FF"/>
    <w:rsid w:val="0018352A"/>
    <w:rsid w:val="001A3965"/>
    <w:rsid w:val="001F7C21"/>
    <w:rsid w:val="004D2C13"/>
    <w:rsid w:val="00545797"/>
    <w:rsid w:val="00624F48"/>
    <w:rsid w:val="006D07E3"/>
    <w:rsid w:val="00722344"/>
    <w:rsid w:val="00735447"/>
    <w:rsid w:val="007554FC"/>
    <w:rsid w:val="00832575"/>
    <w:rsid w:val="009733B6"/>
    <w:rsid w:val="00991E92"/>
    <w:rsid w:val="009D61BB"/>
    <w:rsid w:val="00A57512"/>
    <w:rsid w:val="00B12C8C"/>
    <w:rsid w:val="00BB6E5A"/>
    <w:rsid w:val="00CA13E0"/>
    <w:rsid w:val="00CF1972"/>
    <w:rsid w:val="00D726EB"/>
    <w:rsid w:val="00F071CE"/>
    <w:rsid w:val="00F53346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E5A"/>
  </w:style>
  <w:style w:type="paragraph" w:styleId="a6">
    <w:name w:val="footer"/>
    <w:basedOn w:val="a"/>
    <w:link w:val="a7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E5A"/>
  </w:style>
  <w:style w:type="table" w:styleId="a8">
    <w:name w:val="Table Grid"/>
    <w:basedOn w:val="a1"/>
    <w:uiPriority w:val="59"/>
    <w:rsid w:val="0097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B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418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18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18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E5A"/>
  </w:style>
  <w:style w:type="paragraph" w:styleId="a6">
    <w:name w:val="footer"/>
    <w:basedOn w:val="a"/>
    <w:link w:val="a7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E5A"/>
  </w:style>
  <w:style w:type="table" w:styleId="a8">
    <w:name w:val="Table Grid"/>
    <w:basedOn w:val="a1"/>
    <w:uiPriority w:val="59"/>
    <w:rsid w:val="0097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B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418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18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Лист1!$G$9</c:f>
              <c:strCache>
                <c:ptCount val="1"/>
                <c:pt idx="0">
                  <c:v>Гоpода - всего</c:v>
                </c:pt>
              </c:strCache>
            </c:strRef>
          </c:tx>
          <c:invertIfNegative val="0"/>
          <c:cat>
            <c:numRef>
              <c:f>Лист1!$H$8:$L$8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Лист1!$H$9:$L$9</c:f>
              <c:numCache>
                <c:formatCode>General</c:formatCode>
                <c:ptCount val="5"/>
                <c:pt idx="0">
                  <c:v>1100</c:v>
                </c:pt>
                <c:pt idx="1">
                  <c:v>1100</c:v>
                </c:pt>
                <c:pt idx="2">
                  <c:v>1097</c:v>
                </c:pt>
                <c:pt idx="3">
                  <c:v>1097</c:v>
                </c:pt>
                <c:pt idx="4">
                  <c:v>1114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05504"/>
        <c:axId val="81920384"/>
      </c:barChart>
      <c:catAx>
        <c:axId val="7760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920384"/>
        <c:crosses val="autoZero"/>
        <c:auto val="1"/>
        <c:lblAlgn val="ctr"/>
        <c:lblOffset val="100"/>
        <c:noMultiLvlLbl val="0"/>
      </c:catAx>
      <c:valAx>
        <c:axId val="8192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7605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Лист1!$H$23:$L$23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Лист1!$H$24:$L$24</c:f>
              <c:numCache>
                <c:formatCode>General</c:formatCode>
                <c:ptCount val="5"/>
                <c:pt idx="0">
                  <c:v>73.8</c:v>
                </c:pt>
                <c:pt idx="1">
                  <c:v>73.900000000000006</c:v>
                </c:pt>
                <c:pt idx="2">
                  <c:v>74</c:v>
                </c:pt>
                <c:pt idx="3">
                  <c:v>74.2</c:v>
                </c:pt>
                <c:pt idx="4">
                  <c:v>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68992"/>
        <c:axId val="138653696"/>
      </c:lineChart>
      <c:catAx>
        <c:axId val="1388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653696"/>
        <c:crosses val="autoZero"/>
        <c:auto val="1"/>
        <c:lblAlgn val="ctr"/>
        <c:lblOffset val="100"/>
        <c:noMultiLvlLbl val="0"/>
      </c:catAx>
      <c:valAx>
        <c:axId val="1386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868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39AB-9E74-4D04-A517-7D6FC817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SAMSUNG</cp:lastModifiedBy>
  <cp:revision>19</cp:revision>
  <dcterms:created xsi:type="dcterms:W3CDTF">2016-10-27T06:59:00Z</dcterms:created>
  <dcterms:modified xsi:type="dcterms:W3CDTF">2016-10-30T18:43:00Z</dcterms:modified>
</cp:coreProperties>
</file>