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6" w:rsidRDefault="00375B51" w:rsidP="00375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A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fc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7C1">
              <w:rPr>
                <w:sz w:val="28"/>
                <w:szCs w:val="28"/>
              </w:rPr>
              <w:t>Характеристика объекта практики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7C1">
              <w:rPr>
                <w:sz w:val="28"/>
                <w:szCs w:val="28"/>
              </w:rPr>
              <w:t>истема налогообложения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7C1">
              <w:rPr>
                <w:sz w:val="28"/>
                <w:szCs w:val="28"/>
              </w:rPr>
              <w:t>Порядок ведения расчетов по НДС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7C1">
              <w:rPr>
                <w:sz w:val="28"/>
                <w:szCs w:val="28"/>
              </w:rPr>
              <w:t xml:space="preserve">Порядок ведения расчетов по </w:t>
            </w:r>
            <w:proofErr w:type="spellStart"/>
            <w:r w:rsidRPr="00D577C1">
              <w:rPr>
                <w:sz w:val="28"/>
                <w:szCs w:val="28"/>
              </w:rPr>
              <w:t>НДФЛ</w:t>
            </w:r>
            <w:proofErr w:type="spellEnd"/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77C1">
              <w:rPr>
                <w:sz w:val="28"/>
                <w:szCs w:val="28"/>
              </w:rPr>
              <w:t>Порядок ведения расчетов по налогу на прибыль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4519D" w:rsidTr="00D4519D">
        <w:tc>
          <w:tcPr>
            <w:tcW w:w="8897" w:type="dxa"/>
          </w:tcPr>
          <w:p w:rsidR="00D4519D" w:rsidRPr="00D577C1" w:rsidRDefault="00D4519D" w:rsidP="0091011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577C1">
              <w:rPr>
                <w:sz w:val="28"/>
                <w:szCs w:val="28"/>
              </w:rPr>
              <w:t>Ведение расчетов в государственные внебюджетные фонды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4519D" w:rsidTr="00D4519D">
        <w:tc>
          <w:tcPr>
            <w:tcW w:w="8897" w:type="dxa"/>
          </w:tcPr>
          <w:p w:rsidR="00D4519D" w:rsidRPr="00D4519D" w:rsidRDefault="00D4519D" w:rsidP="00D4519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D4519D" w:rsidRDefault="00D4519D" w:rsidP="0037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D4519D" w:rsidRDefault="00D4519D" w:rsidP="00375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9D" w:rsidRPr="002727A6" w:rsidRDefault="00D4519D" w:rsidP="00375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19D" w:rsidRDefault="00D4519D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1A" w:rsidRPr="002727A6" w:rsidRDefault="002727A6" w:rsidP="002727A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A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объекта практики</w:t>
      </w:r>
    </w:p>
    <w:p w:rsidR="002727A6" w:rsidRPr="002727A6" w:rsidRDefault="002727A6" w:rsidP="002727A6">
      <w:pPr>
        <w:pStyle w:val="a4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69261A" w:rsidRPr="002727A6" w:rsidRDefault="0069261A" w:rsidP="002727A6">
      <w:pPr>
        <w:spacing w:line="360" w:lineRule="auto"/>
        <w:ind w:firstLine="709"/>
        <w:jc w:val="both"/>
        <w:rPr>
          <w:rFonts w:ascii="Times New Roman" w:hAnsi="Times New Roman" w:cs="Times New Roman"/>
          <w:color w:val="3C2B1D"/>
          <w:sz w:val="28"/>
          <w:szCs w:val="28"/>
        </w:rPr>
      </w:pPr>
      <w:r w:rsidRPr="002727A6">
        <w:rPr>
          <w:rFonts w:ascii="Times New Roman" w:hAnsi="Times New Roman" w:cs="Times New Roman"/>
          <w:color w:val="3C2B1D"/>
          <w:sz w:val="28"/>
          <w:szCs w:val="28"/>
        </w:rPr>
        <w:t>История развития</w:t>
      </w:r>
      <w:r w:rsidRPr="002727A6">
        <w:rPr>
          <w:rStyle w:val="apple-converted-space"/>
          <w:rFonts w:ascii="Times New Roman" w:hAnsi="Times New Roman" w:cs="Times New Roman"/>
          <w:color w:val="3C2B1D"/>
          <w:sz w:val="28"/>
          <w:szCs w:val="28"/>
        </w:rPr>
        <w:t> </w:t>
      </w:r>
      <w:r w:rsidRPr="002727A6">
        <w:rPr>
          <w:rStyle w:val="a5"/>
          <w:rFonts w:ascii="Times New Roman" w:hAnsi="Times New Roman" w:cs="Times New Roman"/>
          <w:color w:val="3C2B1D"/>
          <w:sz w:val="28"/>
          <w:szCs w:val="28"/>
        </w:rPr>
        <w:t>кондитерской фабрики «Русское Драже»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>- это история успеха. С самого начала производства была заложена концепция выпуска кондитерской продукции высшего класса по качеству и среднего по цене. Это правило соблюдалось и соблюдается на всех этапах развития компании.</w:t>
      </w: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BC465" wp14:editId="4E5EAFF2">
            <wp:extent cx="5940425" cy="1938889"/>
            <wp:effectExtent l="0" t="0" r="0" b="4445"/>
            <wp:docPr id="1" name="Рисунок 1" descr="Кондитерская фабрика. История развития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терская фабрика. История развития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A6" w:rsidRPr="002727A6" w:rsidRDefault="002727A6" w:rsidP="002727A6">
      <w:pPr>
        <w:spacing w:line="360" w:lineRule="auto"/>
        <w:ind w:firstLine="709"/>
        <w:jc w:val="center"/>
        <w:rPr>
          <w:rFonts w:ascii="Times New Roman" w:hAnsi="Times New Roman" w:cs="Times New Roman"/>
          <w:color w:val="3C2B1D"/>
          <w:sz w:val="28"/>
          <w:szCs w:val="28"/>
        </w:rPr>
      </w:pPr>
      <w:r w:rsidRPr="002727A6">
        <w:rPr>
          <w:rFonts w:ascii="Times New Roman" w:hAnsi="Times New Roman" w:cs="Times New Roman"/>
          <w:color w:val="3C2B1D"/>
          <w:sz w:val="28"/>
          <w:szCs w:val="28"/>
        </w:rPr>
        <w:t>Рисунок 1.1. – Этапы развития ООО «Русское драже»</w:t>
      </w:r>
    </w:p>
    <w:p w:rsidR="0069261A" w:rsidRPr="002727A6" w:rsidRDefault="0069261A" w:rsidP="002727A6">
      <w:pPr>
        <w:spacing w:line="360" w:lineRule="auto"/>
        <w:ind w:firstLine="709"/>
        <w:jc w:val="both"/>
        <w:rPr>
          <w:rFonts w:ascii="Times New Roman" w:hAnsi="Times New Roman" w:cs="Times New Roman"/>
          <w:color w:val="3C2B1D"/>
          <w:sz w:val="28"/>
          <w:szCs w:val="28"/>
        </w:rPr>
      </w:pPr>
      <w:r w:rsidRPr="002727A6">
        <w:rPr>
          <w:rFonts w:ascii="Times New Roman" w:hAnsi="Times New Roman" w:cs="Times New Roman"/>
          <w:color w:val="3C2B1D"/>
          <w:sz w:val="28"/>
          <w:szCs w:val="28"/>
        </w:rPr>
        <w:t>Как показал опыт, выбранная компанией тактика принесла</w:t>
      </w:r>
      <w:r w:rsidR="002727A6"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 ей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 успех. На графике, приведенным ниже, легко видеть ежегодный рост выпускаемой продукции. Каждый год </w:t>
      </w:r>
      <w:r w:rsidR="002727A6"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ООО «Русское драже» 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>увеличивае</w:t>
      </w:r>
      <w:r w:rsidR="002727A6" w:rsidRPr="002727A6">
        <w:rPr>
          <w:rFonts w:ascii="Times New Roman" w:hAnsi="Times New Roman" w:cs="Times New Roman"/>
          <w:color w:val="3C2B1D"/>
          <w:sz w:val="28"/>
          <w:szCs w:val="28"/>
        </w:rPr>
        <w:t>т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 не только количество по тоннажу, но и значительно обновляе</w:t>
      </w:r>
      <w:r w:rsidR="002727A6" w:rsidRPr="002727A6">
        <w:rPr>
          <w:rFonts w:ascii="Times New Roman" w:hAnsi="Times New Roman" w:cs="Times New Roman"/>
          <w:color w:val="3C2B1D"/>
          <w:sz w:val="28"/>
          <w:szCs w:val="28"/>
        </w:rPr>
        <w:t>т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 ассортимент</w:t>
      </w:r>
      <w:r w:rsidRPr="002727A6">
        <w:rPr>
          <w:rStyle w:val="apple-converted-space"/>
          <w:rFonts w:ascii="Times New Roman" w:hAnsi="Times New Roman" w:cs="Times New Roman"/>
          <w:bCs/>
          <w:color w:val="3C2B1D"/>
          <w:sz w:val="28"/>
          <w:szCs w:val="28"/>
        </w:rPr>
        <w:t> </w:t>
      </w:r>
      <w:r w:rsidRPr="002727A6">
        <w:rPr>
          <w:rStyle w:val="a5"/>
          <w:rFonts w:ascii="Times New Roman" w:hAnsi="Times New Roman" w:cs="Times New Roman"/>
          <w:b w:val="0"/>
          <w:color w:val="3C2B1D"/>
          <w:sz w:val="28"/>
          <w:szCs w:val="28"/>
        </w:rPr>
        <w:t>конфет</w:t>
      </w:r>
      <w:r w:rsidRPr="002727A6">
        <w:rPr>
          <w:rStyle w:val="apple-converted-space"/>
          <w:rFonts w:ascii="Times New Roman" w:hAnsi="Times New Roman" w:cs="Times New Roman"/>
          <w:color w:val="3C2B1D"/>
          <w:sz w:val="28"/>
          <w:szCs w:val="28"/>
        </w:rPr>
        <w:t> 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>и выпускае</w:t>
      </w:r>
      <w:r w:rsidR="002727A6">
        <w:rPr>
          <w:rFonts w:ascii="Times New Roman" w:hAnsi="Times New Roman" w:cs="Times New Roman"/>
          <w:color w:val="3C2B1D"/>
          <w:sz w:val="28"/>
          <w:szCs w:val="28"/>
        </w:rPr>
        <w:t>т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 xml:space="preserve"> все новые и новые виды</w:t>
      </w:r>
      <w:r w:rsidRPr="002727A6">
        <w:rPr>
          <w:rStyle w:val="apple-converted-space"/>
          <w:rFonts w:ascii="Times New Roman" w:hAnsi="Times New Roman" w:cs="Times New Roman"/>
          <w:bCs/>
          <w:color w:val="3C2B1D"/>
          <w:sz w:val="28"/>
          <w:szCs w:val="28"/>
        </w:rPr>
        <w:t> </w:t>
      </w:r>
      <w:r w:rsidRPr="002727A6">
        <w:rPr>
          <w:rStyle w:val="a5"/>
          <w:rFonts w:ascii="Times New Roman" w:hAnsi="Times New Roman" w:cs="Times New Roman"/>
          <w:b w:val="0"/>
          <w:color w:val="3C2B1D"/>
          <w:sz w:val="28"/>
          <w:szCs w:val="28"/>
        </w:rPr>
        <w:t>орехов и фруктов в шоколаде</w:t>
      </w:r>
      <w:r w:rsidRPr="002727A6">
        <w:rPr>
          <w:rFonts w:ascii="Times New Roman" w:hAnsi="Times New Roman" w:cs="Times New Roman"/>
          <w:color w:val="3C2B1D"/>
          <w:sz w:val="28"/>
          <w:szCs w:val="28"/>
        </w:rPr>
        <w:t>.</w:t>
      </w:r>
    </w:p>
    <w:p w:rsidR="0069261A" w:rsidRDefault="0069261A" w:rsidP="00272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EB948" wp14:editId="4466F58B">
            <wp:extent cx="593407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B3" w:rsidRDefault="001428B3" w:rsidP="001428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1.2. – Динамика объемов выпуск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«Русское драже»</w:t>
      </w:r>
    </w:p>
    <w:p w:rsidR="0069261A" w:rsidRDefault="0069261A" w:rsidP="00142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1A">
        <w:rPr>
          <w:rFonts w:ascii="Times New Roman" w:hAnsi="Times New Roman" w:cs="Times New Roman"/>
          <w:sz w:val="28"/>
          <w:szCs w:val="28"/>
        </w:rPr>
        <w:lastRenderedPageBreak/>
        <w:t>Сегодня ассортимент кондитерских изделий, производимой фабрикой  составляет более 30 видов.</w:t>
      </w:r>
    </w:p>
    <w:p w:rsidR="0069261A" w:rsidRDefault="0069261A" w:rsidP="001428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261A">
        <w:rPr>
          <w:rFonts w:ascii="Times New Roman" w:hAnsi="Times New Roman" w:cs="Times New Roman"/>
          <w:sz w:val="28"/>
          <w:szCs w:val="28"/>
        </w:rPr>
        <w:t>ысокое качество и относительно низкая цена позволили продавать продукцию кондитерской фабрики не только в России, но и начать экспорт за рубеж. При этом</w:t>
      </w:r>
      <w:proofErr w:type="gramStart"/>
      <w:r w:rsidRPr="006926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261A">
        <w:rPr>
          <w:rFonts w:ascii="Times New Roman" w:hAnsi="Times New Roman" w:cs="Times New Roman"/>
          <w:sz w:val="28"/>
          <w:szCs w:val="28"/>
        </w:rPr>
        <w:t xml:space="preserve"> если на первом этапе шоколадные конфеты были представлены  только в странах СНГ, то в настоящее время  осуществляе</w:t>
      </w:r>
      <w:r w:rsidR="001428B3">
        <w:rPr>
          <w:rFonts w:ascii="Times New Roman" w:hAnsi="Times New Roman" w:cs="Times New Roman"/>
          <w:sz w:val="28"/>
          <w:szCs w:val="28"/>
        </w:rPr>
        <w:t>тся</w:t>
      </w:r>
      <w:r w:rsidRPr="0069261A">
        <w:rPr>
          <w:rFonts w:ascii="Times New Roman" w:hAnsi="Times New Roman" w:cs="Times New Roman"/>
          <w:sz w:val="28"/>
          <w:szCs w:val="28"/>
        </w:rPr>
        <w:t xml:space="preserve"> экспорт в страны дальнего зарубежья, в том числе и в США.</w:t>
      </w:r>
    </w:p>
    <w:p w:rsidR="0069261A" w:rsidRDefault="0069261A" w:rsidP="001428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61A">
        <w:rPr>
          <w:rFonts w:ascii="Times New Roman" w:hAnsi="Times New Roman" w:cs="Times New Roman"/>
          <w:sz w:val="28"/>
          <w:szCs w:val="28"/>
        </w:rPr>
        <w:t xml:space="preserve">Кондитерская фабрика расположена в экологически чистом районе Подмосковья и имеет собственные склады в Москве и Московской области, общей площадью более 1 000 </w:t>
      </w:r>
      <w:proofErr w:type="spellStart"/>
      <w:r w:rsidRPr="006926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261A">
        <w:rPr>
          <w:rFonts w:ascii="Times New Roman" w:hAnsi="Times New Roman" w:cs="Times New Roman"/>
          <w:sz w:val="28"/>
          <w:szCs w:val="28"/>
        </w:rPr>
        <w:t>. В настоящее время установлено и запущено новейшее оборудование, что позволяет производить до 200 тонн конфет в ассортименте в месяц и при этом сохранять высочайшее качество выпускаемых конфет.</w:t>
      </w:r>
      <w:proofErr w:type="gramEnd"/>
    </w:p>
    <w:p w:rsidR="0069261A" w:rsidRDefault="0069261A" w:rsidP="001428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1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9261A">
        <w:rPr>
          <w:rFonts w:ascii="Times New Roman" w:hAnsi="Times New Roman" w:cs="Times New Roman"/>
          <w:sz w:val="28"/>
          <w:szCs w:val="28"/>
        </w:rPr>
        <w:t xml:space="preserve">а </w:t>
      </w:r>
      <w:r w:rsidR="001428B3" w:rsidRPr="001428B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428B3" w:rsidRPr="001428B3">
        <w:rPr>
          <w:rFonts w:ascii="Times New Roman" w:hAnsi="Times New Roman" w:cs="Times New Roman"/>
          <w:sz w:val="28"/>
          <w:szCs w:val="28"/>
        </w:rPr>
        <w:t xml:space="preserve"> «Русское драже»</w:t>
      </w:r>
      <w:r w:rsidR="001428B3">
        <w:rPr>
          <w:rFonts w:ascii="Times New Roman" w:hAnsi="Times New Roman" w:cs="Times New Roman"/>
          <w:sz w:val="28"/>
          <w:szCs w:val="28"/>
        </w:rPr>
        <w:t xml:space="preserve"> </w:t>
      </w:r>
      <w:r w:rsidRPr="0069261A">
        <w:rPr>
          <w:rFonts w:ascii="Times New Roman" w:hAnsi="Times New Roman" w:cs="Times New Roman"/>
          <w:sz w:val="28"/>
          <w:szCs w:val="28"/>
        </w:rPr>
        <w:t xml:space="preserve">работает самое современное автоматическое заверточное и фасовочное оборудование. </w:t>
      </w:r>
      <w:r w:rsidR="001428B3" w:rsidRPr="001428B3">
        <w:rPr>
          <w:rFonts w:ascii="Times New Roman" w:hAnsi="Times New Roman" w:cs="Times New Roman"/>
          <w:sz w:val="28"/>
          <w:szCs w:val="28"/>
        </w:rPr>
        <w:t>ООО «Русское драже»</w:t>
      </w:r>
      <w:r w:rsidR="001428B3">
        <w:rPr>
          <w:rFonts w:ascii="Times New Roman" w:hAnsi="Times New Roman" w:cs="Times New Roman"/>
          <w:sz w:val="28"/>
          <w:szCs w:val="28"/>
        </w:rPr>
        <w:t xml:space="preserve"> </w:t>
      </w:r>
      <w:r w:rsidRPr="0069261A">
        <w:rPr>
          <w:rFonts w:ascii="Times New Roman" w:hAnsi="Times New Roman" w:cs="Times New Roman"/>
          <w:sz w:val="28"/>
          <w:szCs w:val="28"/>
        </w:rPr>
        <w:t>производит упаковку самого разного веса и объема.</w:t>
      </w:r>
    </w:p>
    <w:p w:rsidR="0069261A" w:rsidRDefault="0069261A" w:rsidP="001428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1A">
        <w:rPr>
          <w:rFonts w:ascii="Times New Roman" w:hAnsi="Times New Roman" w:cs="Times New Roman"/>
          <w:sz w:val="28"/>
          <w:szCs w:val="28"/>
        </w:rPr>
        <w:t>Исходное сырье для производств</w:t>
      </w:r>
      <w:proofErr w:type="gramStart"/>
      <w:r w:rsidRPr="0069261A">
        <w:rPr>
          <w:rFonts w:ascii="Times New Roman" w:hAnsi="Times New Roman" w:cs="Times New Roman"/>
          <w:sz w:val="28"/>
          <w:szCs w:val="28"/>
        </w:rPr>
        <w:t xml:space="preserve">а </w:t>
      </w:r>
      <w:r w:rsidR="001428B3" w:rsidRPr="001428B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428B3" w:rsidRPr="001428B3">
        <w:rPr>
          <w:rFonts w:ascii="Times New Roman" w:hAnsi="Times New Roman" w:cs="Times New Roman"/>
          <w:sz w:val="28"/>
          <w:szCs w:val="28"/>
        </w:rPr>
        <w:t xml:space="preserve"> «Русское драже»</w:t>
      </w:r>
      <w:r w:rsidRPr="0069261A"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1428B3">
        <w:rPr>
          <w:rFonts w:ascii="Times New Roman" w:hAnsi="Times New Roman" w:cs="Times New Roman"/>
          <w:sz w:val="28"/>
          <w:szCs w:val="28"/>
        </w:rPr>
        <w:t>т</w:t>
      </w:r>
      <w:r w:rsidRPr="0069261A">
        <w:rPr>
          <w:rFonts w:ascii="Times New Roman" w:hAnsi="Times New Roman" w:cs="Times New Roman"/>
          <w:sz w:val="28"/>
          <w:szCs w:val="28"/>
        </w:rPr>
        <w:t xml:space="preserve"> только от проверенных поставщиков, лидеров рынка, что позволяет гарантировать высокое качество конечной кондитерской продукции фабрики.</w:t>
      </w:r>
    </w:p>
    <w:p w:rsidR="0069261A" w:rsidRDefault="0069261A" w:rsidP="001428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1A">
        <w:rPr>
          <w:rFonts w:ascii="Times New Roman" w:hAnsi="Times New Roman" w:cs="Times New Roman"/>
          <w:sz w:val="28"/>
          <w:szCs w:val="28"/>
        </w:rPr>
        <w:t>Производственный штат насчитывает более 150 человек.  Высококвалифицированный персонал регулярно проходит аттестацию и переподготовку. На производстве внедрена система сквозного контроля качества.</w:t>
      </w:r>
    </w:p>
    <w:p w:rsidR="0069261A" w:rsidRDefault="0069261A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C8" w:rsidRPr="00D220C8" w:rsidRDefault="00D220C8" w:rsidP="00D2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C8">
        <w:rPr>
          <w:rFonts w:ascii="Times New Roman" w:hAnsi="Times New Roman" w:cs="Times New Roman"/>
          <w:b/>
          <w:sz w:val="28"/>
          <w:szCs w:val="28"/>
        </w:rPr>
        <w:t>2.</w:t>
      </w:r>
      <w:r w:rsidRPr="00D220C8">
        <w:rPr>
          <w:rFonts w:ascii="Times New Roman" w:hAnsi="Times New Roman" w:cs="Times New Roman"/>
          <w:b/>
          <w:sz w:val="28"/>
          <w:szCs w:val="28"/>
        </w:rPr>
        <w:tab/>
        <w:t>Система налогообложения</w:t>
      </w:r>
    </w:p>
    <w:p w:rsidR="00D220C8" w:rsidRPr="00D220C8" w:rsidRDefault="00D220C8" w:rsidP="00D220C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применяется общая система налогообложения. Согласно действующему налоговому законодательству подтверждением данных налогового учета являются следующие документы:</w:t>
      </w:r>
    </w:p>
    <w:p w:rsidR="00D220C8" w:rsidRPr="00D220C8" w:rsidRDefault="00D220C8" w:rsidP="00D220C8">
      <w:pPr>
        <w:numPr>
          <w:ilvl w:val="0"/>
          <w:numId w:val="4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учетные документы</w:t>
      </w:r>
    </w:p>
    <w:p w:rsidR="00D220C8" w:rsidRPr="00D220C8" w:rsidRDefault="00D220C8" w:rsidP="00D220C8">
      <w:pPr>
        <w:numPr>
          <w:ilvl w:val="0"/>
          <w:numId w:val="4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Аналитические регистры налогового учета</w:t>
      </w:r>
    </w:p>
    <w:p w:rsidR="00D220C8" w:rsidRPr="00D220C8" w:rsidRDefault="00D220C8" w:rsidP="00D220C8">
      <w:pPr>
        <w:numPr>
          <w:ilvl w:val="0"/>
          <w:numId w:val="4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налоговой базы</w:t>
      </w:r>
    </w:p>
    <w:p w:rsidR="00D220C8" w:rsidRDefault="00D220C8" w:rsidP="00D220C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 по налогам формируются в организации в системе налогового учета.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законодательством Российской Федерации налогообложение предприятий предполагает: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1 - </w:t>
      </w: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определение размера объекта налогообложения;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2 - </w:t>
      </w: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расчет суммы причитающегося с предприятия </w:t>
      </w:r>
      <w:proofErr w:type="gramStart"/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налога</w:t>
      </w:r>
      <w:proofErr w:type="gramEnd"/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основе сформировавшегося в учете показателя базы налогообложения и установленной налоговой ставки (как правило, процентной);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3 - </w:t>
      </w: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осуществление расчетов с бюджетом по начисленным налоговым платежам; 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4 - </w:t>
      </w: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составление и представление в налоговые органы налоговых деклараций. 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учета этих операций используется счет 68 "Расчеты с бюджетом". На нем отражается информация о расчетах с бюджетом по налогам и сборам, уплачиваемым за счет средств организации, а также ее работников, в отношении которых организация выступает налоговым агентом. Счет 68 "Расчеты по налогам и сборам" кредитуется на суммы, причитающиеся по налоговым декларациям (расчетам) к взносу в бюджеты, в корреспонденции со счетами, являющимися согласно действующему законодательству источниками уплаты налогов и сборов. Кроме того, по кредиту счета 68 "Расчеты по налогам и сборам" в корреспонденции со счетом 91.2 отражается начисленная сумма штрафов и пеней по налогам и сборам.</w:t>
      </w:r>
    </w:p>
    <w:p w:rsidR="00D220C8" w:rsidRP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дебету счета 68 "Расчеты по налогам и сборам" отражаются суммы, фактически перечисленные в бюджет в корреспонденции со счетом 51 "Расчетные счета".</w:t>
      </w:r>
    </w:p>
    <w:p w:rsidR="00D220C8" w:rsidRDefault="00D220C8" w:rsidP="00D220C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220C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счету 68 открываются субсчета по видам налоговых платежей. Счет 68 на конец отчетного месяца может иметь развернутое сальдо (дебетовое и кредитовое) по налоговым платежам.</w:t>
      </w:r>
    </w:p>
    <w:p w:rsidR="00D220C8" w:rsidRPr="00CB731E" w:rsidRDefault="00CB731E" w:rsidP="00CB7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B731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3.</w:t>
      </w:r>
      <w:r w:rsidRPr="00CB731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ab/>
        <w:t>Порядок ведения расчетов по НДС</w:t>
      </w:r>
    </w:p>
    <w:p w:rsidR="00CB731E" w:rsidRPr="00CB731E" w:rsidRDefault="00CB731E" w:rsidP="0069365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НДС основными учетными документами являются:</w:t>
      </w:r>
    </w:p>
    <w:p w:rsidR="00CB731E" w:rsidRPr="00CB731E" w:rsidRDefault="00CB731E" w:rsidP="00693658">
      <w:pPr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получения</w:t>
      </w:r>
    </w:p>
    <w:p w:rsidR="00CB731E" w:rsidRPr="00CB731E" w:rsidRDefault="00CB731E" w:rsidP="00693658">
      <w:pPr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 - фактуры</w:t>
      </w:r>
    </w:p>
    <w:p w:rsidR="00CB731E" w:rsidRPr="00CB731E" w:rsidRDefault="00CB731E" w:rsidP="00693658">
      <w:pPr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учета полученных и выставленных счетов</w:t>
      </w:r>
    </w:p>
    <w:p w:rsidR="00CB731E" w:rsidRPr="00CB731E" w:rsidRDefault="00CB731E" w:rsidP="00693658">
      <w:pPr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покупок и книги продаж</w:t>
      </w:r>
    </w:p>
    <w:p w:rsidR="00CB731E" w:rsidRPr="00CB731E" w:rsidRDefault="00CB731E" w:rsidP="00693658">
      <w:pPr>
        <w:numPr>
          <w:ilvl w:val="0"/>
          <w:numId w:val="8"/>
        </w:numPr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декларация</w:t>
      </w:r>
    </w:p>
    <w:p w:rsidR="00CB731E" w:rsidRPr="00CB731E" w:rsidRDefault="00CB731E" w:rsidP="0069365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счета-фактуры является обязательным условием для зачета (возмещения) НДС по приобретенным товарам (услугам).</w:t>
      </w:r>
    </w:p>
    <w:p w:rsidR="00CB731E" w:rsidRPr="00CB731E" w:rsidRDefault="00CB731E" w:rsidP="0069365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счете - фактур указываются: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и дата выписки счета - фактуры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адрес и идентификация номера налогоплательщика и покупателя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грузоотправителя и грузополучателя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платежно-расчетного документа в случае получения авансовых или иных платежей в счет предстоящих поставок товаров (оказания услуг)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поставляемых товаров (оказания услуг) и единица измерения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товара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за единицу измерения согласно договору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товаров (услуг) за все поставляемое количество без НДС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НДС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НДС</w:t>
      </w:r>
    </w:p>
    <w:p w:rsidR="00CB731E" w:rsidRPr="00CB731E" w:rsidRDefault="00CB731E" w:rsidP="00693658">
      <w:pPr>
        <w:numPr>
          <w:ilvl w:val="0"/>
          <w:numId w:val="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стоимость поставляемых товаров (услуг) с учетом НДС</w:t>
      </w:r>
    </w:p>
    <w:p w:rsidR="00CB731E" w:rsidRPr="00CB731E" w:rsidRDefault="00CB731E" w:rsidP="00693658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Счет-фактура подписывается руководителем и главным бухгалтером организации.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какие-либо строки </w:t>
      </w:r>
      <w:proofErr w:type="gram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счета-фактур</w:t>
      </w:r>
      <w:proofErr w:type="gram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быть заполнены по причине отсутствия необходимой информации, то в них ставятся прочерки.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отгрузке товаров (услуг) налогоплательщик-продавец составляет счет на стоимость отгруженных товаров (услуг) в двух экземплярах.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экземпляр счета-фактур в течени</w:t>
      </w:r>
      <w:proofErr w:type="gram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дней с даты отгрузки представляется поставщиком покупателю. При направлении счета - фактуры покупателю по почте датой представлении считается дата сдачи счета-фактуры на почту. Второй экземпляр (копия) счета-фактуры остается от поставщика для отражения в книге продаж.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Счета-фактуры, составленные поставщиком при выполнении работ, оказании услуг, </w:t>
      </w:r>
      <w:proofErr w:type="gram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отгрузки</w:t>
      </w:r>
      <w:proofErr w:type="gram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отражаются у него в книге продаж в хронологическом порядке по мере продажи в том налоговом периоде, в котором признается реализации товаров в целях налогообложения.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Счета-фактуры, полученные от продавцов, регистрируются покупателем в книге покупок также в хронологическом порядке по мере оплаты и оприходования (принятия к учету) приобретаемых товаров, выполненных работ, оказания услуг, До момента оплаты приобретенных товаров </w:t>
      </w:r>
      <w:proofErr w:type="gram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счет-фактур</w:t>
      </w:r>
      <w:proofErr w:type="gram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выписанные продавцами, хранятся у покупателя в журнале учета счетов-фактур и в книге не регистрируются.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данных, полученных при обработке первичных документов, налогоплательщик составляет по окончании налогового периода налоговую декларацию по НДС.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декларация составляется по налогу на прибыль организации, а также по другим налогам и сборам. Формы налоговых деклараций утверждены приказами Министерства по налогам и сборам.</w:t>
      </w:r>
    </w:p>
    <w:p w:rsidR="00CB731E" w:rsidRPr="00CB731E" w:rsidRDefault="00CB731E" w:rsidP="00CB731E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правила налогообложения по всем налогам, а также санкций за их неправильное применение или неприменение уставлены </w:t>
      </w:r>
      <w:proofErr w:type="spellStart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proofErr w:type="spellEnd"/>
      <w:r w:rsidRPr="00CB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Таким образом, в общем случае </w:t>
      </w:r>
      <w:proofErr w:type="gram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</w:t>
      </w:r>
      <w:proofErr w:type="gram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«Русское драже»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объектами налогообложения является объем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произведенной продукции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принятых заказчиком по договорным ценам. В бухгалтерском учете факт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отгрузки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заказчику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выпущенной </w:t>
      </w:r>
      <w:proofErr w:type="spellStart"/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продукци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</w:t>
      </w:r>
      <w:proofErr w:type="gram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начисления НДС отражается следующим образом: </w:t>
      </w:r>
    </w:p>
    <w:p w:rsidR="00693658" w:rsidRP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Дт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62 </w:t>
      </w:r>
      <w:proofErr w:type="spell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Кт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90/"Выручка" на сумму договорной стоимости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реализованной продукции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93658" w:rsidRP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Дт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90/"Себестоимость продаж" </w:t>
      </w:r>
      <w:proofErr w:type="spell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Кт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 на сумму себестоимости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реализованной продукции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этом в дебет 20 могут аккумулироваться как собственные затрат</w:t>
      </w:r>
      <w:proofErr w:type="gram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ы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</w:t>
      </w:r>
      <w:proofErr w:type="gram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«Русское драже»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так и расходы по оплате работ и услуг сторонних организаций, использованных при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производстве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</w:t>
      </w:r>
    </w:p>
    <w:p w:rsidR="00693658" w:rsidRP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Дт</w:t>
      </w:r>
      <w:proofErr w:type="spell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90/"НДС" Кредит 68 на сумму НДС по договорной стоимости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отгруженной продукции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93658" w:rsidRPr="0069365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этом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 «Русское драже»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осуществляет налоговые вычеты по НДС в общем порядке.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исходной продукции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приобретенн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использованн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в процессе производства применяется</w:t>
      </w:r>
      <w:proofErr w:type="gramEnd"/>
      <w:r w:rsidRPr="006936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общий принцип осуществления налоговых вычетов - сумма НДС, предъявленного поставщиком материально-производственных запасов, принимается к вычету после их оприходования (при обязательном наличии счета-фактуры). Иными словами, используется счет 10 "Материалы", а на счете 19 "Налог на добавленную стоимость по приобретенным ценностям" выделяется НДС. </w:t>
      </w:r>
    </w:p>
    <w:p w:rsidR="00D220C8" w:rsidRPr="00693658" w:rsidRDefault="00D220C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93658" w:rsidRPr="00D220C8" w:rsidRDefault="00693658" w:rsidP="0069365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9365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4.</w:t>
      </w:r>
      <w:r w:rsidRPr="0069365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ab/>
        <w:t xml:space="preserve">Порядок ведения расчетов по </w:t>
      </w:r>
      <w:proofErr w:type="spellStart"/>
      <w:r w:rsidRPr="00693658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НДФЛ</w:t>
      </w:r>
      <w:proofErr w:type="spellEnd"/>
    </w:p>
    <w:p w:rsidR="00D220C8" w:rsidRPr="00D220C8" w:rsidRDefault="00D220C8" w:rsidP="00D220C8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доходов, полученных от него работниками предприятия от него работниками предприятия, ведется в соответствии с пунктом 1 ст. 230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61D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</w:t>
      </w:r>
      <w:proofErr w:type="gramEnd"/>
      <w:r w:rsidRPr="00E661D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нд</w:t>
      </w:r>
      <w:proofErr w:type="spellEnd"/>
      <w:r w:rsidRPr="00E661D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налог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ведется в налоговых карточках. Форма налоговой карточки по учету доходов и налога на доходы физических лиц предназначена для учета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агентами персонально по каждому налогоплательщику - физическому лицу:</w:t>
      </w:r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Доходов, полученных им как в денежной, так и в натуральной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право на распоряжение, которыми у него возникло, а также доходов в виде материальной выгоды, подлежащих включению в налоговую базу для исчисления сумм налога на доходы физически лиц</w:t>
      </w:r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 базы отдельно базы по каждому виду доходов, в отношении которых установлены различные налоговые ставки</w:t>
      </w:r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налоговых вычетов, уменьшающих налоговую базу</w:t>
      </w:r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 исчисленного и удержанного налога по каждому виду налоговой базы и общей суммы налога, исчисленной и удержанной за текущей налоговый период</w:t>
      </w:r>
      <w:proofErr w:type="gramEnd"/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 доходов, полученных налогоплательщиком от реализации имущества, принадлежащего ему на праве собственности, независимо от вида имущества и суммы полученного дохода</w:t>
      </w:r>
    </w:p>
    <w:p w:rsidR="00E661D5" w:rsidRPr="00E661D5" w:rsidRDefault="00E661D5" w:rsidP="00467FBB">
      <w:pPr>
        <w:numPr>
          <w:ilvl w:val="0"/>
          <w:numId w:val="35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перерасчета налоговой базы и сумм налога за прошлые налоговые периоды, произведенного в отчетном налоговом периоде</w:t>
      </w:r>
      <w:r w:rsid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карточка ведется по каждому физическому лицу, получившему доход у организации.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налоговой карточке бухгалтера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все доходы,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налогоплательщиком в налоговом периоде и подлежащие учету при определении налоговой базы, включая доходы, в отношении которых предусмотрены налоговые вычеты.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дохода налогоплательщика по его распоряжению, по решению суда или иных органов производится какие-либо удержания, такие удержания при заполнении налоговой карточки не учитываются.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налоговой карточке суммовые показатели отражаются в рублях и копейках через десятичную точку, за исключением сумм налога на доходы.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налога исчисляются и отражаются в рублях и копейках. Налоговый учет по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одноуровневую структуру, т. е ведется только в форме первичных документов налогового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учета, данные из которых затем в аналитических регистрах налогового учета не обобщаются.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сумм налога на доходы физических лиц, подлежащей уплаты в бюджет за месяц, осуществляется в следующей последовательности: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табелей учета рабочего времени, распоряжений руководителя, листков временной нетрудоспособности и других аналогичных документов начисляется заработная плата работникам списочного состава предприятия. Суммы начисленной заработной платы и других выплат отражаются в лицевом счете каждого работника и в расчетно платежной ведомости.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физическое лицо заполняются сведения в индивидуальной карточке нарастающим итогом с начала года: сумма облагаемых и не облагаемых выплат, размер налоговых вычетов.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документов заполняется карточка доходов физического лица, являющаяся, первичным документом налогового учета.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Удержание начисленной суммы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непосредственно из доходов налогоплательщика за счет любых денежных средств, выплачиваемых ему организацией, при их фактической выплате.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на каждого работника организации составляется справка о доходах физического лица по форме №2-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доходах представляются в налоговую инспекцию ежегодно не позднее 1 апреля года, следующего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для составления формы №2-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на основании налоговой карточки формы №1-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справке отражаются сведения о доходах, выплаченных налоговым агентом-источником дохода физическому лицу, суммах вычетов, суммах исчисленного и удержанного этим источником выплаты налога.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Заполнение формы №2-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правилами, изложенными в приложении к этой форме.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отражаются:</w:t>
      </w:r>
    </w:p>
    <w:p w:rsidR="00E661D5" w:rsidRPr="00E661D5" w:rsidRDefault="00E661D5" w:rsidP="00467FBB">
      <w:pPr>
        <w:numPr>
          <w:ilvl w:val="0"/>
          <w:numId w:val="36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сумма дохода, полученного физическим лицом в налоговом периоде в денежной и натуральной формах и в форме материальной выгоды</w:t>
      </w:r>
      <w:proofErr w:type="gramEnd"/>
    </w:p>
    <w:p w:rsidR="00E661D5" w:rsidRPr="00E661D5" w:rsidRDefault="00E661D5" w:rsidP="00467FBB">
      <w:pPr>
        <w:numPr>
          <w:ilvl w:val="0"/>
          <w:numId w:val="36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предоставленных стандартных и профессиональных вычетов</w:t>
      </w:r>
    </w:p>
    <w:p w:rsidR="00E661D5" w:rsidRPr="00E661D5" w:rsidRDefault="00E661D5" w:rsidP="00467FBB">
      <w:pPr>
        <w:numPr>
          <w:ilvl w:val="0"/>
          <w:numId w:val="36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исчисленного и удержанного налога</w:t>
      </w:r>
    </w:p>
    <w:p w:rsidR="00E661D5" w:rsidRPr="00E661D5" w:rsidRDefault="00E661D5" w:rsidP="00467FBB">
      <w:pPr>
        <w:numPr>
          <w:ilvl w:val="0"/>
          <w:numId w:val="36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налога, возвращенного (зачтенного) налогоплательщику в связи с перерасчетом за прошлые налоговые периоды</w:t>
      </w:r>
    </w:p>
    <w:p w:rsidR="00E661D5" w:rsidRPr="00E661D5" w:rsidRDefault="00E661D5" w:rsidP="00467FBB">
      <w:pPr>
        <w:numPr>
          <w:ilvl w:val="0"/>
          <w:numId w:val="36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налога, переданного на высказывание в налоговый орган.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выплате сотруднику заработной платы по основному месту работы работодатель, удерживая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предоставляет этому работнику стандартные налоговые вычеты. Стандартные налоговые вычеты периода, в течени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отношения между работником и работодателем определились трудовым договором. Таким образом, налоговая база по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уменьшается на сумму положенного работника стандартного налогового вычета. Стандартные налоговые вычеты предоставляются только налогоплательщикам-резидентам РФ, которые получали в отчетном налоговом периоде доходы, облагаемые </w:t>
      </w:r>
      <w:proofErr w:type="spell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</w:t>
      </w:r>
      <w:proofErr w:type="spell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ставке 13%.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налоговые вычеты в 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на основании письменного заявлении налогоплательщика. К заявлению необходимо приложить документы, подтверждающие право налогоплательщика на установленные стандартные вычеты.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Перечисления в бюджет в организации оформляются платёжными поручениями. Расчетные документы, т. е платежные поручения на перечисление платежей оформляются в соответствии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proofErr w:type="gramEnd"/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 информации в полях расчетных документов на перечисление налогов, сборов и иных платежей в бюджетную систему РФ.</w:t>
      </w:r>
    </w:p>
    <w:p w:rsidR="00E661D5" w:rsidRPr="00E661D5" w:rsidRDefault="00E661D5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заполнения платежного поручения:</w:t>
      </w:r>
    </w:p>
    <w:p w:rsidR="00E661D5" w:rsidRPr="00E661D5" w:rsidRDefault="00467FBB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661D5"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одного платежного поручения допускается только по одному налогу (сбору).</w:t>
      </w:r>
    </w:p>
    <w:p w:rsidR="00E661D5" w:rsidRPr="00E661D5" w:rsidRDefault="00467FBB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1D5"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платежном поручении не может быть указанно более одного показателя основание платежа и типа платежа.</w:t>
      </w:r>
    </w:p>
    <w:p w:rsidR="00E661D5" w:rsidRPr="00E661D5" w:rsidRDefault="00467FBB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1D5"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незаполненных полей не допустимо.</w:t>
      </w:r>
    </w:p>
    <w:p w:rsidR="00E661D5" w:rsidRPr="00E661D5" w:rsidRDefault="00467FBB" w:rsidP="00E661D5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61D5" w:rsidRPr="00E6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указать конкретное значение показателя в полях 106-110 расчетного документа проставляется ("0").</w:t>
      </w:r>
    </w:p>
    <w:p w:rsidR="00E661D5" w:rsidRPr="00E661D5" w:rsidRDefault="00E661D5" w:rsidP="00E661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66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Начисленные суммы налога отражаются по кредиту субсчета 68.1 в корреспонденции с дебетом 70. При фактическом перечислении начисленного налога на доходы физических лиц в бюджет на сумму платежа производится списание учтенных на субсчете 68.1 сумм удержанного налога в корреспонденции со счетом 51 (</w:t>
      </w:r>
      <w:proofErr w:type="spellStart"/>
      <w:r w:rsidRPr="00E66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Дт</w:t>
      </w:r>
      <w:proofErr w:type="spellEnd"/>
      <w:r w:rsidRPr="00E66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68.1 </w:t>
      </w:r>
      <w:proofErr w:type="spellStart"/>
      <w:r w:rsidRPr="00E66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Кт</w:t>
      </w:r>
      <w:proofErr w:type="spellEnd"/>
      <w:r w:rsidRPr="00E661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51). </w:t>
      </w:r>
    </w:p>
    <w:p w:rsidR="00E661D5" w:rsidRDefault="00E661D5" w:rsidP="00467FBB">
      <w:pPr>
        <w:tabs>
          <w:tab w:val="left" w:pos="7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FBB" w:rsidRPr="00E661D5" w:rsidRDefault="00467FBB" w:rsidP="00467FBB">
      <w:pPr>
        <w:tabs>
          <w:tab w:val="left" w:pos="7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0C8" w:rsidRPr="00467FBB" w:rsidRDefault="00467FBB" w:rsidP="00467F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FBB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467FBB">
        <w:rPr>
          <w:rFonts w:ascii="Times New Roman" w:hAnsi="Times New Roman" w:cs="Times New Roman"/>
          <w:b/>
          <w:sz w:val="28"/>
          <w:szCs w:val="28"/>
          <w:lang w:val="uk-UA"/>
        </w:rPr>
        <w:tab/>
        <w:t>Порядок ведения расчетов по налогу на прибыль</w:t>
      </w:r>
    </w:p>
    <w:p w:rsid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Объектом налогообложения по налогу на прибыль организаций согласно ст. 247 Налогового кодекса является прибыль, полученная налогоплательщиком. В гл. 25 "Налог на прибыль организаций" Налогового кодекса не содержится какого-либо определения прибыли в качестве определенного экономического показателя.</w:t>
      </w:r>
    </w:p>
    <w:p w:rsid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правильного определения прибыли необходимо сравнивать доходы и расходы, относящиеся только к текущему периоду. Отнесение возникших доходов и расходов к доходам и расходам текущего отчетного (налогового) периода подразумевает их учет при исчислении налоговой базы за текущий отчетный (налоговый) период. Порядок отнесения возникших доходов и расходов к текущему периоду регулируется соответствующими статья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 Налогового кодекса (таблица 5</w:t>
      </w: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.1).</w:t>
      </w:r>
    </w:p>
    <w:p w:rsid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Таблица 2.1 - Выписка из журнала хозяйственных операций </w:t>
      </w: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ООО «Русское драже»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885"/>
        <w:gridCol w:w="4062"/>
        <w:gridCol w:w="727"/>
        <w:gridCol w:w="844"/>
        <w:gridCol w:w="1127"/>
      </w:tblGrid>
      <w:tr w:rsidR="00467FBB" w:rsidRPr="00467FBB" w:rsidTr="00C5529D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Сумма</w:t>
            </w:r>
          </w:p>
        </w:tc>
      </w:tr>
      <w:tr w:rsidR="00467FBB" w:rsidRPr="00467FBB" w:rsidTr="00C5529D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31.03.16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Операция 00000008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Начисл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ен налог на прибыль за 1 кв. 2016</w:t>
            </w: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года  Федеральный бюджет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99.1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68.4.1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124 499,00</w:t>
            </w:r>
          </w:p>
        </w:tc>
      </w:tr>
      <w:tr w:rsidR="00467FBB" w:rsidRPr="00467FBB" w:rsidTr="00C5529D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Выписка 00000198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Уплачен налог на прибыль  Федеральный бюджет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68.4.1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FBB" w:rsidRPr="00467FBB" w:rsidRDefault="00467FBB" w:rsidP="0046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67FB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2 130,00</w:t>
            </w:r>
          </w:p>
        </w:tc>
      </w:tr>
    </w:tbl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методе </w:t>
      </w:r>
      <w:proofErr w:type="gramStart"/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начисления</w:t>
      </w:r>
      <w:proofErr w:type="gramEnd"/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как доходы, так и расходы, признаются для целей исчисления налога на прибыль в том отчетном (налоговом) периоде, в котором они имели место, независимо от фактического поступления (выплаты) денежных средств, иного имущества (работ, услуг) и (или) имущественных прав.</w:t>
      </w:r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Датой получения дохода, если иное не предусмотрено гл. 25 Налогового кодекса, признается дата реализации товаров (работ, услуг, имущественных прав), определяемая в соответствии с п. 1 ст. 39 Налогового кодекса, независимо от фактического поступления денежных средств (иного имущества (работ, услуг) и (или) имущественных прав) в их оплату. </w:t>
      </w:r>
      <w:proofErr w:type="gramEnd"/>
    </w:p>
    <w:p w:rsidR="00467FBB" w:rsidRPr="00467FBB" w:rsidRDefault="00467FBB" w:rsidP="00467FB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467F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Чтобы включить осуществленные организацией затраты в состав расходов, учитываемых при определении налогооблагаемой прибыли, необходимо такие затраты признать расходами в соответствии с требованиями гл. 25 Налогового кодекса. Одновременно необходимо определить дату их возникновения с целью своевременного отнесения в состав расходов.</w:t>
      </w:r>
    </w:p>
    <w:p w:rsidR="00CB731E" w:rsidRPr="00467FBB" w:rsidRDefault="00CB731E" w:rsidP="00467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1E" w:rsidRPr="00467FBB" w:rsidRDefault="00467FBB" w:rsidP="00467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BB">
        <w:rPr>
          <w:rFonts w:ascii="Times New Roman" w:hAnsi="Times New Roman" w:cs="Times New Roman"/>
          <w:b/>
          <w:sz w:val="28"/>
          <w:szCs w:val="28"/>
        </w:rPr>
        <w:t>6.</w:t>
      </w:r>
      <w:r w:rsidRPr="00467FBB">
        <w:rPr>
          <w:rFonts w:ascii="Times New Roman" w:hAnsi="Times New Roman" w:cs="Times New Roman"/>
          <w:b/>
          <w:sz w:val="28"/>
          <w:szCs w:val="28"/>
        </w:rPr>
        <w:tab/>
        <w:t>Ведение расчетов в государственные внебюджетные фонды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законодательству, производит платежи во внебюджетные фонды:</w:t>
      </w:r>
    </w:p>
    <w:p w:rsidR="00467FBB" w:rsidRPr="00467FBB" w:rsidRDefault="00467FBB" w:rsidP="00467FBB">
      <w:pPr>
        <w:numPr>
          <w:ilvl w:val="0"/>
          <w:numId w:val="1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 РФ</w:t>
      </w:r>
    </w:p>
    <w:p w:rsidR="00467FBB" w:rsidRPr="00467FBB" w:rsidRDefault="00467FBB" w:rsidP="00467FBB">
      <w:pPr>
        <w:numPr>
          <w:ilvl w:val="0"/>
          <w:numId w:val="1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фонд обязательного медицинского страхования</w:t>
      </w:r>
    </w:p>
    <w:p w:rsidR="00467FBB" w:rsidRPr="00467FBB" w:rsidRDefault="00467FBB" w:rsidP="00467FBB">
      <w:pPr>
        <w:numPr>
          <w:ilvl w:val="0"/>
          <w:numId w:val="19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фонд РФ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Бухгалтерией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исчисления единого страховых взносов и заполнения деклараций используется следующие регистры бухгалтерского учета: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ведомости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ежемесячных начислений и удержаний, которые формируются исходя из расчетной ведомости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проводок по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по З/П на основании данных расчетно платежных ведомостей каждый месяц в течени</w:t>
      </w: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года заполняет индивидуальную карточку работника по учету сумм начисленных выплат и иных вознаграждений.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данную карточку нарастающим итогом вносятся: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ежемесячных начислений (всего)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Выплаты, не отнесенные к расходам, уменьшающим налоговую базу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Выплаты, не подлежащие налогом во все фонды и в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Выплаты, не облагаемые в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бухгалтер формирует сводную карточку по всему предприятию для аналитики налогового учета за год.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определяется налоговая база для исчисления страховых взносов во внебюджетные фонды.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определенной налоговой базы начисляются проценты по каждому фонду и отдельно начисляются авансовые платежи по обязательному пе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нсионному страхованию.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расчетов с внебюджетными фондами по исчислению страховых взносов ведется на счете 69 "Расчеты по социальному страхованию" в разрезе субсчетов по каждому виду налога (сбора), а именно: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1 - социальное страхование (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2 - пенсионное обеспечение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2. 1 - федеральный бюджет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69. 2. 2 - страховой пенсионный фонд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2. 3 - накопительный пенсионный фонд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3 - медицинское страхование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69. 3. 1 -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(Федеральный)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11 - страхование от несчастных случаев на производстве (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69 является пассивным, т. </w:t>
      </w: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начисление налогов (сборов) показывается по кредиту, а расчеты (перечисления в фонды и бюджет) - соответственно по дебету.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Кредитовое сальдо свидетельствует о долге предприятия перед бюджетом и фондами, дебетовое сальдо говорит об их переплате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каждого месяца бухгалтер по </w:t>
      </w: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делает начисление З/П работникам, после чего формирует операцию "Закрытие месяца", которая автоматически начисляет налоги с фонда оплаты труда и распределяет их по соответствующим счетам бухгалтерского учета.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каждого квартала не позднее установленного срока подаются расчеты авансовых платежей по страховым взносам в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</w:t>
      </w: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установленные сроки подаются Декларации в налоговую инспекцию, Пенсионный фонд и Фонд социального обеспечения по соответствующим налогам (сборам). Страховые взносы во внебюджетные фонды исчисляются и уплачиваются в предусмотренные сроки.</w:t>
      </w:r>
    </w:p>
    <w:p w:rsid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расчеты с Пенсионном Фондом ведутся на 69 "расчеты по обязательному страхованию и обеспечению".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открываются в </w:t>
      </w:r>
      <w:proofErr w:type="gram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субсчета:</w:t>
      </w:r>
    </w:p>
    <w:p w:rsid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2. 2 - страховые взносы на обязательное пенсионное страхование, направляемые и финансирование страховой части трудовой пенсии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2. 3 - страховые взносы на обязательное пенсионное страхование, направляемые на финансирование накопительной части трудовой пенсии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страховых взносов представляет собой вычет, принимаемый в целях уменьшения подлежащей уплате в федеральный бюджет суммы страховых взносов.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 об исчислении и уплаченных суммах авансовых платежей бухгалтерия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в Расчете по авансовым платежам по страховым взносам на обязательное пенсионное страхование.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законодательства, устанавливающие льготы по страховым взносам, в отношении страховых взносов на обязательное пенсионное страхование не применяются.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страховых взносов в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ставки налогообложения, действительные для общей системы налогообложения. Общая ставка страховых взносов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«Русское драже»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30%. Причем в Пенсионный фонд организация перечисляет 22%, в Федеральный фонд медицинского страхования - 5,1%, в Фонд социального страхования - 2,9%. 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расчеты по социальному страхованию ведутся на счете 69 "Расчеты по социальному страхованию и обеспечению" на субсчет 69. 1 "Расчеты по социальному страхованию".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получить денежные средства на выплату пособия от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 с письменным заявлением, к которому прикладываются следующие документы:</w:t>
      </w:r>
    </w:p>
    <w:p w:rsidR="00467FBB" w:rsidRPr="00467FBB" w:rsidRDefault="00467FBB" w:rsidP="00467FBB">
      <w:pPr>
        <w:numPr>
          <w:ilvl w:val="0"/>
          <w:numId w:val="37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ведомость по форме 4-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подтверждающая начисление расходов по обязательному социальному страхованию</w:t>
      </w:r>
    </w:p>
    <w:p w:rsidR="00467FBB" w:rsidRPr="00467FBB" w:rsidRDefault="00467FBB" w:rsidP="00467FBB">
      <w:pPr>
        <w:numPr>
          <w:ilvl w:val="0"/>
          <w:numId w:val="37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платежных поручений, подтверждающих уплату за соответствующий период страховых взносов</w:t>
      </w:r>
    </w:p>
    <w:p w:rsidR="00467FBB" w:rsidRPr="00467FBB" w:rsidRDefault="00467FBB" w:rsidP="00467FBB">
      <w:pPr>
        <w:numPr>
          <w:ilvl w:val="0"/>
          <w:numId w:val="37"/>
        </w:numPr>
        <w:tabs>
          <w:tab w:val="left" w:pos="7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 надлежащим образом копий документов, подтверждающих обоснованность и правильность расходов по обязательному социальному страхованию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начисленных взносов во внебюджетные фонды отражают по дебету тех же счетов бухгалтерского учета, на которых отражается начисление заработной платы и других доходов работниками этой организации.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Перечисление страховых взносов во внебюджетные фонды в организации оформляются платежными поручениями.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«Русское драже»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виду платежа в Пенсионный фонд РФ, в фонд обязательного медицинского страхования, фонд социального страхования оформляются отдельные платежные поручения.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расчетных документов (платежных поручений) соблюдается правильность заполнения следующих полей: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(001) расчетного документа указывается статус лица, оформившего платежный документ.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(60) ИНН плательщика, (102)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(8) наименование плательщика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(104) указывается код бюджетной классификации (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соответствии с Федеральным законом. При этом 14-17 разряды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</w:t>
      </w:r>
      <w:proofErr w:type="spellEnd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раздельного учета страховых взносов, пеней, штрафов и процентов на обязательное пенсионное страхование.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(105) </w:t>
      </w:r>
      <w:proofErr w:type="spellStart"/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</w:t>
      </w:r>
      <w:proofErr w:type="spellEnd"/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(106) показатель основания платежа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(107) показатель налогового периода</w:t>
      </w:r>
    </w:p>
    <w:p w:rsidR="00467FBB" w:rsidRPr="00467FBB" w:rsidRDefault="00467FBB" w:rsidP="00467FBB">
      <w:pPr>
        <w:tabs>
          <w:tab w:val="left" w:pos="7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(110) тип платежа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Pr="00D4519D" w:rsidRDefault="00D4519D" w:rsidP="00D4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9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4519D" w:rsidRDefault="00D4519D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D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первая)" от 31.07.1998 N 146-ФЗ (ред. от 30.11.2016)</w:t>
      </w:r>
    </w:p>
    <w:p w:rsidR="00D4519D" w:rsidRDefault="00D4519D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D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вторая)" от 05.08.2000 N 117-ФЗ (ред. от 03.07.2016) (с изм. и доп., вступ. в силу с 01.10.2016)</w:t>
      </w:r>
    </w:p>
    <w:p w:rsidR="00D4519D" w:rsidRDefault="00D4519D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D">
        <w:rPr>
          <w:rFonts w:ascii="Times New Roman" w:hAnsi="Times New Roman" w:cs="Times New Roman"/>
          <w:sz w:val="28"/>
          <w:szCs w:val="28"/>
        </w:rPr>
        <w:t xml:space="preserve">Лыкова, Л. Н. Налоги и налогообложение: учебник и практикум для </w:t>
      </w:r>
      <w:proofErr w:type="spellStart"/>
      <w:r w:rsidRPr="00D4519D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D4519D">
        <w:rPr>
          <w:rFonts w:ascii="Times New Roman" w:hAnsi="Times New Roman" w:cs="Times New Roman"/>
          <w:sz w:val="28"/>
          <w:szCs w:val="28"/>
        </w:rPr>
        <w:t xml:space="preserve"> / Л. Н. Лыкова. — М.: Издательство </w:t>
      </w:r>
      <w:proofErr w:type="spellStart"/>
      <w:r w:rsidRPr="00D45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519D">
        <w:rPr>
          <w:rFonts w:ascii="Times New Roman" w:hAnsi="Times New Roman" w:cs="Times New Roman"/>
          <w:sz w:val="28"/>
          <w:szCs w:val="28"/>
        </w:rPr>
        <w:t>, 2015. — 353 с.</w:t>
      </w:r>
    </w:p>
    <w:p w:rsidR="00180CF3" w:rsidRDefault="00180CF3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3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180C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CF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180CF3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 xml:space="preserve"> / под ред. Л. Я. </w:t>
      </w:r>
      <w:proofErr w:type="spellStart"/>
      <w:r w:rsidRPr="00180CF3">
        <w:rPr>
          <w:rFonts w:ascii="Times New Roman" w:hAnsi="Times New Roman" w:cs="Times New Roman"/>
          <w:sz w:val="28"/>
          <w:szCs w:val="28"/>
        </w:rPr>
        <w:t>Маршавиной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 xml:space="preserve">, Л. А. Чайковской. — М.: Издательство </w:t>
      </w:r>
      <w:proofErr w:type="spellStart"/>
      <w:r w:rsidRPr="00180CF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>, 2016. — 503 с. — Серия</w:t>
      </w:r>
      <w:proofErr w:type="gramStart"/>
      <w:r w:rsidRPr="00180C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CF3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</w:t>
      </w:r>
    </w:p>
    <w:p w:rsidR="00180CF3" w:rsidRPr="00180CF3" w:rsidRDefault="00180CF3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0CF3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>, В. Г. Налоги и налогообложение. Практикум</w:t>
      </w:r>
      <w:proofErr w:type="gramStart"/>
      <w:r w:rsidRPr="00180C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CF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Г. </w:t>
      </w:r>
      <w:proofErr w:type="spellStart"/>
      <w:r w:rsidRPr="00180CF3">
        <w:rPr>
          <w:rFonts w:ascii="Times New Roman" w:hAnsi="Times New Roman" w:cs="Times New Roman"/>
          <w:sz w:val="28"/>
          <w:szCs w:val="28"/>
        </w:rPr>
        <w:t>Пан­сков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 xml:space="preserve">, Т. А. Левочкина. — М.: Издательство </w:t>
      </w:r>
      <w:proofErr w:type="spellStart"/>
      <w:r w:rsidRPr="00180CF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CF3">
        <w:rPr>
          <w:rFonts w:ascii="Times New Roman" w:hAnsi="Times New Roman" w:cs="Times New Roman"/>
          <w:sz w:val="28"/>
          <w:szCs w:val="28"/>
        </w:rPr>
        <w:t xml:space="preserve">, 2015. — 319 с. </w:t>
      </w:r>
    </w:p>
    <w:p w:rsidR="00D4519D" w:rsidRDefault="00D4519D" w:rsidP="00180CF3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D">
        <w:rPr>
          <w:rFonts w:ascii="Times New Roman" w:hAnsi="Times New Roman" w:cs="Times New Roman"/>
          <w:sz w:val="28"/>
          <w:szCs w:val="28"/>
        </w:rPr>
        <w:t>Черник, Д. Г. Теория и история налогообложения</w:t>
      </w:r>
      <w:proofErr w:type="gramStart"/>
      <w:r w:rsidRPr="00D45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19D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D4519D">
        <w:rPr>
          <w:rFonts w:ascii="Times New Roman" w:hAnsi="Times New Roman" w:cs="Times New Roman"/>
          <w:sz w:val="28"/>
          <w:szCs w:val="28"/>
        </w:rPr>
        <w:t>бака­лавриата</w:t>
      </w:r>
      <w:proofErr w:type="spellEnd"/>
      <w:r w:rsidRPr="00D4519D">
        <w:rPr>
          <w:rFonts w:ascii="Times New Roman" w:hAnsi="Times New Roman" w:cs="Times New Roman"/>
          <w:sz w:val="28"/>
          <w:szCs w:val="28"/>
        </w:rPr>
        <w:t xml:space="preserve"> / Д. Г. Черник, Ю. Д. Шмелев ; под ред. Д. Г. Черника. — М.: </w:t>
      </w:r>
      <w:proofErr w:type="gramStart"/>
      <w:r w:rsidRPr="00D4519D">
        <w:rPr>
          <w:rFonts w:ascii="Times New Roman" w:hAnsi="Times New Roman" w:cs="Times New Roman"/>
          <w:sz w:val="28"/>
          <w:szCs w:val="28"/>
        </w:rPr>
        <w:t>Изда­тельство</w:t>
      </w:r>
      <w:proofErr w:type="gramEnd"/>
      <w:r w:rsidRPr="00D4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519D">
        <w:rPr>
          <w:rFonts w:ascii="Times New Roman" w:hAnsi="Times New Roman" w:cs="Times New Roman"/>
          <w:sz w:val="28"/>
          <w:szCs w:val="28"/>
        </w:rPr>
        <w:t>, 2016. — 364 с.</w:t>
      </w:r>
    </w:p>
    <w:p w:rsidR="00D4519D" w:rsidRDefault="00D4519D" w:rsidP="00180C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31E" w:rsidRDefault="00CB731E" w:rsidP="006926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31E" w:rsidSect="00D220C8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C8" w:rsidRDefault="00D220C8" w:rsidP="00D220C8">
      <w:pPr>
        <w:spacing w:after="0" w:line="240" w:lineRule="auto"/>
      </w:pPr>
      <w:r>
        <w:separator/>
      </w:r>
    </w:p>
  </w:endnote>
  <w:endnote w:type="continuationSeparator" w:id="0">
    <w:p w:rsidR="00D220C8" w:rsidRDefault="00D220C8" w:rsidP="00D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735256"/>
      <w:docPartObj>
        <w:docPartGallery w:val="Page Numbers (Bottom of Page)"/>
        <w:docPartUnique/>
      </w:docPartObj>
    </w:sdtPr>
    <w:sdtContent>
      <w:p w:rsidR="00D220C8" w:rsidRDefault="00D220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F3">
          <w:rPr>
            <w:noProof/>
          </w:rPr>
          <w:t>18</w:t>
        </w:r>
        <w:r>
          <w:fldChar w:fldCharType="end"/>
        </w:r>
      </w:p>
    </w:sdtContent>
  </w:sdt>
  <w:p w:rsidR="00D220C8" w:rsidRDefault="00D220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C8" w:rsidRDefault="00D220C8" w:rsidP="00D220C8">
      <w:pPr>
        <w:spacing w:after="0" w:line="240" w:lineRule="auto"/>
      </w:pPr>
      <w:r>
        <w:separator/>
      </w:r>
    </w:p>
  </w:footnote>
  <w:footnote w:type="continuationSeparator" w:id="0">
    <w:p w:rsidR="00D220C8" w:rsidRDefault="00D220C8" w:rsidP="00D2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F26"/>
    <w:multiLevelType w:val="hybridMultilevel"/>
    <w:tmpl w:val="A9D2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101DD"/>
    <w:multiLevelType w:val="hybridMultilevel"/>
    <w:tmpl w:val="571E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05D40"/>
    <w:multiLevelType w:val="hybridMultilevel"/>
    <w:tmpl w:val="7BF4D5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6D2377"/>
    <w:multiLevelType w:val="hybridMultilevel"/>
    <w:tmpl w:val="64C07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0604E"/>
    <w:multiLevelType w:val="hybridMultilevel"/>
    <w:tmpl w:val="B912674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5C670F"/>
    <w:multiLevelType w:val="hybridMultilevel"/>
    <w:tmpl w:val="150244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5936A6"/>
    <w:multiLevelType w:val="hybridMultilevel"/>
    <w:tmpl w:val="79A8B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66B21"/>
    <w:multiLevelType w:val="hybridMultilevel"/>
    <w:tmpl w:val="268E8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994337"/>
    <w:multiLevelType w:val="hybridMultilevel"/>
    <w:tmpl w:val="A45AA13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2D32B17"/>
    <w:multiLevelType w:val="hybridMultilevel"/>
    <w:tmpl w:val="7378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E24871"/>
    <w:multiLevelType w:val="hybridMultilevel"/>
    <w:tmpl w:val="C2B2C4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601210"/>
    <w:multiLevelType w:val="hybridMultilevel"/>
    <w:tmpl w:val="6948899C"/>
    <w:lvl w:ilvl="0" w:tplc="0419000F">
      <w:start w:val="1"/>
      <w:numFmt w:val="decimal"/>
      <w:lvlText w:val="%1."/>
      <w:lvlJc w:val="left"/>
      <w:pPr>
        <w:ind w:left="15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  <w:rPr>
        <w:rFonts w:cs="Times New Roman"/>
      </w:rPr>
    </w:lvl>
  </w:abstractNum>
  <w:abstractNum w:abstractNumId="13">
    <w:nsid w:val="2DFD6C33"/>
    <w:multiLevelType w:val="hybridMultilevel"/>
    <w:tmpl w:val="592AF57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2C90EB2"/>
    <w:multiLevelType w:val="hybridMultilevel"/>
    <w:tmpl w:val="B288BC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34942CF"/>
    <w:multiLevelType w:val="hybridMultilevel"/>
    <w:tmpl w:val="8C9804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23F7E"/>
    <w:multiLevelType w:val="hybridMultilevel"/>
    <w:tmpl w:val="FB14D9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612274"/>
    <w:multiLevelType w:val="hybridMultilevel"/>
    <w:tmpl w:val="EF901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C803614"/>
    <w:multiLevelType w:val="hybridMultilevel"/>
    <w:tmpl w:val="B0260D4E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9">
    <w:nsid w:val="3E592403"/>
    <w:multiLevelType w:val="hybridMultilevel"/>
    <w:tmpl w:val="5C6E7062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0">
    <w:nsid w:val="3F64137B"/>
    <w:multiLevelType w:val="hybridMultilevel"/>
    <w:tmpl w:val="2668A8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D45903"/>
    <w:multiLevelType w:val="hybridMultilevel"/>
    <w:tmpl w:val="1C52DB92"/>
    <w:lvl w:ilvl="0" w:tplc="0419000D">
      <w:start w:val="1"/>
      <w:numFmt w:val="bullet"/>
      <w:lvlText w:val=""/>
      <w:lvlJc w:val="left"/>
      <w:pPr>
        <w:ind w:left="1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2">
    <w:nsid w:val="446D5180"/>
    <w:multiLevelType w:val="multilevel"/>
    <w:tmpl w:val="B5C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24899"/>
    <w:multiLevelType w:val="hybridMultilevel"/>
    <w:tmpl w:val="AE848D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F1095D"/>
    <w:multiLevelType w:val="hybridMultilevel"/>
    <w:tmpl w:val="B1B871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4516FD"/>
    <w:multiLevelType w:val="hybridMultilevel"/>
    <w:tmpl w:val="E430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241C2"/>
    <w:multiLevelType w:val="hybridMultilevel"/>
    <w:tmpl w:val="FE9EBA04"/>
    <w:lvl w:ilvl="0" w:tplc="041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  <w:rPr>
        <w:rFonts w:cs="Times New Roman"/>
      </w:rPr>
    </w:lvl>
  </w:abstractNum>
  <w:abstractNum w:abstractNumId="27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AD446E"/>
    <w:multiLevelType w:val="hybridMultilevel"/>
    <w:tmpl w:val="F5C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1F0FE4"/>
    <w:multiLevelType w:val="hybridMultilevel"/>
    <w:tmpl w:val="8CBCAC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B8A0267"/>
    <w:multiLevelType w:val="hybridMultilevel"/>
    <w:tmpl w:val="CBF276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022445F"/>
    <w:multiLevelType w:val="hybridMultilevel"/>
    <w:tmpl w:val="56C2A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306EF9"/>
    <w:multiLevelType w:val="hybridMultilevel"/>
    <w:tmpl w:val="E8DA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25"/>
    <w:multiLevelType w:val="hybridMultilevel"/>
    <w:tmpl w:val="3092BB7C"/>
    <w:lvl w:ilvl="0" w:tplc="8646B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D727F"/>
    <w:multiLevelType w:val="hybridMultilevel"/>
    <w:tmpl w:val="97F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242EE2"/>
    <w:multiLevelType w:val="multilevel"/>
    <w:tmpl w:val="8E7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E177D"/>
    <w:multiLevelType w:val="hybridMultilevel"/>
    <w:tmpl w:val="ACC48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890865"/>
    <w:multiLevelType w:val="hybridMultilevel"/>
    <w:tmpl w:val="51769740"/>
    <w:lvl w:ilvl="0" w:tplc="0419000F">
      <w:start w:val="1"/>
      <w:numFmt w:val="decimal"/>
      <w:lvlText w:val="%1."/>
      <w:lvlJc w:val="left"/>
      <w:pPr>
        <w:ind w:left="15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31"/>
  </w:num>
  <w:num w:numId="5">
    <w:abstractNumId w:val="6"/>
  </w:num>
  <w:num w:numId="6">
    <w:abstractNumId w:val="17"/>
  </w:num>
  <w:num w:numId="7">
    <w:abstractNumId w:val="30"/>
  </w:num>
  <w:num w:numId="8">
    <w:abstractNumId w:val="9"/>
  </w:num>
  <w:num w:numId="9">
    <w:abstractNumId w:val="36"/>
  </w:num>
  <w:num w:numId="10">
    <w:abstractNumId w:val="37"/>
  </w:num>
  <w:num w:numId="11">
    <w:abstractNumId w:val="19"/>
  </w:num>
  <w:num w:numId="12">
    <w:abstractNumId w:val="12"/>
  </w:num>
  <w:num w:numId="13">
    <w:abstractNumId w:val="28"/>
  </w:num>
  <w:num w:numId="14">
    <w:abstractNumId w:val="34"/>
  </w:num>
  <w:num w:numId="15">
    <w:abstractNumId w:val="1"/>
  </w:num>
  <w:num w:numId="16">
    <w:abstractNumId w:val="14"/>
  </w:num>
  <w:num w:numId="17">
    <w:abstractNumId w:val="16"/>
  </w:num>
  <w:num w:numId="18">
    <w:abstractNumId w:val="21"/>
  </w:num>
  <w:num w:numId="19">
    <w:abstractNumId w:val="23"/>
  </w:num>
  <w:num w:numId="20">
    <w:abstractNumId w:val="2"/>
  </w:num>
  <w:num w:numId="21">
    <w:abstractNumId w:val="13"/>
  </w:num>
  <w:num w:numId="22">
    <w:abstractNumId w:val="35"/>
  </w:num>
  <w:num w:numId="23">
    <w:abstractNumId w:val="22"/>
  </w:num>
  <w:num w:numId="24">
    <w:abstractNumId w:val="29"/>
  </w:num>
  <w:num w:numId="25">
    <w:abstractNumId w:val="8"/>
  </w:num>
  <w:num w:numId="26">
    <w:abstractNumId w:val="4"/>
  </w:num>
  <w:num w:numId="27">
    <w:abstractNumId w:val="11"/>
  </w:num>
  <w:num w:numId="28">
    <w:abstractNumId w:val="15"/>
  </w:num>
  <w:num w:numId="29">
    <w:abstractNumId w:val="26"/>
  </w:num>
  <w:num w:numId="30">
    <w:abstractNumId w:val="20"/>
  </w:num>
  <w:num w:numId="31">
    <w:abstractNumId w:val="5"/>
  </w:num>
  <w:num w:numId="32">
    <w:abstractNumId w:val="0"/>
  </w:num>
  <w:num w:numId="33">
    <w:abstractNumId w:val="10"/>
  </w:num>
  <w:num w:numId="34">
    <w:abstractNumId w:val="27"/>
  </w:num>
  <w:num w:numId="35">
    <w:abstractNumId w:val="3"/>
  </w:num>
  <w:num w:numId="36">
    <w:abstractNumId w:val="18"/>
  </w:num>
  <w:num w:numId="37">
    <w:abstractNumId w:val="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4"/>
    <w:rsid w:val="001428B3"/>
    <w:rsid w:val="00180CF3"/>
    <w:rsid w:val="00203364"/>
    <w:rsid w:val="002727A6"/>
    <w:rsid w:val="00375B51"/>
    <w:rsid w:val="00467FBB"/>
    <w:rsid w:val="0069261A"/>
    <w:rsid w:val="00693658"/>
    <w:rsid w:val="00C02466"/>
    <w:rsid w:val="00CB731E"/>
    <w:rsid w:val="00D220C8"/>
    <w:rsid w:val="00D4519D"/>
    <w:rsid w:val="00E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autoRedefine/>
    <w:uiPriority w:val="99"/>
    <w:qFormat/>
    <w:rsid w:val="00E661D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661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E661D5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E661D5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E661D5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E661D5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E661D5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E661D5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661D5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5B51"/>
    <w:pPr>
      <w:ind w:left="720"/>
      <w:contextualSpacing/>
    </w:pPr>
  </w:style>
  <w:style w:type="character" w:customStyle="1" w:styleId="apple-converted-space">
    <w:name w:val="apple-converted-space"/>
    <w:basedOn w:val="a1"/>
    <w:rsid w:val="0069261A"/>
  </w:style>
  <w:style w:type="character" w:styleId="a5">
    <w:name w:val="Strong"/>
    <w:basedOn w:val="a1"/>
    <w:uiPriority w:val="22"/>
    <w:qFormat/>
    <w:rsid w:val="0069261A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69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261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D2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220C8"/>
  </w:style>
  <w:style w:type="paragraph" w:styleId="aa">
    <w:name w:val="footer"/>
    <w:basedOn w:val="a0"/>
    <w:link w:val="ab"/>
    <w:uiPriority w:val="99"/>
    <w:unhideWhenUsed/>
    <w:rsid w:val="00D2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220C8"/>
  </w:style>
  <w:style w:type="character" w:customStyle="1" w:styleId="11">
    <w:name w:val="Заголовок 1 Знак"/>
    <w:basedOn w:val="a1"/>
    <w:link w:val="1"/>
    <w:uiPriority w:val="9"/>
    <w:rsid w:val="00E661D5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661D5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661D5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E661D5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E661D5"/>
    <w:rPr>
      <w:rFonts w:ascii="Arial" w:eastAsia="Times New Roman" w:hAnsi="Arial" w:cs="Arial"/>
      <w:color w:val="00000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661D5"/>
  </w:style>
  <w:style w:type="paragraph" w:styleId="ac">
    <w:name w:val="No Spacing"/>
    <w:uiPriority w:val="99"/>
    <w:qFormat/>
    <w:rsid w:val="00E661D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1"/>
    <w:uiPriority w:val="99"/>
    <w:semiHidden/>
    <w:rsid w:val="00E661D5"/>
    <w:rPr>
      <w:rFonts w:cs="Times New Roman"/>
      <w:vertAlign w:val="superscript"/>
    </w:rPr>
  </w:style>
  <w:style w:type="paragraph" w:styleId="ae">
    <w:name w:val="Body Text"/>
    <w:basedOn w:val="a0"/>
    <w:link w:val="af"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0">
    <w:name w:val="Hyperlink"/>
    <w:basedOn w:val="a1"/>
    <w:uiPriority w:val="99"/>
    <w:rsid w:val="00E661D5"/>
    <w:rPr>
      <w:rFonts w:cs="Times New Roman"/>
      <w:color w:val="0000FF"/>
      <w:u w:val="single"/>
    </w:rPr>
  </w:style>
  <w:style w:type="character" w:styleId="af1">
    <w:name w:val="footnote reference"/>
    <w:basedOn w:val="a1"/>
    <w:uiPriority w:val="99"/>
    <w:semiHidden/>
    <w:rsid w:val="00E661D5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661D5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лит+нумерация"/>
    <w:basedOn w:val="a0"/>
    <w:next w:val="a0"/>
    <w:autoRedefine/>
    <w:uiPriority w:val="99"/>
    <w:rsid w:val="00E661D5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f3">
    <w:name w:val="литера"/>
    <w:uiPriority w:val="99"/>
    <w:rsid w:val="00E661D5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f4">
    <w:name w:val="caption"/>
    <w:basedOn w:val="a0"/>
    <w:next w:val="a0"/>
    <w:uiPriority w:val="99"/>
    <w:qFormat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page number"/>
    <w:basedOn w:val="a1"/>
    <w:uiPriority w:val="99"/>
    <w:rsid w:val="00E661D5"/>
    <w:rPr>
      <w:rFonts w:ascii="Times New Roman" w:hAnsi="Times New Roman" w:cs="Times New Roman"/>
      <w:sz w:val="28"/>
      <w:szCs w:val="28"/>
    </w:rPr>
  </w:style>
  <w:style w:type="character" w:customStyle="1" w:styleId="af6">
    <w:name w:val="номер страницы"/>
    <w:basedOn w:val="a1"/>
    <w:uiPriority w:val="99"/>
    <w:rsid w:val="00E661D5"/>
    <w:rPr>
      <w:rFonts w:cs="Times New Roman"/>
      <w:sz w:val="28"/>
      <w:szCs w:val="28"/>
    </w:rPr>
  </w:style>
  <w:style w:type="paragraph" w:styleId="af7">
    <w:name w:val="Normal (Web)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af8">
    <w:name w:val="Обычный +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3">
    <w:name w:val="toc 1"/>
    <w:basedOn w:val="a0"/>
    <w:next w:val="a0"/>
    <w:autoRedefine/>
    <w:uiPriority w:val="99"/>
    <w:semiHidden/>
    <w:rsid w:val="00E661D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E661D5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9">
    <w:name w:val="Body Text Indent"/>
    <w:basedOn w:val="a0"/>
    <w:link w:val="afa"/>
    <w:uiPriority w:val="99"/>
    <w:rsid w:val="00E661D5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E661D5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E661D5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размещено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c">
    <w:name w:val="Table Grid"/>
    <w:basedOn w:val="a2"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одержание"/>
    <w:uiPriority w:val="99"/>
    <w:rsid w:val="00E661D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E661D5"/>
    <w:pPr>
      <w:numPr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661D5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661D5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661D5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661D5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4">
    <w:name w:val="Стиль таблицы1"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E661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0">
    <w:name w:val="endnote text"/>
    <w:basedOn w:val="a0"/>
    <w:link w:val="aff1"/>
    <w:autoRedefine/>
    <w:uiPriority w:val="99"/>
    <w:semiHidden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661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2">
    <w:name w:val="footnote text"/>
    <w:basedOn w:val="a0"/>
    <w:link w:val="aff3"/>
    <w:autoRedefine/>
    <w:uiPriority w:val="99"/>
    <w:semiHidden/>
    <w:rsid w:val="00E661D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66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титут"/>
    <w:autoRedefine/>
    <w:uiPriority w:val="99"/>
    <w:rsid w:val="00E661D5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E661D5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E661D5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E661D5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E661D5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E661D5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E661D5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E661D5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467FBB"/>
  </w:style>
  <w:style w:type="table" w:customStyle="1" w:styleId="15">
    <w:name w:val="Сетка таблицы1"/>
    <w:basedOn w:val="a2"/>
    <w:next w:val="afc"/>
    <w:uiPriority w:val="99"/>
    <w:locked/>
    <w:rsid w:val="00467FB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0">
    <w:name w:val="Стиль таблицы11"/>
    <w:uiPriority w:val="99"/>
    <w:rsid w:val="00467FB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autoRedefine/>
    <w:uiPriority w:val="99"/>
    <w:qFormat/>
    <w:rsid w:val="00E661D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661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E661D5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E661D5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E661D5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E661D5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E661D5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E661D5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661D5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5B51"/>
    <w:pPr>
      <w:ind w:left="720"/>
      <w:contextualSpacing/>
    </w:pPr>
  </w:style>
  <w:style w:type="character" w:customStyle="1" w:styleId="apple-converted-space">
    <w:name w:val="apple-converted-space"/>
    <w:basedOn w:val="a1"/>
    <w:rsid w:val="0069261A"/>
  </w:style>
  <w:style w:type="character" w:styleId="a5">
    <w:name w:val="Strong"/>
    <w:basedOn w:val="a1"/>
    <w:uiPriority w:val="22"/>
    <w:qFormat/>
    <w:rsid w:val="0069261A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69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261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D2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220C8"/>
  </w:style>
  <w:style w:type="paragraph" w:styleId="aa">
    <w:name w:val="footer"/>
    <w:basedOn w:val="a0"/>
    <w:link w:val="ab"/>
    <w:uiPriority w:val="99"/>
    <w:unhideWhenUsed/>
    <w:rsid w:val="00D2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220C8"/>
  </w:style>
  <w:style w:type="character" w:customStyle="1" w:styleId="11">
    <w:name w:val="Заголовок 1 Знак"/>
    <w:basedOn w:val="a1"/>
    <w:link w:val="1"/>
    <w:uiPriority w:val="9"/>
    <w:rsid w:val="00E661D5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661D5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661D5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E661D5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E661D5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E661D5"/>
    <w:rPr>
      <w:rFonts w:ascii="Arial" w:eastAsia="Times New Roman" w:hAnsi="Arial" w:cs="Arial"/>
      <w:color w:val="00000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661D5"/>
  </w:style>
  <w:style w:type="paragraph" w:styleId="ac">
    <w:name w:val="No Spacing"/>
    <w:uiPriority w:val="99"/>
    <w:qFormat/>
    <w:rsid w:val="00E661D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1"/>
    <w:uiPriority w:val="99"/>
    <w:semiHidden/>
    <w:rsid w:val="00E661D5"/>
    <w:rPr>
      <w:rFonts w:cs="Times New Roman"/>
      <w:vertAlign w:val="superscript"/>
    </w:rPr>
  </w:style>
  <w:style w:type="paragraph" w:styleId="ae">
    <w:name w:val="Body Text"/>
    <w:basedOn w:val="a0"/>
    <w:link w:val="af"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0">
    <w:name w:val="Hyperlink"/>
    <w:basedOn w:val="a1"/>
    <w:uiPriority w:val="99"/>
    <w:rsid w:val="00E661D5"/>
    <w:rPr>
      <w:rFonts w:cs="Times New Roman"/>
      <w:color w:val="0000FF"/>
      <w:u w:val="single"/>
    </w:rPr>
  </w:style>
  <w:style w:type="character" w:styleId="af1">
    <w:name w:val="footnote reference"/>
    <w:basedOn w:val="a1"/>
    <w:uiPriority w:val="99"/>
    <w:semiHidden/>
    <w:rsid w:val="00E661D5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661D5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лит+нумерация"/>
    <w:basedOn w:val="a0"/>
    <w:next w:val="a0"/>
    <w:autoRedefine/>
    <w:uiPriority w:val="99"/>
    <w:rsid w:val="00E661D5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f3">
    <w:name w:val="литера"/>
    <w:uiPriority w:val="99"/>
    <w:rsid w:val="00E661D5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f4">
    <w:name w:val="caption"/>
    <w:basedOn w:val="a0"/>
    <w:next w:val="a0"/>
    <w:uiPriority w:val="99"/>
    <w:qFormat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page number"/>
    <w:basedOn w:val="a1"/>
    <w:uiPriority w:val="99"/>
    <w:rsid w:val="00E661D5"/>
    <w:rPr>
      <w:rFonts w:ascii="Times New Roman" w:hAnsi="Times New Roman" w:cs="Times New Roman"/>
      <w:sz w:val="28"/>
      <w:szCs w:val="28"/>
    </w:rPr>
  </w:style>
  <w:style w:type="character" w:customStyle="1" w:styleId="af6">
    <w:name w:val="номер страницы"/>
    <w:basedOn w:val="a1"/>
    <w:uiPriority w:val="99"/>
    <w:rsid w:val="00E661D5"/>
    <w:rPr>
      <w:rFonts w:cs="Times New Roman"/>
      <w:sz w:val="28"/>
      <w:szCs w:val="28"/>
    </w:rPr>
  </w:style>
  <w:style w:type="paragraph" w:styleId="af7">
    <w:name w:val="Normal (Web)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customStyle="1" w:styleId="af8">
    <w:name w:val="Обычный +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3">
    <w:name w:val="toc 1"/>
    <w:basedOn w:val="a0"/>
    <w:next w:val="a0"/>
    <w:autoRedefine/>
    <w:uiPriority w:val="99"/>
    <w:semiHidden/>
    <w:rsid w:val="00E661D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E661D5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9">
    <w:name w:val="Body Text Indent"/>
    <w:basedOn w:val="a0"/>
    <w:link w:val="afa"/>
    <w:uiPriority w:val="99"/>
    <w:rsid w:val="00E661D5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E661D5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E661D5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661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размещено"/>
    <w:basedOn w:val="a0"/>
    <w:autoRedefine/>
    <w:uiPriority w:val="99"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c">
    <w:name w:val="Table Grid"/>
    <w:basedOn w:val="a2"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одержание"/>
    <w:uiPriority w:val="99"/>
    <w:rsid w:val="00E661D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E661D5"/>
    <w:pPr>
      <w:numPr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661D5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661D5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661D5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661D5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4">
    <w:name w:val="Стиль таблицы1"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E661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E661D5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0">
    <w:name w:val="endnote text"/>
    <w:basedOn w:val="a0"/>
    <w:link w:val="aff1"/>
    <w:autoRedefine/>
    <w:uiPriority w:val="99"/>
    <w:semiHidden/>
    <w:rsid w:val="00E661D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661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2">
    <w:name w:val="footnote text"/>
    <w:basedOn w:val="a0"/>
    <w:link w:val="aff3"/>
    <w:autoRedefine/>
    <w:uiPriority w:val="99"/>
    <w:semiHidden/>
    <w:rsid w:val="00E661D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uiPriority w:val="99"/>
    <w:rsid w:val="00E66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титут"/>
    <w:autoRedefine/>
    <w:uiPriority w:val="99"/>
    <w:rsid w:val="00E661D5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E661D5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E661D5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E661D5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E661D5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E661D5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E661D5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E661D5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467FBB"/>
  </w:style>
  <w:style w:type="table" w:customStyle="1" w:styleId="15">
    <w:name w:val="Сетка таблицы1"/>
    <w:basedOn w:val="a2"/>
    <w:next w:val="afc"/>
    <w:uiPriority w:val="99"/>
    <w:locked/>
    <w:rsid w:val="00467FB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0">
    <w:name w:val="Стиль таблицы11"/>
    <w:uiPriority w:val="99"/>
    <w:rsid w:val="00467FB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2016-12-03T11:20:00Z</dcterms:created>
  <dcterms:modified xsi:type="dcterms:W3CDTF">2016-12-03T12:23:00Z</dcterms:modified>
</cp:coreProperties>
</file>