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C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8A5" w:rsidRPr="004B083C">
        <w:rPr>
          <w:rFonts w:ascii="Times New Roman" w:hAnsi="Times New Roman" w:cs="Times New Roman"/>
          <w:sz w:val="28"/>
          <w:szCs w:val="28"/>
        </w:rPr>
        <w:t>Уставный капитал акционерного общества состоит из 1 млн. обыкновенных акций номиналом 1 руб. Общество решает разместить облигации, конвертируемые в 10 тыс. привилегированных акций, номинальной стоимостью 10 руб. изменится ли после конвертации всех облигаций уставный капитал общества и каким образом?</w:t>
      </w:r>
    </w:p>
    <w:p w:rsidR="00431105" w:rsidRDefault="00431105" w:rsidP="0043110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31105" w:rsidRDefault="006A3901" w:rsidP="0043110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01">
        <w:rPr>
          <w:rFonts w:ascii="Times New Roman" w:hAnsi="Times New Roman" w:cs="Times New Roman"/>
          <w:sz w:val="28"/>
          <w:szCs w:val="28"/>
        </w:rPr>
        <w:t>Уставный капитал акционерного о</w:t>
      </w:r>
      <w:r w:rsidR="00431105">
        <w:rPr>
          <w:rFonts w:ascii="Times New Roman" w:hAnsi="Times New Roman" w:cs="Times New Roman"/>
          <w:sz w:val="28"/>
          <w:szCs w:val="28"/>
        </w:rPr>
        <w:t>бщества составляет 1 млн. руб</w:t>
      </w:r>
      <w:r w:rsidRPr="006A3901">
        <w:rPr>
          <w:rFonts w:ascii="Times New Roman" w:hAnsi="Times New Roman" w:cs="Times New Roman"/>
          <w:sz w:val="28"/>
          <w:szCs w:val="28"/>
        </w:rPr>
        <w:t>.</w:t>
      </w:r>
    </w:p>
    <w:p w:rsidR="006A3901" w:rsidRDefault="006A3901" w:rsidP="00431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01">
        <w:rPr>
          <w:rFonts w:ascii="Times New Roman" w:hAnsi="Times New Roman" w:cs="Times New Roman"/>
          <w:sz w:val="28"/>
          <w:szCs w:val="28"/>
        </w:rPr>
        <w:t>После выпуска облигаций, конвертируемых в 10 тыс. привилегированных акций,</w:t>
      </w:r>
      <w:r w:rsidR="0043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01">
        <w:rPr>
          <w:rFonts w:ascii="Times New Roman" w:hAnsi="Times New Roman" w:cs="Times New Roman"/>
          <w:sz w:val="28"/>
          <w:szCs w:val="28"/>
        </w:rPr>
        <w:t>номинальной стоимостью 10 руб. уставный капитал вырастет на общую сумму</w:t>
      </w:r>
      <w:r w:rsidR="0043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901">
        <w:rPr>
          <w:rFonts w:ascii="Times New Roman" w:hAnsi="Times New Roman" w:cs="Times New Roman"/>
          <w:sz w:val="28"/>
          <w:szCs w:val="28"/>
        </w:rPr>
        <w:t>конвертируемы</w:t>
      </w:r>
      <w:r w:rsidR="00431105">
        <w:rPr>
          <w:rFonts w:ascii="Times New Roman" w:hAnsi="Times New Roman" w:cs="Times New Roman"/>
          <w:sz w:val="28"/>
          <w:szCs w:val="28"/>
        </w:rPr>
        <w:t>х акций, т.е. на 100 тыс. руб.</w:t>
      </w:r>
      <w:r w:rsidRPr="006A3901">
        <w:rPr>
          <w:rFonts w:ascii="Times New Roman" w:hAnsi="Times New Roman" w:cs="Times New Roman"/>
          <w:sz w:val="28"/>
          <w:szCs w:val="28"/>
        </w:rPr>
        <w:t xml:space="preserve"> и будет составлять 1</w:t>
      </w:r>
      <w:r w:rsidR="00431105">
        <w:rPr>
          <w:rFonts w:ascii="Times New Roman" w:hAnsi="Times New Roman" w:cs="Times New Roman"/>
          <w:sz w:val="28"/>
          <w:szCs w:val="28"/>
        </w:rPr>
        <w:t>,1 млн. руб.</w:t>
      </w:r>
    </w:p>
    <w:p w:rsidR="00431105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0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уставный капитал вырастет на 100 тыс. руб.</w:t>
      </w:r>
    </w:p>
    <w:p w:rsidR="00431105" w:rsidRDefault="0043110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39" w:rsidRPr="00431105" w:rsidRDefault="00882235" w:rsidP="004311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8A5" w:rsidRPr="00E57330">
        <w:rPr>
          <w:rFonts w:ascii="Times New Roman" w:hAnsi="Times New Roman" w:cs="Times New Roman"/>
          <w:sz w:val="28"/>
          <w:szCs w:val="28"/>
        </w:rPr>
        <w:t>Заемщик берет кредит в банке под 18% годовых на три года на сумму 15,0 млн. рублей. Рассчитайте ежемесячные выплаты и общую сумму долга за весь период методом дифференцированного платежа.</w:t>
      </w:r>
    </w:p>
    <w:p w:rsidR="00652339" w:rsidRDefault="00652339" w:rsidP="006523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52339" w:rsidRDefault="00652339" w:rsidP="00652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b/>
          <w:bCs/>
          <w:sz w:val="28"/>
          <w:szCs w:val="28"/>
        </w:rPr>
        <w:t>Дифференцированные платежи</w:t>
      </w:r>
      <w:r w:rsidRPr="00652339">
        <w:rPr>
          <w:rFonts w:ascii="Times New Roman" w:hAnsi="Times New Roman" w:cs="Times New Roman"/>
          <w:sz w:val="28"/>
          <w:szCs w:val="28"/>
        </w:rPr>
        <w:t> представляют собой неравновеликие ежемесячные выплаты, уменьшающиеся в течение срока кредитования.</w:t>
      </w:r>
    </w:p>
    <w:p w:rsidR="00652339" w:rsidRDefault="00652339" w:rsidP="00652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39">
        <w:rPr>
          <w:rFonts w:ascii="Times New Roman" w:hAnsi="Times New Roman" w:cs="Times New Roman"/>
          <w:sz w:val="28"/>
          <w:szCs w:val="28"/>
        </w:rPr>
        <w:t>При этом весь долг делится на равные части и ежемесячная выплата основного долга не меняется.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339">
        <w:rPr>
          <w:rFonts w:ascii="Times New Roman" w:hAnsi="Times New Roman" w:cs="Times New Roman"/>
          <w:sz w:val="28"/>
          <w:szCs w:val="28"/>
        </w:rPr>
        <w:t>Е</w:t>
      </w:r>
      <w:r w:rsidR="00652339" w:rsidRPr="00652339">
        <w:rPr>
          <w:rFonts w:ascii="Times New Roman" w:hAnsi="Times New Roman" w:cs="Times New Roman"/>
          <w:sz w:val="28"/>
          <w:szCs w:val="28"/>
        </w:rPr>
        <w:t xml:space="preserve">жемесячная сумма погашения основного долга будет </w:t>
      </w:r>
      <w:r w:rsidR="00652339">
        <w:rPr>
          <w:rFonts w:ascii="Times New Roman" w:hAnsi="Times New Roman" w:cs="Times New Roman"/>
          <w:sz w:val="28"/>
          <w:szCs w:val="28"/>
        </w:rPr>
        <w:t>составлять</w:t>
      </w:r>
      <w:r w:rsidR="00652339" w:rsidRPr="00652339">
        <w:rPr>
          <w:rFonts w:ascii="Times New Roman" w:hAnsi="Times New Roman" w:cs="Times New Roman"/>
          <w:sz w:val="28"/>
          <w:szCs w:val="28"/>
        </w:rPr>
        <w:t>:</w:t>
      </w:r>
    </w:p>
    <w:p w:rsid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947">
        <w:rPr>
          <w:rFonts w:ascii="Times New Roman" w:hAnsi="Times New Roman" w:cs="Times New Roman"/>
          <w:position w:val="-24"/>
          <w:sz w:val="28"/>
          <w:szCs w:val="28"/>
        </w:rPr>
        <w:object w:dxaOrig="4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1.5pt" o:ole="">
            <v:imagedata r:id="rId9" o:title=""/>
          </v:shape>
          <o:OLEObject Type="Embed" ProgID="Equation.3" ShapeID="_x0000_i1025" DrawAspect="Content" ObjectID="_1507069510" r:id="rId10"/>
        </w:object>
      </w:r>
    </w:p>
    <w:p w:rsidR="008420A8" w:rsidRPr="008420A8" w:rsidRDefault="008420A8" w:rsidP="008420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 xml:space="preserve">где </w:t>
      </w:r>
      <w:r w:rsidRPr="008420A8">
        <w:rPr>
          <w:rFonts w:ascii="Times New Roman" w:hAnsi="Times New Roman" w:cs="Times New Roman"/>
          <w:i/>
          <w:sz w:val="28"/>
          <w:szCs w:val="28"/>
        </w:rPr>
        <w:t>D</w:t>
      </w:r>
      <w:r w:rsidRPr="008420A8">
        <w:rPr>
          <w:rFonts w:ascii="Times New Roman" w:hAnsi="Times New Roman" w:cs="Times New Roman"/>
          <w:sz w:val="28"/>
          <w:szCs w:val="28"/>
        </w:rPr>
        <w:t xml:space="preserve"> - величина кредита, </w:t>
      </w:r>
      <w:r>
        <w:rPr>
          <w:rFonts w:ascii="Times New Roman" w:hAnsi="Times New Roman" w:cs="Times New Roman"/>
          <w:sz w:val="28"/>
          <w:szCs w:val="28"/>
        </w:rPr>
        <w:t xml:space="preserve">руб.; </w:t>
      </w:r>
      <w:r w:rsidRPr="008420A8">
        <w:rPr>
          <w:rFonts w:ascii="Times New Roman" w:hAnsi="Times New Roman" w:cs="Times New Roman"/>
          <w:i/>
          <w:sz w:val="28"/>
          <w:szCs w:val="28"/>
        </w:rPr>
        <w:t>m</w:t>
      </w:r>
      <w:r w:rsidRPr="008420A8">
        <w:rPr>
          <w:rFonts w:ascii="Times New Roman" w:hAnsi="Times New Roman" w:cs="Times New Roman"/>
          <w:sz w:val="28"/>
          <w:szCs w:val="28"/>
        </w:rPr>
        <w:t> - число погасительных пла</w:t>
      </w:r>
      <w:r>
        <w:rPr>
          <w:rFonts w:ascii="Times New Roman" w:hAnsi="Times New Roman" w:cs="Times New Roman"/>
          <w:sz w:val="28"/>
          <w:szCs w:val="28"/>
        </w:rPr>
        <w:t xml:space="preserve">тежей в году; </w:t>
      </w:r>
      <w:r w:rsidRPr="008420A8">
        <w:rPr>
          <w:rFonts w:ascii="Times New Roman" w:hAnsi="Times New Roman" w:cs="Times New Roman"/>
          <w:i/>
          <w:sz w:val="28"/>
          <w:szCs w:val="28"/>
        </w:rPr>
        <w:t>n</w:t>
      </w:r>
      <w:r w:rsidRPr="008420A8">
        <w:rPr>
          <w:rFonts w:ascii="Times New Roman" w:hAnsi="Times New Roman" w:cs="Times New Roman"/>
          <w:sz w:val="28"/>
          <w:szCs w:val="28"/>
        </w:rPr>
        <w:t> – срок погашения кредита в годах.</w:t>
      </w:r>
    </w:p>
    <w:p w:rsidR="00433947" w:rsidRP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3947">
        <w:rPr>
          <w:rFonts w:ascii="Times New Roman" w:hAnsi="Times New Roman" w:cs="Times New Roman"/>
          <w:sz w:val="28"/>
          <w:szCs w:val="28"/>
        </w:rPr>
        <w:t>Рассчитаем ежемесячные процентные платежи.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Процентный платёж для первого месяца найдём по формуле:</w:t>
      </w:r>
    </w:p>
    <w:p w:rsidR="00433947" w:rsidRPr="00433947" w:rsidRDefault="00433947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position w:val="-24"/>
          <w:sz w:val="28"/>
          <w:szCs w:val="28"/>
        </w:rPr>
        <w:object w:dxaOrig="4160" w:dyaOrig="620">
          <v:shape id="_x0000_i1026" type="#_x0000_t75" style="width:207.75pt;height:31.5pt" o:ole="">
            <v:imagedata r:id="rId11" o:title=""/>
          </v:shape>
          <o:OLEObject Type="Embed" ProgID="Equation.3" ShapeID="_x0000_i1026" DrawAspect="Content" ObjectID="_1507069511" r:id="rId12"/>
        </w:object>
      </w:r>
    </w:p>
    <w:p w:rsidR="00433947" w:rsidRP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Сумма платежа к погашению за первый месяц будет равна:</w:t>
      </w:r>
    </w:p>
    <w:p w:rsid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 + 225000 = 641667</w:t>
      </w:r>
      <w:r w:rsidR="004339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3BAF" w:rsidRDefault="003C3BAF" w:rsidP="003C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задолженности на конец первого месяца будет составлять:</w:t>
      </w:r>
    </w:p>
    <w:p w:rsidR="003C3BAF" w:rsidRPr="00433947" w:rsidRDefault="00882235" w:rsidP="004339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15000000 – 416667</w:t>
      </w:r>
      <w:r w:rsidR="003C3BAF">
        <w:rPr>
          <w:rFonts w:ascii="Times New Roman" w:hAnsi="Times New Roman" w:cs="Times New Roman"/>
          <w:sz w:val="28"/>
          <w:szCs w:val="28"/>
        </w:rPr>
        <w:t xml:space="preserve"> = 14</w:t>
      </w:r>
      <w:r>
        <w:rPr>
          <w:rFonts w:ascii="Times New Roman" w:hAnsi="Times New Roman" w:cs="Times New Roman"/>
          <w:sz w:val="28"/>
          <w:szCs w:val="28"/>
        </w:rPr>
        <w:t>583333</w:t>
      </w:r>
      <w:r w:rsidR="003C3BAF">
        <w:rPr>
          <w:rFonts w:ascii="Times New Roman" w:hAnsi="Times New Roman" w:cs="Times New Roman"/>
          <w:sz w:val="28"/>
          <w:szCs w:val="28"/>
        </w:rPr>
        <w:t>руб.</w:t>
      </w:r>
    </w:p>
    <w:p w:rsidR="00433947" w:rsidRDefault="00433947" w:rsidP="00433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47">
        <w:rPr>
          <w:rFonts w:ascii="Times New Roman" w:hAnsi="Times New Roman" w:cs="Times New Roman"/>
          <w:sz w:val="28"/>
          <w:szCs w:val="28"/>
        </w:rPr>
        <w:t>Процентный платёж для второго месяца вычисляется по формуле:</w:t>
      </w:r>
    </w:p>
    <w:p w:rsidR="00F03CF1" w:rsidRDefault="00F03CF1" w:rsidP="00F03C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F1">
        <w:rPr>
          <w:rFonts w:ascii="Times New Roman" w:hAnsi="Times New Roman" w:cs="Times New Roman"/>
          <w:position w:val="-24"/>
          <w:sz w:val="28"/>
          <w:szCs w:val="28"/>
        </w:rPr>
        <w:object w:dxaOrig="4180" w:dyaOrig="620">
          <v:shape id="_x0000_i1027" type="#_x0000_t75" style="width:208.5pt;height:31.5pt" o:ole="">
            <v:imagedata r:id="rId13" o:title=""/>
          </v:shape>
          <o:OLEObject Type="Embed" ProgID="Equation.3" ShapeID="_x0000_i1027" DrawAspect="Content" ObjectID="_1507069512" r:id="rId14"/>
        </w:object>
      </w:r>
    </w:p>
    <w:p w:rsidR="008420A8" w:rsidRP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Сумма платежа к погашению во втором месяце будет равна: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</w:t>
      </w:r>
      <w:r w:rsidR="008420A8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</w:rPr>
        <w:t>18750 = 635417</w:t>
      </w:r>
      <w:r w:rsidR="008420A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03CF1" w:rsidRDefault="00F03CF1" w:rsidP="00F03C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Остаток задолженности на конец второго периода:</w:t>
      </w:r>
    </w:p>
    <w:p w:rsidR="00F03CF1" w:rsidRP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14583333 – 416667 = 14166666 руб.</w:t>
      </w:r>
    </w:p>
    <w:p w:rsid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Процентный платёж для третьего месяца вычисляется по формуле: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F1">
        <w:rPr>
          <w:rFonts w:ascii="Times New Roman" w:hAnsi="Times New Roman" w:cs="Times New Roman"/>
          <w:position w:val="-24"/>
          <w:sz w:val="28"/>
          <w:szCs w:val="28"/>
        </w:rPr>
        <w:object w:dxaOrig="4180" w:dyaOrig="620">
          <v:shape id="_x0000_i1028" type="#_x0000_t75" style="width:208.5pt;height:31.5pt" o:ole="">
            <v:imagedata r:id="rId15" o:title=""/>
          </v:shape>
          <o:OLEObject Type="Embed" ProgID="Equation.3" ShapeID="_x0000_i1028" DrawAspect="Content" ObjectID="_1507069513" r:id="rId16"/>
        </w:object>
      </w:r>
    </w:p>
    <w:p w:rsidR="008420A8" w:rsidRPr="008420A8" w:rsidRDefault="008420A8" w:rsidP="00842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A8">
        <w:rPr>
          <w:rFonts w:ascii="Times New Roman" w:hAnsi="Times New Roman" w:cs="Times New Roman"/>
          <w:sz w:val="28"/>
          <w:szCs w:val="28"/>
        </w:rPr>
        <w:t>Сумма платежа к погашению в третьем месяце будет равна:</w:t>
      </w:r>
    </w:p>
    <w:p w:rsidR="008420A8" w:rsidRDefault="00F03CF1" w:rsidP="008420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416667</w:t>
      </w:r>
      <w:r w:rsidR="008420A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212500</w:t>
      </w:r>
      <w:r w:rsidR="008420A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629167</w:t>
      </w:r>
      <w:r w:rsidR="008420A8">
        <w:rPr>
          <w:rFonts w:ascii="Times New Roman" w:hAnsi="Times New Roman" w:cs="Times New Roman"/>
          <w:sz w:val="28"/>
          <w:szCs w:val="28"/>
        </w:rPr>
        <w:t xml:space="preserve"> руб.</w:t>
      </w:r>
      <w:r w:rsidR="00D0738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03CF1" w:rsidRDefault="00F03CF1" w:rsidP="00F03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сумма долга будет составлять 19162500 руб.</w:t>
      </w:r>
    </w:p>
    <w:tbl>
      <w:tblPr>
        <w:tblW w:w="0" w:type="auto"/>
        <w:tblCellSpacing w:w="15" w:type="dxa"/>
        <w:tblBorders>
          <w:bottom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147"/>
        <w:gridCol w:w="1388"/>
        <w:gridCol w:w="1270"/>
        <w:gridCol w:w="1710"/>
        <w:gridCol w:w="2147"/>
      </w:tblGrid>
      <w:tr w:rsidR="001D4385" w:rsidRPr="001D4385" w:rsidTr="001D4385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Остаток задолженности на начало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Платежи за 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Суммарный платеж за месяц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2" w:space="0" w:color="C0C0C0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Остаток задолженности на конец периода</w:t>
            </w:r>
          </w:p>
        </w:tc>
      </w:tr>
      <w:tr w:rsidR="001D4385" w:rsidRPr="001D4385" w:rsidTr="001D4385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сумма процентов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2" w:space="0" w:color="C0C0C0"/>
              <w:bottom w:val="single" w:sz="6" w:space="0" w:color="555555"/>
              <w:right w:val="single" w:sz="2" w:space="0" w:color="C0C0C0"/>
            </w:tcBorders>
            <w:shd w:val="clear" w:color="auto" w:fill="9999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основной платеж</w:t>
            </w:r>
          </w:p>
        </w:tc>
        <w:tc>
          <w:tcPr>
            <w:tcW w:w="0" w:type="auto"/>
            <w:vMerge/>
            <w:tcBorders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C0C0C0"/>
              <w:bottom w:val="single" w:sz="6" w:space="0" w:color="555555"/>
              <w:right w:val="single" w:sz="2" w:space="0" w:color="C0C0C0"/>
            </w:tcBorders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206 250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193 750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610 417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604 167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597 917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591 667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168 750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585 417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162 500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579 167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572 917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143 750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554 167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131 250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547 917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93 750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510 417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504 167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497 917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491 667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4 583 333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4 583 333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485 417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4 166 667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4 166 667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479 167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3 750 000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3 750 000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472 917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3 333 333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3 333 333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2 916 667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2 916 667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43 750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460 417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454 167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2 083 333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2 083 333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31 250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447 917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1 666 667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1 666 667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441 667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435 417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833 333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833 333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429 167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6" w:space="0" w:color="CCCCCC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416 667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422 917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385" w:rsidRPr="001D4385" w:rsidTr="001D4385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1D4385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4162500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19162500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12" w:space="0" w:color="555555"/>
              <w:right w:val="single" w:sz="2" w:space="0" w:color="C0C0C0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385" w:rsidRPr="00F8286A" w:rsidRDefault="001D4385" w:rsidP="001D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86FAF" w:rsidRDefault="00F03CF1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2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330">
        <w:rPr>
          <w:rFonts w:ascii="Times New Roman" w:hAnsi="Times New Roman" w:cs="Times New Roman"/>
          <w:sz w:val="28"/>
          <w:szCs w:val="28"/>
        </w:rPr>
        <w:t>ежемесячные выплаты</w:t>
      </w:r>
      <w:r w:rsidR="00486FAF">
        <w:rPr>
          <w:rFonts w:ascii="Times New Roman" w:hAnsi="Times New Roman" w:cs="Times New Roman"/>
          <w:sz w:val="28"/>
          <w:szCs w:val="28"/>
        </w:rPr>
        <w:t xml:space="preserve"> будут составлять 416667 руб., а</w:t>
      </w:r>
      <w:r w:rsidRPr="00E57330">
        <w:rPr>
          <w:rFonts w:ascii="Times New Roman" w:hAnsi="Times New Roman" w:cs="Times New Roman"/>
          <w:sz w:val="28"/>
          <w:szCs w:val="28"/>
        </w:rPr>
        <w:t xml:space="preserve"> общ</w:t>
      </w:r>
      <w:r w:rsidR="00486FAF">
        <w:rPr>
          <w:rFonts w:ascii="Times New Roman" w:hAnsi="Times New Roman" w:cs="Times New Roman"/>
          <w:sz w:val="28"/>
          <w:szCs w:val="28"/>
        </w:rPr>
        <w:t>ая</w:t>
      </w:r>
      <w:r w:rsidRPr="00E57330">
        <w:rPr>
          <w:rFonts w:ascii="Times New Roman" w:hAnsi="Times New Roman" w:cs="Times New Roman"/>
          <w:sz w:val="28"/>
          <w:szCs w:val="28"/>
        </w:rPr>
        <w:t xml:space="preserve"> сумму долга за весь период</w:t>
      </w:r>
      <w:r w:rsidR="00486FAF">
        <w:rPr>
          <w:rFonts w:ascii="Times New Roman" w:hAnsi="Times New Roman" w:cs="Times New Roman"/>
          <w:sz w:val="28"/>
          <w:szCs w:val="28"/>
        </w:rPr>
        <w:t xml:space="preserve"> – 19162500 руб.</w:t>
      </w:r>
      <w:r w:rsidRPr="00E5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AF" w:rsidRDefault="00486FAF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F8286A" w:rsidP="00F8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Банк выдал кредит 01.03.11 г. физическому лицу в размере 100 тыс. руб. на 4 года и сформировал резерв </w:t>
      </w:r>
      <w:r w:rsidR="008C78A5" w:rsidRPr="00E5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 категории качества ссуды в 3%. Заемщик произвел выплату по кредиту в размере 12 тыс. руб. Банк должен произвести расчет резерва по остатку долга перед банком. Чему будет равен резерв на 01.01.12 г.?</w:t>
      </w:r>
    </w:p>
    <w:p w:rsidR="00F8286A" w:rsidRDefault="00F8286A" w:rsidP="009669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B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27B2A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7B2A">
        <w:rPr>
          <w:rFonts w:ascii="Times New Roman" w:hAnsi="Times New Roman" w:cs="Times New Roman"/>
          <w:sz w:val="28"/>
          <w:szCs w:val="28"/>
        </w:rPr>
        <w:t>В день выдачи кредита формируется резерв в размере 100000 х 3% = 3000 руб.</w:t>
      </w:r>
    </w:p>
    <w:p w:rsidR="00127B2A" w:rsidRDefault="00127B2A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3842">
        <w:rPr>
          <w:rFonts w:ascii="Times New Roman" w:hAnsi="Times New Roman" w:cs="Times New Roman"/>
          <w:sz w:val="28"/>
          <w:szCs w:val="28"/>
        </w:rPr>
        <w:t xml:space="preserve">Заемщик произвел выплату по кредиту в размере 12 тыс. руб. </w:t>
      </w:r>
      <w:r w:rsidR="002024DD">
        <w:rPr>
          <w:rFonts w:ascii="Times New Roman" w:hAnsi="Times New Roman" w:cs="Times New Roman"/>
          <w:sz w:val="28"/>
          <w:szCs w:val="28"/>
        </w:rPr>
        <w:t>Тогда о</w:t>
      </w:r>
      <w:r>
        <w:rPr>
          <w:rFonts w:ascii="Times New Roman" w:hAnsi="Times New Roman" w:cs="Times New Roman"/>
          <w:sz w:val="28"/>
          <w:szCs w:val="28"/>
        </w:rPr>
        <w:t>сновной долг будет составлять: 100000 – 12000 = 88000 руб.</w:t>
      </w:r>
    </w:p>
    <w:p w:rsidR="009669B2" w:rsidRDefault="002024DD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выплаты больше не проводились, то резерв на </w:t>
      </w:r>
      <w:r w:rsidR="009669B2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69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9B2">
        <w:rPr>
          <w:rFonts w:ascii="Times New Roman" w:hAnsi="Times New Roman" w:cs="Times New Roman"/>
          <w:sz w:val="28"/>
          <w:szCs w:val="28"/>
        </w:rPr>
        <w:t xml:space="preserve"> </w:t>
      </w:r>
      <w:r w:rsidR="00083842">
        <w:rPr>
          <w:rFonts w:ascii="Times New Roman" w:hAnsi="Times New Roman" w:cs="Times New Roman"/>
          <w:sz w:val="28"/>
          <w:szCs w:val="28"/>
        </w:rPr>
        <w:t>будет составлять:</w:t>
      </w:r>
    </w:p>
    <w:p w:rsidR="00083842" w:rsidRDefault="00127B2A" w:rsidP="000838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88000</w:t>
      </w:r>
      <w:r w:rsidR="00083842">
        <w:rPr>
          <w:rFonts w:ascii="Times New Roman" w:hAnsi="Times New Roman" w:cs="Times New Roman"/>
          <w:sz w:val="28"/>
          <w:szCs w:val="28"/>
        </w:rPr>
        <w:t xml:space="preserve"> х 0,03 = </w:t>
      </w:r>
      <w:r>
        <w:rPr>
          <w:rFonts w:ascii="Times New Roman" w:hAnsi="Times New Roman" w:cs="Times New Roman"/>
          <w:sz w:val="28"/>
          <w:szCs w:val="28"/>
        </w:rPr>
        <w:t>2640</w:t>
      </w:r>
      <w:r w:rsidR="0008384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669B2" w:rsidRPr="009669B2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B2">
        <w:rPr>
          <w:rFonts w:ascii="Times New Roman" w:hAnsi="Times New Roman" w:cs="Times New Roman"/>
          <w:b/>
          <w:sz w:val="28"/>
          <w:szCs w:val="28"/>
        </w:rPr>
        <w:t>Ответ</w:t>
      </w:r>
      <w:r w:rsidR="002024DD">
        <w:rPr>
          <w:rFonts w:ascii="Times New Roman" w:hAnsi="Times New Roman" w:cs="Times New Roman"/>
          <w:sz w:val="28"/>
          <w:szCs w:val="28"/>
        </w:rPr>
        <w:t>: резерв на 01.01.12 г.</w:t>
      </w:r>
      <w:r w:rsidRPr="009669B2">
        <w:rPr>
          <w:rFonts w:ascii="Times New Roman" w:hAnsi="Times New Roman" w:cs="Times New Roman"/>
          <w:sz w:val="28"/>
          <w:szCs w:val="28"/>
        </w:rPr>
        <w:t xml:space="preserve"> будет равен </w:t>
      </w:r>
      <w:r w:rsidR="002024DD">
        <w:rPr>
          <w:rFonts w:ascii="Times New Roman" w:hAnsi="Times New Roman" w:cs="Times New Roman"/>
          <w:sz w:val="28"/>
          <w:szCs w:val="28"/>
        </w:rPr>
        <w:t>2640 руб.</w:t>
      </w:r>
      <w:r w:rsidRPr="00966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B2" w:rsidRPr="009669B2" w:rsidRDefault="009669B2" w:rsidP="00966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043CD8" w:rsidP="00043CD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ссудной и просроченной задол</w:t>
      </w:r>
      <w:r w:rsidR="008C78A5" w:rsidRPr="00E57330">
        <w:rPr>
          <w:rFonts w:ascii="Times New Roman" w:hAnsi="Times New Roman" w:cs="Times New Roman"/>
          <w:sz w:val="28"/>
          <w:szCs w:val="28"/>
        </w:rPr>
        <w:softHyphen/>
        <w:t>женности банка: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1039"/>
        <w:gridCol w:w="1339"/>
        <w:gridCol w:w="1266"/>
        <w:gridCol w:w="2231"/>
      </w:tblGrid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Ссудная и приравненная к ней задолженность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</w:t>
            </w:r>
          </w:p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вес, %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Просро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ченная свыше 30 дней задол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женность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Просро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ченная свыше 30 дней задол</w:t>
            </w: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женность по процентам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Кредиты, предоставленные кредитным организациям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Клиентам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30 833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Учтенные векселя кредитных организаций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Суммы, не взысканные по банковским гарантиям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Факторинг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Уступка требования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Требования по приобретенным на вторичном рынке закладным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Требования по сделкам продажи финансовых активов с отсрочкой платежа:</w:t>
            </w:r>
          </w:p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 кредитным организациям;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 клиентам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E57330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E57330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Иные требования с кредитным риском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E57330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8A5" w:rsidRPr="00C432AC" w:rsidTr="00C432AC">
        <w:trPr>
          <w:trHeight w:val="288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8A5" w:rsidRPr="00C432AC" w:rsidRDefault="008C78A5" w:rsidP="00043CD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30 833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8A5" w:rsidRPr="00C432AC" w:rsidRDefault="008C78A5" w:rsidP="00043C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32A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8C78A5" w:rsidRPr="002024DD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>Какие виды кредитов преобладают в банке (имеют наибольший удельный вес)?</w:t>
      </w:r>
    </w:p>
    <w:p w:rsidR="008C78A5" w:rsidRPr="002024DD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 xml:space="preserve">Какую долю составляют просроченные кредиты? </w:t>
      </w:r>
    </w:p>
    <w:p w:rsidR="008C78A5" w:rsidRDefault="008C78A5" w:rsidP="002024D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4DD">
        <w:rPr>
          <w:rFonts w:ascii="Times New Roman" w:hAnsi="Times New Roman" w:cs="Times New Roman"/>
          <w:sz w:val="28"/>
          <w:szCs w:val="28"/>
        </w:rPr>
        <w:t>Оцените качества кредитного портфеля банка?</w:t>
      </w:r>
    </w:p>
    <w:p w:rsidR="002024DD" w:rsidRDefault="002024DD" w:rsidP="00202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Набольший удельный вес имеют кредиты, предоставленные банком клиентам (100%). Доля просроченных кредитов в совокупных ссудных задолженн</w:t>
      </w:r>
      <w:r w:rsidR="00976423">
        <w:rPr>
          <w:rFonts w:ascii="Times New Roman" w:hAnsi="Times New Roman" w:cs="Times New Roman"/>
          <w:sz w:val="28"/>
          <w:szCs w:val="28"/>
        </w:rPr>
        <w:t xml:space="preserve">остях банка составляет (123 </w:t>
      </w:r>
      <w:r>
        <w:rPr>
          <w:rFonts w:ascii="Times New Roman" w:hAnsi="Times New Roman" w:cs="Times New Roman"/>
          <w:sz w:val="28"/>
          <w:szCs w:val="28"/>
        </w:rPr>
        <w:t>/30833) х 100% = 0,</w:t>
      </w:r>
      <w:r w:rsidR="00976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Год назад банк инвестировал средства клиента в  600 акций фирмы «Альфа» на сумму 12 480 долларов. Сумма полученных за истекший год дивидендов составила 749 долларов. Банк продал акции после выплаты дивидендов по текущей цене. Текущая цена акции – 22,5 долларов. Необходимо определить выгодность проведенной операции, рассчитав </w:t>
      </w:r>
      <w:r w:rsidR="00612625">
        <w:rPr>
          <w:rFonts w:ascii="Times New Roman" w:hAnsi="Times New Roman" w:cs="Times New Roman"/>
          <w:sz w:val="28"/>
          <w:szCs w:val="28"/>
        </w:rPr>
        <w:t xml:space="preserve"> показатели дохода и доходности.</w:t>
      </w:r>
    </w:p>
    <w:p w:rsidR="00612625" w:rsidRPr="00080991" w:rsidRDefault="00612625" w:rsidP="000809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2625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9BB" w:rsidRPr="006879BB">
        <w:rPr>
          <w:rFonts w:ascii="Times New Roman" w:hAnsi="Times New Roman" w:cs="Times New Roman"/>
          <w:sz w:val="28"/>
          <w:szCs w:val="28"/>
        </w:rPr>
        <w:t>Цена, по которой приобретены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625" w:rsidRDefault="00612625" w:rsidP="006126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приобретения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12480/600</w:t>
      </w:r>
      <w:r>
        <w:rPr>
          <w:rFonts w:ascii="Times New Roman" w:hAnsi="Times New Roman" w:cs="Times New Roman"/>
          <w:sz w:val="28"/>
          <w:szCs w:val="28"/>
        </w:rPr>
        <w:t xml:space="preserve"> =20,8 долл.</w:t>
      </w:r>
    </w:p>
    <w:p w:rsidR="00612625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79BB" w:rsidRPr="006879B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(22,5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879BB" w:rsidRPr="006879BB">
        <w:rPr>
          <w:rFonts w:ascii="Times New Roman" w:hAnsi="Times New Roman" w:cs="Times New Roman"/>
          <w:sz w:val="28"/>
          <w:szCs w:val="28"/>
        </w:rPr>
        <w:t>20,8)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="006879BB" w:rsidRPr="006879BB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1769</w:t>
      </w:r>
      <w:r>
        <w:rPr>
          <w:rFonts w:ascii="Times New Roman" w:hAnsi="Times New Roman" w:cs="Times New Roman"/>
          <w:sz w:val="28"/>
          <w:szCs w:val="28"/>
        </w:rPr>
        <w:t xml:space="preserve"> долл</w:t>
      </w:r>
      <w:r w:rsidR="006879BB" w:rsidRPr="006879BB">
        <w:rPr>
          <w:rFonts w:ascii="Times New Roman" w:hAnsi="Times New Roman" w:cs="Times New Roman"/>
          <w:sz w:val="28"/>
          <w:szCs w:val="28"/>
        </w:rPr>
        <w:t>.</w:t>
      </w:r>
    </w:p>
    <w:p w:rsidR="006879BB" w:rsidRDefault="00612625" w:rsidP="00612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9BB" w:rsidRPr="006879BB">
        <w:rPr>
          <w:rFonts w:ascii="Times New Roman" w:hAnsi="Times New Roman" w:cs="Times New Roman"/>
          <w:sz w:val="28"/>
          <w:szCs w:val="28"/>
        </w:rPr>
        <w:t>Доходность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BB" w:rsidRPr="006879BB">
        <w:rPr>
          <w:rFonts w:ascii="Times New Roman" w:hAnsi="Times New Roman" w:cs="Times New Roman"/>
          <w:sz w:val="28"/>
          <w:szCs w:val="28"/>
        </w:rPr>
        <w:t>1769</w:t>
      </w:r>
      <w:r>
        <w:rPr>
          <w:rFonts w:ascii="Times New Roman" w:hAnsi="Times New Roman" w:cs="Times New Roman"/>
          <w:sz w:val="28"/>
          <w:szCs w:val="28"/>
        </w:rPr>
        <w:t>/</w:t>
      </w:r>
      <w:r w:rsidR="006879BB" w:rsidRPr="006879BB">
        <w:rPr>
          <w:rFonts w:ascii="Times New Roman" w:hAnsi="Times New Roman" w:cs="Times New Roman"/>
          <w:sz w:val="28"/>
          <w:szCs w:val="28"/>
        </w:rPr>
        <w:t>12480</w:t>
      </w:r>
      <w:r w:rsidR="00080991">
        <w:rPr>
          <w:rFonts w:ascii="Times New Roman" w:hAnsi="Times New Roman" w:cs="Times New Roman"/>
          <w:sz w:val="28"/>
          <w:szCs w:val="28"/>
        </w:rPr>
        <w:t xml:space="preserve"> х 100% </w:t>
      </w:r>
      <w:r w:rsidR="006879BB" w:rsidRPr="006879BB">
        <w:rPr>
          <w:rFonts w:ascii="Times New Roman" w:hAnsi="Times New Roman" w:cs="Times New Roman"/>
          <w:sz w:val="28"/>
          <w:szCs w:val="28"/>
        </w:rPr>
        <w:t>=14,2%</w:t>
      </w:r>
      <w:r w:rsidR="00080991">
        <w:rPr>
          <w:rFonts w:ascii="Times New Roman" w:hAnsi="Times New Roman" w:cs="Times New Roman"/>
          <w:sz w:val="28"/>
          <w:szCs w:val="28"/>
        </w:rPr>
        <w:t>.</w:t>
      </w:r>
    </w:p>
    <w:p w:rsidR="00E73C5B" w:rsidRDefault="00080991" w:rsidP="0008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 от проведенной операции будет составлять 1769 долл., а доходность 14,2%.</w:t>
      </w:r>
    </w:p>
    <w:p w:rsidR="00E73C5B" w:rsidRDefault="00E73C5B" w:rsidP="00E73C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C78A5" w:rsidRPr="00E57330">
        <w:rPr>
          <w:rFonts w:ascii="Times New Roman" w:hAnsi="Times New Roman" w:cs="Times New Roman"/>
          <w:sz w:val="28"/>
          <w:szCs w:val="28"/>
        </w:rPr>
        <w:t>Спекулянт взял взаймы 1 млн. рублей под 18% годовых. На всю сумму он приобрел доллары США по курсу 24,44 руб./доллар, а через год продал их за 33,47 руб./доллар. Какую доходность в рублях получил спекулянт от вложений в валюту после погашения кредита и уплаты по нему процентов?</w:t>
      </w:r>
    </w:p>
    <w:p w:rsidR="00080991" w:rsidRPr="00080991" w:rsidRDefault="00080991" w:rsidP="000809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Взяв взаймы 1 млн. руб., спекулянт приобрел 40917 (1000000/24,44) долл.</w:t>
      </w:r>
    </w:p>
    <w:p w:rsidR="00080991" w:rsidRDefault="00080991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Через 1 год спекулянт продал эту сумму долларов по курсу 33,47 руб./долл. Следовательно, спекулянт получит:</w:t>
      </w:r>
    </w:p>
    <w:p w:rsidR="00080991" w:rsidRDefault="00080991" w:rsidP="00080991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40917 х 33,47 = 1369492 руб.</w:t>
      </w:r>
    </w:p>
    <w:p w:rsidR="00080991" w:rsidRDefault="00080991" w:rsidP="00080991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7579">
        <w:rPr>
          <w:rFonts w:ascii="Times New Roman" w:hAnsi="Times New Roman" w:cs="Times New Roman"/>
          <w:sz w:val="28"/>
          <w:szCs w:val="28"/>
        </w:rPr>
        <w:t>Из этой суммы спекулянт должен погасить кредит в размере 1000000 руб. и проценты по нему в размере 180000 (1000000 х 18/100) руб. Следовательно, общая сумма долга будет составлять 1000000 + 180000 = 1180000 руб.</w:t>
      </w:r>
    </w:p>
    <w:p w:rsidR="00A37579" w:rsidRDefault="00A37579" w:rsidP="00080991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Доходность операции будет составлять: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1369492 – 1180000 = 189492 руб.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спекулянта от проведенной операции составляет 189492 руб.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79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Предприятию выдан кредит в сумме 1 млн. рублей на шесть месяцев (с 01.01.12 по  01.06.12) с уплатой процентов из расчета 15% годовых. Уплата </w:t>
      </w:r>
      <w:r>
        <w:rPr>
          <w:rFonts w:ascii="Times New Roman" w:hAnsi="Times New Roman" w:cs="Times New Roman"/>
          <w:sz w:val="28"/>
          <w:szCs w:val="28"/>
        </w:rPr>
        <w:t xml:space="preserve">процентов производится ежеквартально. Определить сумму процентов, </w:t>
      </w:r>
      <w:r w:rsidR="008C78A5" w:rsidRPr="00E57330">
        <w:rPr>
          <w:rFonts w:ascii="Times New Roman" w:hAnsi="Times New Roman" w:cs="Times New Roman"/>
          <w:sz w:val="28"/>
          <w:szCs w:val="28"/>
        </w:rPr>
        <w:t>которую предприятие должно заплатить бан</w:t>
      </w:r>
      <w:r>
        <w:rPr>
          <w:rFonts w:ascii="Times New Roman" w:hAnsi="Times New Roman" w:cs="Times New Roman"/>
          <w:sz w:val="28"/>
          <w:szCs w:val="28"/>
        </w:rPr>
        <w:t>ку в первом и втором кварталах.</w:t>
      </w:r>
    </w:p>
    <w:p w:rsidR="00A37579" w:rsidRDefault="00A37579" w:rsidP="00A37579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7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lastRenderedPageBreak/>
        <w:t>1. Определим количество дней в каждом квартале: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Количество дней в первом квартале = 31 + 28 + 31 = 90 дней;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Количество дней во втором квартале = 30 + 31 + 30 = 91 день.</w:t>
      </w:r>
    </w:p>
    <w:p w:rsidR="00A37579" w:rsidRPr="00D754CC" w:rsidRDefault="00A37579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2. Определим сумму процентов, которую предприятие должно заплатить в первом квартале: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position w:val="-24"/>
          <w:sz w:val="28"/>
          <w:szCs w:val="28"/>
        </w:rPr>
        <w:object w:dxaOrig="3960" w:dyaOrig="620">
          <v:shape id="_x0000_i1042" type="#_x0000_t75" style="width:198pt;height:30.75pt" o:ole="">
            <v:imagedata r:id="rId17" o:title=""/>
          </v:shape>
          <o:OLEObject Type="Embed" ProgID="Equation.3" ShapeID="_x0000_i1042" DrawAspect="Content" ObjectID="_1507069514" r:id="rId18"/>
        </w:object>
      </w:r>
      <w:r w:rsidRPr="00D754CC">
        <w:rPr>
          <w:rFonts w:ascii="Times New Roman" w:hAnsi="Times New Roman" w:cs="Times New Roman"/>
          <w:sz w:val="28"/>
          <w:szCs w:val="28"/>
        </w:rPr>
        <w:t>руб.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sz w:val="28"/>
          <w:szCs w:val="28"/>
        </w:rPr>
        <w:t>3. Определим сумму процентов, которую предприятие должно заплатить во втором квартале:</w:t>
      </w:r>
    </w:p>
    <w:p w:rsidR="00D754CC" w:rsidRPr="00D754CC" w:rsidRDefault="00D754CC" w:rsidP="00D754CC">
      <w:pPr>
        <w:tabs>
          <w:tab w:val="left" w:pos="178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position w:val="-24"/>
          <w:sz w:val="28"/>
          <w:szCs w:val="28"/>
        </w:rPr>
        <w:object w:dxaOrig="3940" w:dyaOrig="620">
          <v:shape id="_x0000_i1043" type="#_x0000_t75" style="width:197.25pt;height:30.75pt" o:ole="">
            <v:imagedata r:id="rId19" o:title=""/>
          </v:shape>
          <o:OLEObject Type="Embed" ProgID="Equation.3" ShapeID="_x0000_i1043" DrawAspect="Content" ObjectID="_1507069515" r:id="rId20"/>
        </w:object>
      </w:r>
      <w:r w:rsidRPr="00D754CC">
        <w:rPr>
          <w:rFonts w:ascii="Times New Roman" w:hAnsi="Times New Roman" w:cs="Times New Roman"/>
          <w:sz w:val="28"/>
          <w:szCs w:val="28"/>
        </w:rPr>
        <w:t>руб.</w:t>
      </w:r>
    </w:p>
    <w:p w:rsidR="00D754CC" w:rsidRPr="00D754CC" w:rsidRDefault="00D754CC" w:rsidP="00A37579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Ответ:</w:t>
      </w:r>
      <w:r w:rsidRPr="00D754CC">
        <w:rPr>
          <w:rFonts w:ascii="Times New Roman" w:hAnsi="Times New Roman" w:cs="Times New Roman"/>
          <w:sz w:val="28"/>
          <w:szCs w:val="28"/>
        </w:rPr>
        <w:t xml:space="preserve"> предприятие должно заплатить процентов в первом квартале 36986 руб., а во втором квартале – 37397 руб.</w:t>
      </w:r>
    </w:p>
    <w:p w:rsidR="003F05FE" w:rsidRPr="00E57330" w:rsidRDefault="003F05FE" w:rsidP="00D75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C78A5" w:rsidRPr="00E57330">
        <w:rPr>
          <w:rFonts w:ascii="Times New Roman" w:hAnsi="Times New Roman" w:cs="Times New Roman"/>
          <w:sz w:val="28"/>
          <w:szCs w:val="28"/>
        </w:rPr>
        <w:t>На вторичном кредитном рынке банк приобрел кредитный портфель на сумму 25 млрд. рублей. В течение периода, когда банк управлял кредитным портфелем, он получил процентные платежи на 5 млрд. рублей и был вынужден списать просроченную задолженность как убыток на сумму в 2 млрд. рублей. Рассчитайте, какую доходность (в процентах) принесли вложения в кредитный портфель, если он был продан за 26 млрд. рублей?</w:t>
      </w:r>
    </w:p>
    <w:p w:rsidR="00D754CC" w:rsidRP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Определим доход банка от вложений в кредитный портфель:</w:t>
      </w:r>
    </w:p>
    <w:p w:rsid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= 26 – 25 + 5 – 2 = 4 млрд. руб.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Определим доходность банка от вложений в кредитный портфель:</w:t>
      </w:r>
    </w:p>
    <w:p w:rsidR="00D754CC" w:rsidRDefault="00D754CC" w:rsidP="00D754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= 4/25 х 100% = 16%.</w:t>
      </w:r>
    </w:p>
    <w:p w:rsidR="00D754CC" w:rsidRDefault="00D754CC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C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банка от вложений в кредитный портфель составила 16%.</w:t>
      </w:r>
    </w:p>
    <w:p w:rsidR="00E73C5B" w:rsidRDefault="00E73C5B" w:rsidP="00E73C5B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5B" w:rsidRDefault="00E73C5B" w:rsidP="00E73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73C5B">
        <w:rPr>
          <w:rFonts w:ascii="Times New Roman" w:hAnsi="Times New Roman" w:cs="Times New Roman"/>
          <w:sz w:val="28"/>
          <w:szCs w:val="28"/>
        </w:rPr>
        <w:t>Предприятию выдан кредит в сумме 267 000 рублей сроком на четыре месяца (с 01.09.11 по  01.01.12) с уплатой процентов за пользование кредитом из расчета 13 % годовых. Уплата процентов производится в момент погашения ссуды. Известно, что 14.10.11 предприятие погасило 54 000 рублей. Определить сумму процентов, причитающихся банку.</w:t>
      </w:r>
    </w:p>
    <w:p w:rsidR="00E73C5B" w:rsidRPr="00A8769A" w:rsidRDefault="00E73C5B" w:rsidP="00A876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9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73C5B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1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8769A">
        <w:rPr>
          <w:rFonts w:ascii="Times New Roman" w:hAnsi="Times New Roman" w:cs="Times New Roman"/>
          <w:bCs/>
          <w:sz w:val="28"/>
          <w:szCs w:val="28"/>
        </w:rPr>
        <w:t>С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>умму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долга</w:t>
      </w:r>
      <w:r w:rsidR="00E73C5B" w:rsidRPr="00A8769A">
        <w:rPr>
          <w:rFonts w:ascii="Times New Roman" w:hAnsi="Times New Roman" w:cs="Times New Roman"/>
          <w:bCs/>
          <w:sz w:val="28"/>
          <w:szCs w:val="28"/>
        </w:rPr>
        <w:t xml:space="preserve"> по схеме простых процентов определим по формуле: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position w:val="-28"/>
          <w:sz w:val="28"/>
          <w:szCs w:val="28"/>
        </w:rPr>
        <w:object w:dxaOrig="5620" w:dyaOrig="680">
          <v:shape id="_x0000_i1029" type="#_x0000_t75" style="width:281.25pt;height:33.75pt" o:ole="">
            <v:imagedata r:id="rId21" o:title=""/>
          </v:shape>
          <o:OLEObject Type="Embed" ProgID="Equation.3" ShapeID="_x0000_i1029" DrawAspect="Content" ObjectID="_1507069516" r:id="rId22"/>
        </w:objec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2. Сумма процентов, причитающихся банку, за весь срок составит: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 xml:space="preserve">Проценты = </w:t>
      </w:r>
      <w:r w:rsidRPr="00A8769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8769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8769A">
        <w:rPr>
          <w:rFonts w:ascii="Times New Roman" w:hAnsi="Times New Roman" w:cs="Times New Roman"/>
          <w:bCs/>
          <w:sz w:val="28"/>
          <w:szCs w:val="28"/>
        </w:rPr>
        <w:t xml:space="preserve"> = 278570 – 267000 = 11570 руб.</w: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lastRenderedPageBreak/>
        <w:t>3. Определим срок пользования кредитом за период 01.09. – 14.10.11: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30 + 14 = 44 дня.</w: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4. Сумма долга на 14.10.2011 будет составлять:</w:t>
      </w:r>
    </w:p>
    <w:p w:rsidR="00702913" w:rsidRPr="00A8769A" w:rsidRDefault="00702913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position w:val="-28"/>
          <w:sz w:val="28"/>
          <w:szCs w:val="28"/>
        </w:rPr>
        <w:object w:dxaOrig="5760" w:dyaOrig="680">
          <v:shape id="_x0000_i1030" type="#_x0000_t75" style="width:4in;height:33.75pt" o:ole="">
            <v:imagedata r:id="rId23" o:title=""/>
          </v:shape>
          <o:OLEObject Type="Embed" ProgID="Equation.3" ShapeID="_x0000_i1030" DrawAspect="Content" ObjectID="_1507069517" r:id="rId24"/>
        </w:object>
      </w:r>
    </w:p>
    <w:p w:rsidR="00702913" w:rsidRPr="00A8769A" w:rsidRDefault="00702913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5. Сумма процентов, причитающихся банку, на 14.10.2011 будет составлять:</w:t>
      </w:r>
    </w:p>
    <w:p w:rsidR="00702913" w:rsidRPr="00A8769A" w:rsidRDefault="00A8769A" w:rsidP="00A8769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69A">
        <w:rPr>
          <w:rFonts w:ascii="Times New Roman" w:hAnsi="Times New Roman" w:cs="Times New Roman"/>
          <w:bCs/>
          <w:sz w:val="28"/>
          <w:szCs w:val="28"/>
        </w:rPr>
        <w:t>Проценты = 271242 – 267000 = 4242 руб.</w:t>
      </w:r>
    </w:p>
    <w:p w:rsidR="00A8769A" w:rsidRPr="00A8769A" w:rsidRDefault="00A8769A" w:rsidP="00E73C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>сумма процентов, причитающихся банку, за весь срок будет составлять 11570 руб., а на 14.10.2011  - 4242 руб.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73C5B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C78A5" w:rsidRPr="00DE769D">
        <w:rPr>
          <w:rFonts w:ascii="Times New Roman" w:hAnsi="Times New Roman" w:cs="Times New Roman"/>
          <w:sz w:val="28"/>
          <w:szCs w:val="28"/>
        </w:rPr>
        <w:t>Векселедержатель предъявил для учета вексель на сумму 5 млн. руб. со сроком погашения 28.10.2011 г. Вексель предъявлен 14.10.2011 г. Банк согласился учесть вексель с дисконтом в 25% годовых. Какую сумму получит векселедержатель?</w:t>
      </w:r>
    </w:p>
    <w:p w:rsidR="00DE769D" w:rsidRPr="00DE769D" w:rsidRDefault="00DE769D" w:rsidP="00DE76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9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Определим порядковый номер дня в году по таблице: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28.10.11  = 301 дню;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14.10.11 = 287 дню.</w:t>
      </w:r>
    </w:p>
    <w:p w:rsidR="00DE769D" w:rsidRDefault="00DE769D" w:rsidP="00DE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 обращения будет составлять:</w:t>
      </w:r>
    </w:p>
    <w:p w:rsidR="00DE769D" w:rsidRPr="00DE769D" w:rsidRDefault="00DE769D" w:rsidP="00DE76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769D">
        <w:rPr>
          <w:rFonts w:ascii="Times New Roman" w:hAnsi="Times New Roman" w:cs="Times New Roman"/>
          <w:i/>
          <w:sz w:val="28"/>
          <w:szCs w:val="28"/>
        </w:rPr>
        <w:t>Т</w:t>
      </w:r>
      <w:r w:rsidRPr="00DE769D">
        <w:rPr>
          <w:rFonts w:ascii="Times New Roman" w:hAnsi="Times New Roman" w:cs="Times New Roman"/>
          <w:i/>
          <w:sz w:val="28"/>
          <w:szCs w:val="28"/>
          <w:vertAlign w:val="subscript"/>
        </w:rPr>
        <w:t>обрщ</w:t>
      </w:r>
      <w:proofErr w:type="spellEnd"/>
      <w:r w:rsidRPr="00DE769D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DE76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301 – 287 = 14 дней.</w:t>
      </w:r>
    </w:p>
    <w:p w:rsidR="00DE769D" w:rsidRDefault="00DE769D" w:rsidP="00A311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Векселедержатель получит:</w:t>
      </w:r>
    </w:p>
    <w:p w:rsidR="00DE769D" w:rsidRDefault="00E73C5B" w:rsidP="00A311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769D">
        <w:rPr>
          <w:rFonts w:ascii="Times New Roman" w:hAnsi="Times New Roman" w:cs="Times New Roman"/>
          <w:position w:val="-32"/>
          <w:sz w:val="28"/>
          <w:szCs w:val="28"/>
        </w:rPr>
        <w:object w:dxaOrig="8880" w:dyaOrig="760">
          <v:shape id="_x0000_i1031" type="#_x0000_t75" style="width:444pt;height:38.25pt" o:ole="">
            <v:imagedata r:id="rId25" o:title=""/>
          </v:shape>
          <o:OLEObject Type="Embed" ProgID="Equation.3" ShapeID="_x0000_i1031" DrawAspect="Content" ObjectID="_1507069518" r:id="rId26"/>
        </w:object>
      </w:r>
    </w:p>
    <w:p w:rsidR="00442F42" w:rsidRDefault="00E73C5B" w:rsidP="00442F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3C5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векселедержатель получит сумму в размере 4952,05 тыс. руб.</w:t>
      </w:r>
    </w:p>
    <w:p w:rsidR="00442F42" w:rsidRDefault="00442F42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E21C8A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C78A5" w:rsidRPr="00E57330">
        <w:rPr>
          <w:rFonts w:ascii="Times New Roman" w:hAnsi="Times New Roman" w:cs="Times New Roman"/>
          <w:sz w:val="28"/>
          <w:szCs w:val="28"/>
        </w:rPr>
        <w:t>Оцените риск потери ликвидности методом разрывов в сроках требований и обязательств: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9"/>
        <w:gridCol w:w="4607"/>
        <w:gridCol w:w="1807"/>
        <w:gridCol w:w="2098"/>
      </w:tblGrid>
      <w:tr w:rsidR="00331EC3" w:rsidRPr="00442F42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42F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t  </w:t>
            </w:r>
            <w:r w:rsidRPr="00442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Активы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442F42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4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просроченные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до востребования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149 000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 день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431 000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329 000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2–7 дней       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548 000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557 000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8–30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592 000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31–90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570 000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570 500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91–180 дней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181 дней – 1 год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640 000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635 000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1–3 года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530 000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 сроком погашения более 3 лет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320 000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331EC3" w:rsidP="00E73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295 000</w:t>
            </w:r>
          </w:p>
        </w:tc>
      </w:tr>
      <w:tr w:rsidR="00331EC3" w:rsidRPr="00E57330" w:rsidTr="00331EC3">
        <w:trPr>
          <w:trHeight w:val="28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331EC3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3" w:rsidRPr="00E57330" w:rsidRDefault="00331EC3" w:rsidP="00E73C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без срока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7B6B99" w:rsidP="007B6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C3" w:rsidRPr="00E57330" w:rsidRDefault="007B6B99" w:rsidP="007B6B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</w:tbl>
    <w:p w:rsidR="00331EC3" w:rsidRPr="00B255E8" w:rsidRDefault="00331EC3" w:rsidP="00B255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E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02CE2" w:rsidRDefault="00B255E8" w:rsidP="00442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E8">
        <w:rPr>
          <w:rFonts w:ascii="Times New Roman" w:hAnsi="Times New Roman" w:cs="Times New Roman"/>
          <w:sz w:val="28"/>
          <w:szCs w:val="28"/>
        </w:rPr>
        <w:t xml:space="preserve">В настоящий момент для оценки ликвидности в российских банках используется </w:t>
      </w:r>
      <w:r w:rsidR="00B02CE2">
        <w:rPr>
          <w:rFonts w:ascii="Times New Roman" w:hAnsi="Times New Roman" w:cs="Times New Roman"/>
          <w:sz w:val="28"/>
          <w:szCs w:val="28"/>
        </w:rPr>
        <w:t>метод</w:t>
      </w:r>
      <w:r w:rsidRPr="00B255E8">
        <w:rPr>
          <w:rFonts w:ascii="Times New Roman" w:hAnsi="Times New Roman" w:cs="Times New Roman"/>
          <w:sz w:val="28"/>
          <w:szCs w:val="28"/>
        </w:rPr>
        <w:t xml:space="preserve"> анализа разрыва в сроках погашения требований и обязательств. </w:t>
      </w:r>
    </w:p>
    <w:p w:rsidR="00B02CE2" w:rsidRDefault="00B255E8" w:rsidP="00E21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E8">
        <w:rPr>
          <w:rFonts w:ascii="Times New Roman" w:hAnsi="Times New Roman" w:cs="Times New Roman"/>
          <w:sz w:val="28"/>
          <w:szCs w:val="28"/>
        </w:rPr>
        <w:t>В процессе анализа рассчитыва</w:t>
      </w:r>
      <w:r w:rsidR="00E21C8A">
        <w:rPr>
          <w:rFonts w:ascii="Times New Roman" w:hAnsi="Times New Roman" w:cs="Times New Roman"/>
          <w:sz w:val="28"/>
          <w:szCs w:val="28"/>
        </w:rPr>
        <w:t>е</w:t>
      </w:r>
      <w:r w:rsidRPr="00B255E8">
        <w:rPr>
          <w:rFonts w:ascii="Times New Roman" w:hAnsi="Times New Roman" w:cs="Times New Roman"/>
          <w:sz w:val="28"/>
          <w:szCs w:val="28"/>
        </w:rPr>
        <w:t xml:space="preserve">тся </w:t>
      </w:r>
      <w:r w:rsidR="00E21C8A">
        <w:rPr>
          <w:rFonts w:ascii="Times New Roman" w:hAnsi="Times New Roman" w:cs="Times New Roman"/>
          <w:sz w:val="28"/>
          <w:szCs w:val="28"/>
        </w:rPr>
        <w:t>п</w:t>
      </w:r>
      <w:r w:rsidRPr="00B255E8">
        <w:rPr>
          <w:rFonts w:ascii="Times New Roman" w:hAnsi="Times New Roman" w:cs="Times New Roman"/>
          <w:sz w:val="28"/>
          <w:szCs w:val="28"/>
        </w:rPr>
        <w:t>оказатель избытка (дефицита) ликвидности</w:t>
      </w:r>
      <w:r w:rsidR="00B02CE2">
        <w:rPr>
          <w:rFonts w:ascii="Times New Roman" w:hAnsi="Times New Roman" w:cs="Times New Roman"/>
          <w:sz w:val="28"/>
          <w:szCs w:val="28"/>
        </w:rPr>
        <w:t xml:space="preserve">. </w:t>
      </w:r>
      <w:r w:rsidRPr="00B255E8">
        <w:rPr>
          <w:rFonts w:ascii="Times New Roman" w:hAnsi="Times New Roman" w:cs="Times New Roman"/>
          <w:sz w:val="28"/>
          <w:szCs w:val="28"/>
        </w:rPr>
        <w:t>Определяется в абсолютном выражении как разница между общей суммой активов и обязательств, рассчитанных нарастающим итогом по срокам погашения. Положительное значение данного показателя (избыток ликвидности) означает, что кредитная организация может выполнить свои обязательства</w:t>
      </w:r>
      <w:r w:rsidR="00B02CE2">
        <w:rPr>
          <w:rFonts w:ascii="Times New Roman" w:hAnsi="Times New Roman" w:cs="Times New Roman"/>
          <w:sz w:val="28"/>
          <w:szCs w:val="28"/>
        </w:rPr>
        <w:t xml:space="preserve">. </w:t>
      </w:r>
      <w:r w:rsidRPr="00B255E8">
        <w:rPr>
          <w:rFonts w:ascii="Times New Roman" w:hAnsi="Times New Roman" w:cs="Times New Roman"/>
          <w:sz w:val="28"/>
          <w:szCs w:val="28"/>
        </w:rPr>
        <w:t xml:space="preserve">Отрицательное значение (дефицит ликвидности) </w:t>
      </w:r>
      <w:r w:rsidR="00B02CE2" w:rsidRPr="00B255E8">
        <w:rPr>
          <w:rFonts w:ascii="Times New Roman" w:hAnsi="Times New Roman" w:cs="Times New Roman"/>
          <w:sz w:val="28"/>
          <w:szCs w:val="28"/>
        </w:rPr>
        <w:t xml:space="preserve">означает, что кредитная организация </w:t>
      </w:r>
      <w:r w:rsidR="00B02CE2">
        <w:rPr>
          <w:rFonts w:ascii="Times New Roman" w:hAnsi="Times New Roman" w:cs="Times New Roman"/>
          <w:sz w:val="28"/>
          <w:szCs w:val="28"/>
        </w:rPr>
        <w:t xml:space="preserve">не </w:t>
      </w:r>
      <w:r w:rsidR="00B02CE2" w:rsidRPr="00B255E8">
        <w:rPr>
          <w:rFonts w:ascii="Times New Roman" w:hAnsi="Times New Roman" w:cs="Times New Roman"/>
          <w:sz w:val="28"/>
          <w:szCs w:val="28"/>
        </w:rPr>
        <w:t>может выполнить свои обязательства</w:t>
      </w:r>
      <w:r w:rsidR="00B02C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2"/>
        <w:gridCol w:w="1133"/>
        <w:gridCol w:w="992"/>
        <w:gridCol w:w="1135"/>
        <w:gridCol w:w="1133"/>
        <w:gridCol w:w="993"/>
        <w:gridCol w:w="1099"/>
      </w:tblGrid>
      <w:tr w:rsidR="00E21C8A" w:rsidRPr="00B255E8" w:rsidTr="00F46ACC">
        <w:trPr>
          <w:cantSplit/>
          <w:trHeight w:val="2627"/>
        </w:trPr>
        <w:tc>
          <w:tcPr>
            <w:tcW w:w="279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333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  показатели</w:t>
            </w:r>
          </w:p>
        </w:tc>
        <w:tc>
          <w:tcPr>
            <w:tcW w:w="592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Активы</w:t>
            </w:r>
          </w:p>
        </w:tc>
        <w:tc>
          <w:tcPr>
            <w:tcW w:w="518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Обязательства</w:t>
            </w:r>
          </w:p>
        </w:tc>
        <w:tc>
          <w:tcPr>
            <w:tcW w:w="593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 активы нарастающим итогом</w:t>
            </w:r>
          </w:p>
        </w:tc>
        <w:tc>
          <w:tcPr>
            <w:tcW w:w="592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 обязательства нарастающим итогом</w:t>
            </w:r>
          </w:p>
        </w:tc>
        <w:tc>
          <w:tcPr>
            <w:tcW w:w="519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Избыток/дефицит ликвидности</w:t>
            </w:r>
          </w:p>
        </w:tc>
        <w:tc>
          <w:tcPr>
            <w:tcW w:w="574" w:type="pct"/>
            <w:shd w:val="clear" w:color="auto" w:fill="auto"/>
            <w:noWrap/>
            <w:textDirection w:val="btLr"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Избыток/дефицит ликвидности нарастающим итогом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просроченные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до востребования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150 000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149 000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160 000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149 000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 день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431 000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329 000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478 000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102 000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113 000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2–7 дней      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548 000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557 000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1 139 000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1 035 000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-9 000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104 000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8–30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592 000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595 000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1 731 000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1 630 000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-3 000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101 000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31–90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570 000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570 500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2 301 000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2 200 500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-500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91–180 дней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430 000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480 000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2 731 000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2 680 500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-50 000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181 дней – 1 год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640 000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635 000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3 371 000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3 315 500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55 500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1–3 года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780 000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530 000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4 151 000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3 845 500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250 000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305 500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со сроком погашения более 3 лет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320 000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295 000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4 471 000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4 140 500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330 500</w:t>
            </w:r>
          </w:p>
        </w:tc>
      </w:tr>
      <w:tr w:rsidR="00E21C8A" w:rsidRPr="00B255E8" w:rsidTr="00F46ACC">
        <w:trPr>
          <w:trHeight w:val="300"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333" w:type="pct"/>
            <w:shd w:val="clear" w:color="auto" w:fill="auto"/>
            <w:noWrap/>
            <w:vAlign w:val="bottom"/>
            <w:hideMark/>
          </w:tcPr>
          <w:p w:rsidR="00E21C8A" w:rsidRPr="00B255E8" w:rsidRDefault="00E21C8A" w:rsidP="00B25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color w:val="000000"/>
              </w:rPr>
              <w:t>без срока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E21C8A" w:rsidRPr="00E21C8A" w:rsidRDefault="00E21C8A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F4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4 472 500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4 142 010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E2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330490</w:t>
            </w:r>
          </w:p>
        </w:tc>
      </w:tr>
      <w:tr w:rsidR="00E21C8A" w:rsidRPr="00B255E8" w:rsidTr="00E21C8A">
        <w:trPr>
          <w:trHeight w:val="300"/>
        </w:trPr>
        <w:tc>
          <w:tcPr>
            <w:tcW w:w="1612" w:type="pct"/>
            <w:gridSpan w:val="2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00473" w:rsidRDefault="00800473" w:rsidP="00B02CE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LINK Excel.Sheet.8 "D:\\Выполненные работы\\Практическое задание 2-1.xls" "Лист1!R89C1" \a \f 4 \h </w:instrText>
            </w:r>
            <w:r>
              <w:rPr>
                <w:rFonts w:eastAsia="Times New Roman"/>
              </w:rPr>
              <w:fldChar w:fldCharType="separate"/>
            </w:r>
          </w:p>
          <w:p w:rsidR="00800473" w:rsidRPr="00800473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04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4 472 500</w:t>
            </w:r>
          </w:p>
          <w:p w:rsidR="00E21C8A" w:rsidRPr="00B255E8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800473" w:rsidRDefault="00800473" w:rsidP="00B02CE2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LINK Excel.Sheet.8 "D:\\Выполненные работы\\Практическое задание 2-1.xls" "Лист1!R89C2" \a \f 4 \h </w:instrText>
            </w:r>
            <w:r>
              <w:rPr>
                <w:rFonts w:eastAsia="Times New Roman"/>
              </w:rPr>
              <w:fldChar w:fldCharType="separate"/>
            </w:r>
          </w:p>
          <w:p w:rsidR="00800473" w:rsidRPr="00800473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04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4142010</w:t>
            </w:r>
          </w:p>
          <w:p w:rsidR="00E21C8A" w:rsidRPr="00B255E8" w:rsidRDefault="00800473" w:rsidP="0080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21C8A" w:rsidRPr="00B255E8" w:rsidRDefault="00F46ACC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330490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E21C8A" w:rsidRPr="00B255E8" w:rsidRDefault="00E21C8A" w:rsidP="00B0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55E8">
              <w:rPr>
                <w:rFonts w:ascii="Times New Roman" w:eastAsia="Times New Roman" w:hAnsi="Times New Roman" w:cs="Times New Roman"/>
                <w:b/>
                <w:color w:val="000000"/>
              </w:rPr>
              <w:t>Х</w:t>
            </w:r>
          </w:p>
        </w:tc>
      </w:tr>
    </w:tbl>
    <w:p w:rsidR="00AB0217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значение </w:t>
      </w:r>
      <w:r w:rsidR="00E21C8A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избытка ликвидности </w:t>
      </w:r>
      <w:r w:rsidRPr="00B255E8">
        <w:rPr>
          <w:rFonts w:ascii="Times New Roman" w:hAnsi="Times New Roman" w:cs="Times New Roman"/>
          <w:sz w:val="28"/>
          <w:szCs w:val="28"/>
        </w:rPr>
        <w:t xml:space="preserve"> означает, что кредитная организация может выполнить свои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CE2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2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кредитная организация может выполнить свои обязательства.</w:t>
      </w:r>
    </w:p>
    <w:p w:rsidR="00B02CE2" w:rsidRDefault="00B02CE2" w:rsidP="00B02C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A5" w:rsidRDefault="00976423" w:rsidP="00B02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CE2" w:rsidRPr="00B02CE2">
        <w:rPr>
          <w:rFonts w:ascii="Times New Roman" w:hAnsi="Times New Roman" w:cs="Times New Roman"/>
          <w:sz w:val="28"/>
          <w:szCs w:val="28"/>
        </w:rPr>
        <w:t>.</w:t>
      </w:r>
      <w:r w:rsidR="00B0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A5" w:rsidRPr="00E57330">
        <w:rPr>
          <w:rFonts w:ascii="Times New Roman" w:hAnsi="Times New Roman" w:cs="Times New Roman"/>
          <w:sz w:val="28"/>
          <w:szCs w:val="28"/>
        </w:rPr>
        <w:t>Клиент банка собирается брать ипотечный кредит на 25 лет, сумму в 3,5 млн. рублей под 13% годовых. Рассчитайте методом аннуитета суммы по годам, если кредит берется с ежегодным начислением процентов.</w:t>
      </w:r>
    </w:p>
    <w:p w:rsidR="00B02CE2" w:rsidRPr="00F0502C" w:rsidRDefault="00B02CE2" w:rsidP="00F050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2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0502C" w:rsidRP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2C">
        <w:rPr>
          <w:rFonts w:ascii="Times New Roman" w:hAnsi="Times New Roman" w:cs="Times New Roman"/>
          <w:iCs/>
          <w:sz w:val="28"/>
          <w:szCs w:val="28"/>
        </w:rPr>
        <w:t>Аннуитетный платеж</w:t>
      </w:r>
      <w:r w:rsidRPr="00F050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вариант ежегодного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платежа по кр</w:t>
      </w:r>
      <w:r>
        <w:rPr>
          <w:rFonts w:ascii="Times New Roman" w:hAnsi="Times New Roman" w:cs="Times New Roman"/>
          <w:sz w:val="28"/>
          <w:szCs w:val="28"/>
        </w:rPr>
        <w:t>едиту, когда размер ежегодного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платежа остаётся постоянным на всём периоде кредитования.</w:t>
      </w:r>
    </w:p>
    <w:p w:rsid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платёж</w:t>
      </w:r>
      <w:r w:rsidRPr="00F0502C">
        <w:rPr>
          <w:rFonts w:ascii="Times New Roman" w:hAnsi="Times New Roman" w:cs="Times New Roman"/>
          <w:sz w:val="28"/>
          <w:szCs w:val="28"/>
        </w:rPr>
        <w:t xml:space="preserve"> при аннуитетной схеме погашения кредита состоит из двух частей. Первая часть платежа идёт на погашение процентов за пользование кредитом. Вторая часть идёт на погашение долга.</w:t>
      </w:r>
    </w:p>
    <w:p w:rsidR="00F0502C" w:rsidRDefault="00F0502C" w:rsidP="00F05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платеж рассчитаем по формуле:</w:t>
      </w:r>
    </w:p>
    <w:p w:rsidR="00F0502C" w:rsidRDefault="00385445" w:rsidP="00F0502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02C">
        <w:rPr>
          <w:rFonts w:ascii="Times New Roman" w:hAnsi="Times New Roman" w:cs="Times New Roman"/>
          <w:position w:val="-30"/>
          <w:sz w:val="28"/>
          <w:szCs w:val="28"/>
        </w:rPr>
        <w:object w:dxaOrig="7880" w:dyaOrig="680">
          <v:shape id="_x0000_i1032" type="#_x0000_t75" style="width:393.75pt;height:33.75pt" o:ole="">
            <v:imagedata r:id="rId27" o:title=""/>
          </v:shape>
          <o:OLEObject Type="Embed" ProgID="Equation.3" ShapeID="_x0000_i1032" DrawAspect="Content" ObjectID="_1507069519" r:id="rId28"/>
        </w:object>
      </w:r>
    </w:p>
    <w:p w:rsidR="00385445" w:rsidRDefault="00385445" w:rsidP="00385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методом аннуитета суммы платежей по годам. Расчетные данные представим в виде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1417"/>
        <w:gridCol w:w="1277"/>
        <w:gridCol w:w="1558"/>
        <w:gridCol w:w="2376"/>
      </w:tblGrid>
      <w:tr w:rsidR="00385445" w:rsidRPr="00385445" w:rsidTr="00385445">
        <w:trPr>
          <w:trHeight w:val="1407"/>
        </w:trPr>
        <w:tc>
          <w:tcPr>
            <w:tcW w:w="722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Остаток задолженности на начало периода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gridSpan w:val="2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Платежи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Суммарный платеж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pct"/>
            <w:vMerge w:val="restar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Остаток задолженности на конец периода</w:t>
            </w:r>
          </w:p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445" w:rsidRPr="00385445" w:rsidTr="008A39A3">
        <w:trPr>
          <w:cantSplit/>
          <w:trHeight w:val="844"/>
        </w:trPr>
        <w:tc>
          <w:tcPr>
            <w:tcW w:w="722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процентов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сумма долга</w:t>
            </w:r>
          </w:p>
        </w:tc>
        <w:tc>
          <w:tcPr>
            <w:tcW w:w="814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  <w:noWrap/>
            <w:vAlign w:val="bottom"/>
            <w:hideMark/>
          </w:tcPr>
          <w:p w:rsidR="00385445" w:rsidRPr="00385445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3 500 000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455 000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22 490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3 477 510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3 477 510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452 076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25 414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3 452 096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3 452 096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448 773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28 717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3 423 379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3 423 379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445 039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32 451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3 390 928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3 390 928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440 821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36 669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3 354 259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3 354 259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436 054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41 436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3 312 822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3 312 822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430 667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46 823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3 265 999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3 265 999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424 580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52 910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3 213 089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3 213 089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417 702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59 788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3 153 301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3 153 301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409 929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67 561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3 085 740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3 085 740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401 146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76 344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3 009 396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3 009 396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391 221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86 269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2 923 128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2 923 128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380 007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97 483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2 825 644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2 825 644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367 334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110 156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2 715 488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2 715 488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353 013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124 477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2 591 011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2 591 011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336 831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140 659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2 450 353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2 450 353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318 546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158 944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2 291 409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2 291 409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297 883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179 607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2 111 802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2 111 802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274 534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202 956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1 908 846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1 908 846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248 150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229 340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1 679 506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1 679 506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218 336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259 154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1 420 352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1 420 352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184 646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292 844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1 127 507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1 127 507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146 576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330 914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796 593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796 593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103 557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373 933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422 660</w:t>
            </w:r>
          </w:p>
        </w:tc>
      </w:tr>
      <w:tr w:rsidR="00385445" w:rsidRPr="00385445" w:rsidTr="00E21C8A">
        <w:trPr>
          <w:trHeight w:val="300"/>
        </w:trPr>
        <w:tc>
          <w:tcPr>
            <w:tcW w:w="722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422 660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54 946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422 544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477 490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8A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44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85445" w:rsidRPr="00385445" w:rsidTr="00E21C8A">
        <w:trPr>
          <w:trHeight w:val="323"/>
        </w:trPr>
        <w:tc>
          <w:tcPr>
            <w:tcW w:w="1537" w:type="pct"/>
            <w:gridSpan w:val="2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ИТОГО: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8 437 366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3 499 884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11 937 250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85445" w:rsidRPr="00385445" w:rsidRDefault="00385445" w:rsidP="00385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85445">
              <w:rPr>
                <w:rFonts w:ascii="Calibri" w:eastAsia="Times New Roman" w:hAnsi="Calibri" w:cs="Calibri"/>
                <w:b/>
                <w:color w:val="000000"/>
              </w:rPr>
              <w:t>Х</w:t>
            </w:r>
          </w:p>
        </w:tc>
      </w:tr>
    </w:tbl>
    <w:p w:rsidR="00ED23B2" w:rsidRDefault="00ED23B2" w:rsidP="00ED2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3B2" w:rsidRDefault="00976423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23B2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Предприятие обратилось в банк с заявкой на кредите в сумме 60 млн. руб. Кредитной политикой банка предусмотрено, что кредиты не должны превышать 350% собственного капитала предприятия. На дату подачи заявки кредиты предприятию составили 450 640 тыс. руб., а его собственный капитал - 162 427 тыс. руб. Определить, сможет ли банк принять заявку в указанном объеме в соответствии с принятой кредитной политикой.</w:t>
      </w:r>
    </w:p>
    <w:p w:rsidR="00ED23B2" w:rsidRPr="00FD3FF0" w:rsidRDefault="00ED23B2" w:rsidP="00FD3F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F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F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бщая сумма кредитов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кредитной политики:</w:t>
      </w:r>
    </w:p>
    <w:p w:rsidR="00DB1F85" w:rsidRPr="00DB1F85" w:rsidRDefault="00DB1F85" w:rsidP="00DB1F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1F85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DB1F85">
        <w:rPr>
          <w:rFonts w:ascii="Times New Roman" w:hAnsi="Times New Roman" w:cs="Times New Roman"/>
          <w:sz w:val="28"/>
          <w:szCs w:val="28"/>
        </w:rPr>
        <w:t>3,5 = 568 494,5 тыс. руб.</w:t>
      </w:r>
    </w:p>
    <w:p w:rsid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1F85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46ACC">
        <w:rPr>
          <w:rFonts w:ascii="Times New Roman" w:hAnsi="Times New Roman" w:cs="Times New Roman"/>
          <w:sz w:val="28"/>
          <w:szCs w:val="28"/>
        </w:rPr>
        <w:t>для выдачи кредитов предприятию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F85" w:rsidRPr="00DB1F85" w:rsidRDefault="00DB1F85" w:rsidP="00F46A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568 494,5 тыс. руб. – 450 640 тыс. руб. = 117 854,5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85">
        <w:rPr>
          <w:rFonts w:ascii="Times New Roman" w:hAnsi="Times New Roman" w:cs="Times New Roman"/>
          <w:sz w:val="28"/>
          <w:szCs w:val="28"/>
        </w:rPr>
        <w:t>руб.</w:t>
      </w:r>
    </w:p>
    <w:p w:rsidR="00DB1F85" w:rsidRPr="00DB1F85" w:rsidRDefault="00DB1F85" w:rsidP="00DB1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85">
        <w:rPr>
          <w:rFonts w:ascii="Times New Roman" w:hAnsi="Times New Roman" w:cs="Times New Roman"/>
          <w:sz w:val="28"/>
          <w:szCs w:val="28"/>
        </w:rPr>
        <w:t>Этой суммы достаточно для выдачи кредита в 60 млн. руб.</w:t>
      </w:r>
    </w:p>
    <w:p w:rsidR="00FD3FF0" w:rsidRDefault="00FD3FF0" w:rsidP="00FD3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F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банк сможет принять заявку.</w:t>
      </w:r>
    </w:p>
    <w:p w:rsidR="00DC527A" w:rsidRPr="00E57330" w:rsidRDefault="00FD3FF0" w:rsidP="00FD3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80" w:rsidRDefault="00976423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E3A80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Сравните, какая сберегательная стратегия является выгодней для вкладчика: размещение сбережений на депозите на два года под 9% при применении простых процентов или последовательное размещение сбережений в течение двух лет на полугодовых депозитах под 8,45% при применении сложных процентов?</w:t>
      </w:r>
    </w:p>
    <w:p w:rsidR="009E3A80" w:rsidRPr="009E3A80" w:rsidRDefault="009E3A80" w:rsidP="009E3A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8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C527A" w:rsidRDefault="009E3A80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27A" w:rsidRPr="00DC527A">
        <w:rPr>
          <w:rFonts w:ascii="Times New Roman" w:hAnsi="Times New Roman" w:cs="Times New Roman"/>
          <w:sz w:val="28"/>
          <w:szCs w:val="28"/>
        </w:rPr>
        <w:t xml:space="preserve">Если размещение сбережений на депозите осуществляется с применением простых процентов, то используется следующая формула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527A" w:rsidRPr="00DC527A">
        <w:rPr>
          <w:rFonts w:ascii="Times New Roman" w:hAnsi="Times New Roman" w:cs="Times New Roman"/>
          <w:sz w:val="28"/>
          <w:szCs w:val="28"/>
        </w:rPr>
        <w:t xml:space="preserve"> наращенной суммы:</w:t>
      </w:r>
    </w:p>
    <w:p w:rsidR="009E3A80" w:rsidRDefault="004B789B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A80">
        <w:rPr>
          <w:rFonts w:ascii="Times New Roman" w:hAnsi="Times New Roman" w:cs="Times New Roman"/>
          <w:position w:val="-10"/>
          <w:sz w:val="28"/>
          <w:szCs w:val="28"/>
        </w:rPr>
        <w:object w:dxaOrig="1620" w:dyaOrig="320">
          <v:shape id="_x0000_i1033" type="#_x0000_t75" style="width:81pt;height:15.75pt" o:ole="">
            <v:imagedata r:id="rId29" o:title=""/>
          </v:shape>
          <o:OLEObject Type="Embed" ProgID="Equation.3" ShapeID="_x0000_i1033" DrawAspect="Content" ObjectID="_1507069520" r:id="rId30"/>
        </w:object>
      </w:r>
    </w:p>
    <w:p w:rsidR="004B789B" w:rsidRDefault="004B789B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78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сумма капитала, руб.; </w:t>
      </w:r>
      <w:r w:rsidRPr="004B789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простая годовая процентная ставка;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сбережений, лет.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9B" w:rsidRDefault="004B789B" w:rsidP="009E3A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4B789B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34" type="#_x0000_t75" style="width:66pt;height:30.75pt" o:ole="">
            <v:imagedata r:id="rId31" o:title=""/>
          </v:shape>
          <o:OLEObject Type="Embed" ProgID="Equation.3" ShapeID="_x0000_i1034" DrawAspect="Content" ObjectID="_1507069521" r:id="rId32"/>
        </w:object>
      </w:r>
      <w:r w:rsidRPr="004B789B">
        <w:rPr>
          <w:rFonts w:ascii="Times New Roman" w:hAnsi="Times New Roman" w:cs="Times New Roman"/>
          <w:sz w:val="28"/>
          <w:szCs w:val="28"/>
        </w:rPr>
        <w:t>показывает во сколько раз наращенная сумма больше первоначальн</w:t>
      </w:r>
      <w:r>
        <w:rPr>
          <w:rFonts w:ascii="Times New Roman" w:hAnsi="Times New Roman" w:cs="Times New Roman"/>
          <w:sz w:val="28"/>
          <w:szCs w:val="28"/>
        </w:rPr>
        <w:t>ой суммы:</w:t>
      </w:r>
    </w:p>
    <w:p w:rsidR="004B789B" w:rsidRDefault="00ED23B2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position w:val="-24"/>
          <w:sz w:val="28"/>
          <w:szCs w:val="28"/>
        </w:rPr>
        <w:object w:dxaOrig="2860" w:dyaOrig="620">
          <v:shape id="_x0000_i1035" type="#_x0000_t75" style="width:143.25pt;height:30.75pt" o:ole="">
            <v:imagedata r:id="rId33" o:title=""/>
          </v:shape>
          <o:OLEObject Type="Embed" ProgID="Equation.3" ShapeID="_x0000_i1035" DrawAspect="Content" ObjectID="_1507069522" r:id="rId34"/>
        </w:object>
      </w:r>
    </w:p>
    <w:p w:rsidR="00DC527A" w:rsidRDefault="004B789B" w:rsidP="004B7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C527A" w:rsidRPr="00DC527A">
        <w:rPr>
          <w:rFonts w:ascii="Times New Roman" w:hAnsi="Times New Roman" w:cs="Times New Roman"/>
          <w:sz w:val="28"/>
          <w:szCs w:val="28"/>
        </w:rPr>
        <w:t>Если размещение сбережений на депозите осуществляется с применением сложных процентов, то используется следующая формула расчета наращенной суммы:</w:t>
      </w:r>
    </w:p>
    <w:p w:rsidR="004B789B" w:rsidRDefault="004B789B" w:rsidP="004B789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position w:val="-28"/>
          <w:sz w:val="28"/>
          <w:szCs w:val="28"/>
        </w:rPr>
        <w:object w:dxaOrig="1840" w:dyaOrig="740">
          <v:shape id="_x0000_i1036" type="#_x0000_t75" style="width:92.25pt;height:36.75pt" o:ole="">
            <v:imagedata r:id="rId35" o:title=""/>
          </v:shape>
          <o:OLEObject Type="Embed" ProgID="Equation.3" ShapeID="_x0000_i1036" DrawAspect="Content" ObjectID="_1507069523" r:id="rId36"/>
        </w:object>
      </w:r>
    </w:p>
    <w:p w:rsidR="004B789B" w:rsidRDefault="004B789B" w:rsidP="004B7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78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сумма капитала, руб.; </w:t>
      </w:r>
      <w:r w:rsidRPr="004B789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сложная годовая процентная ставка; </w:t>
      </w:r>
      <w:r w:rsidRPr="004B789B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раз начисления процентов за период (по условию задачи  </w:t>
      </w:r>
      <w:r w:rsidRPr="004B789B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= 2); </w:t>
      </w:r>
      <w:r w:rsidRPr="004B78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срок размещения сбережений, лет.</w:t>
      </w:r>
      <w:r w:rsidRPr="004B7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B2" w:rsidRDefault="00ED23B2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ED23B2">
        <w:rPr>
          <w:rFonts w:ascii="Times New Roman" w:hAnsi="Times New Roman" w:cs="Times New Roman"/>
          <w:position w:val="-28"/>
          <w:sz w:val="28"/>
          <w:szCs w:val="28"/>
        </w:rPr>
        <w:object w:dxaOrig="1600" w:dyaOrig="740">
          <v:shape id="_x0000_i1037" type="#_x0000_t75" style="width:80.25pt;height:36.75pt" o:ole="">
            <v:imagedata r:id="rId37" o:title=""/>
          </v:shape>
          <o:OLEObject Type="Embed" ProgID="Equation.3" ShapeID="_x0000_i1037" DrawAspect="Content" ObjectID="_1507069524" r:id="rId38"/>
        </w:object>
      </w:r>
      <w:r w:rsidRPr="004B789B">
        <w:rPr>
          <w:rFonts w:ascii="Times New Roman" w:hAnsi="Times New Roman" w:cs="Times New Roman"/>
          <w:sz w:val="28"/>
          <w:szCs w:val="28"/>
        </w:rPr>
        <w:t>показывает во сколько раз наращенная сумма больше первоначальн</w:t>
      </w:r>
      <w:r>
        <w:rPr>
          <w:rFonts w:ascii="Times New Roman" w:hAnsi="Times New Roman" w:cs="Times New Roman"/>
          <w:sz w:val="28"/>
          <w:szCs w:val="28"/>
        </w:rPr>
        <w:t>ой суммы:</w:t>
      </w:r>
    </w:p>
    <w:p w:rsidR="00ED23B2" w:rsidRDefault="00ED23B2" w:rsidP="00ED23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23B2">
        <w:rPr>
          <w:rFonts w:ascii="Times New Roman" w:hAnsi="Times New Roman" w:cs="Times New Roman"/>
          <w:position w:val="-28"/>
          <w:sz w:val="28"/>
          <w:szCs w:val="28"/>
        </w:rPr>
        <w:object w:dxaOrig="4760" w:dyaOrig="740">
          <v:shape id="_x0000_i1038" type="#_x0000_t75" style="width:237.75pt;height:36.75pt" o:ole="">
            <v:imagedata r:id="rId39" o:title=""/>
          </v:shape>
          <o:OLEObject Type="Embed" ProgID="Equation.3" ShapeID="_x0000_i1038" DrawAspect="Content" ObjectID="_1507069525" r:id="rId40"/>
        </w:object>
      </w:r>
    </w:p>
    <w:p w:rsidR="00DC527A" w:rsidRDefault="00DC527A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7A">
        <w:rPr>
          <w:rFonts w:ascii="Times New Roman" w:hAnsi="Times New Roman" w:cs="Times New Roman"/>
          <w:sz w:val="28"/>
          <w:szCs w:val="28"/>
        </w:rPr>
        <w:t>Таким образом, эти две сберегательные стратегии являются одинаково выгодными для вкладчика.</w:t>
      </w:r>
    </w:p>
    <w:p w:rsidR="00ED23B2" w:rsidRDefault="00ED23B2" w:rsidP="00ED2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сберегательные стратегии являются одинаковыми для вкладчика.</w:t>
      </w:r>
    </w:p>
    <w:p w:rsidR="00DC527A" w:rsidRPr="00E57330" w:rsidRDefault="00DC527A" w:rsidP="00DC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3A1D46" w:rsidP="003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4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Определите доход банка, его изменение по составу и структуре. Сделайте вывод по результатам анализа.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983"/>
        <w:gridCol w:w="1278"/>
        <w:gridCol w:w="1162"/>
        <w:gridCol w:w="1196"/>
        <w:gridCol w:w="973"/>
        <w:gridCol w:w="1056"/>
        <w:gridCol w:w="1248"/>
      </w:tblGrid>
      <w:tr w:rsidR="00C31CD0" w:rsidRPr="00C31CD0" w:rsidTr="00C31CD0">
        <w:trPr>
          <w:trHeight w:val="255"/>
        </w:trPr>
        <w:tc>
          <w:tcPr>
            <w:tcW w:w="675" w:type="dxa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3" w:type="dxa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09" w:type="dxa"/>
            <w:gridSpan w:val="4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показателя </w:t>
            </w:r>
            <w:proofErr w:type="gramStart"/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304" w:type="dxa"/>
            <w:gridSpan w:val="2"/>
            <w:vMerge w:val="restart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</w:t>
            </w:r>
            <w:proofErr w:type="gramStart"/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noWrap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t1</w:t>
            </w:r>
          </w:p>
        </w:tc>
        <w:tc>
          <w:tcPr>
            <w:tcW w:w="2169" w:type="dxa"/>
            <w:gridSpan w:val="2"/>
            <w:noWrap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t2</w:t>
            </w:r>
          </w:p>
        </w:tc>
        <w:tc>
          <w:tcPr>
            <w:tcW w:w="2304" w:type="dxa"/>
            <w:gridSpan w:val="2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noWrap/>
            <w:hideMark/>
          </w:tcPr>
          <w:p w:rsidR="00C31CD0" w:rsidRPr="003A1D46" w:rsidRDefault="00C31CD0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162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96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973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56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248" w:type="dxa"/>
            <w:noWrap/>
            <w:vAlign w:val="center"/>
            <w:hideMark/>
          </w:tcPr>
          <w:p w:rsidR="00C31CD0" w:rsidRPr="00C31CD0" w:rsidRDefault="00C31CD0" w:rsidP="00C3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31CD0" w:rsidRPr="00C31CD0" w:rsidTr="00976423">
        <w:trPr>
          <w:trHeight w:val="255"/>
        </w:trPr>
        <w:tc>
          <w:tcPr>
            <w:tcW w:w="675" w:type="dxa"/>
            <w:noWrap/>
            <w:hideMark/>
          </w:tcPr>
          <w:p w:rsidR="003A1D46" w:rsidRPr="00C31CD0" w:rsidRDefault="003A1D46" w:rsidP="003A1D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3" w:type="dxa"/>
            <w:noWrap/>
            <w:hideMark/>
          </w:tcPr>
          <w:p w:rsidR="003A1D46" w:rsidRPr="00C31CD0" w:rsidRDefault="003A1D46" w:rsidP="003A1D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794600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1088300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C31CD0" w:rsidRDefault="003A1D46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CD0">
              <w:rPr>
                <w:rFonts w:ascii="Times New Roman" w:hAnsi="Times New Roman" w:cs="Times New Roman"/>
                <w:b/>
                <w:sz w:val="28"/>
                <w:szCs w:val="28"/>
              </w:rPr>
              <w:t>293700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C31CD0" w:rsidRDefault="00C31CD0" w:rsidP="0097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66,82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проценты 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563700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70,94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837300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76,94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273600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48,54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Дивиденды по ценным бумагам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C31CD0" w:rsidRPr="003A1D46" w:rsidTr="00C31CD0">
        <w:trPr>
          <w:trHeight w:val="255"/>
        </w:trPr>
        <w:tc>
          <w:tcPr>
            <w:tcW w:w="675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3" w:type="dxa"/>
            <w:noWrap/>
            <w:hideMark/>
          </w:tcPr>
          <w:p w:rsidR="003A1D46" w:rsidRPr="003A1D46" w:rsidRDefault="003A1D46" w:rsidP="003A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278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140900</w:t>
            </w:r>
          </w:p>
        </w:tc>
        <w:tc>
          <w:tcPr>
            <w:tcW w:w="1162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17,73</w:t>
            </w:r>
          </w:p>
        </w:tc>
        <w:tc>
          <w:tcPr>
            <w:tcW w:w="119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151000</w:t>
            </w:r>
          </w:p>
        </w:tc>
        <w:tc>
          <w:tcPr>
            <w:tcW w:w="973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</w:tc>
        <w:tc>
          <w:tcPr>
            <w:tcW w:w="1056" w:type="dxa"/>
            <w:noWrap/>
            <w:vAlign w:val="center"/>
            <w:hideMark/>
          </w:tcPr>
          <w:p w:rsidR="003A1D46" w:rsidRPr="003A1D46" w:rsidRDefault="003A1D46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D46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1248" w:type="dxa"/>
            <w:noWrap/>
            <w:vAlign w:val="center"/>
            <w:hideMark/>
          </w:tcPr>
          <w:p w:rsidR="003A1D46" w:rsidRPr="003A1D46" w:rsidRDefault="00C31CD0" w:rsidP="00C3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3A1D46" w:rsidRPr="00E57330" w:rsidRDefault="00C31CD0" w:rsidP="003A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D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доходов банка занимают полученные проценты. Их размер в отчетном периоде по сравнению с базисным периодом увеличился на 273600 тыс. руб. или на 48,54%. Наименьший удельный вес в структуре доходов банка занимают дивиденды по ценным бумагам. </w:t>
      </w:r>
      <w:r w:rsidR="00FE69B1">
        <w:rPr>
          <w:rFonts w:ascii="Times New Roman" w:hAnsi="Times New Roman" w:cs="Times New Roman"/>
          <w:sz w:val="28"/>
          <w:szCs w:val="28"/>
        </w:rPr>
        <w:t>Их размер в отчетном периоде по сравнению с базисным периодом увеличился на 10000 тыс. руб. или на 11,11%.</w:t>
      </w:r>
    </w:p>
    <w:p w:rsidR="00567B30" w:rsidRDefault="00567B30" w:rsidP="00567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D4" w:rsidRDefault="00567B30" w:rsidP="00567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6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2A1BD4">
        <w:rPr>
          <w:rFonts w:ascii="Times New Roman" w:hAnsi="Times New Roman" w:cs="Times New Roman"/>
          <w:sz w:val="28"/>
          <w:szCs w:val="28"/>
        </w:rPr>
        <w:t>Рассчитайте норматив мгновенной ликвидности банка (Н</w:t>
      </w:r>
      <w:proofErr w:type="gramStart"/>
      <w:r w:rsidR="008C78A5" w:rsidRPr="002A1B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C78A5" w:rsidRPr="002A1BD4">
        <w:rPr>
          <w:rFonts w:ascii="Times New Roman" w:hAnsi="Times New Roman" w:cs="Times New Roman"/>
          <w:sz w:val="28"/>
          <w:szCs w:val="28"/>
        </w:rPr>
        <w:t>), если его собственный капитал достигает 180 млрд. руб., высоколиквидные активы - 150 млрд. руб., обязательства до востребования - 250 млрд. руб., прибыль – 6,5 млрд. руб.</w:t>
      </w:r>
    </w:p>
    <w:p w:rsidR="00976423" w:rsidRPr="00976423" w:rsidRDefault="00976423" w:rsidP="009764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2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76423" w:rsidRDefault="00DC527A" w:rsidP="00976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Норматив мгновенной ликвидности банка (Н</w:t>
      </w:r>
      <w:proofErr w:type="gramStart"/>
      <w:r w:rsidRPr="002A1B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A1BD4">
        <w:rPr>
          <w:rFonts w:ascii="Times New Roman" w:hAnsi="Times New Roman" w:cs="Times New Roman"/>
          <w:sz w:val="28"/>
          <w:szCs w:val="28"/>
        </w:rPr>
        <w:t>) определяется как отношение суммы высоколиквидных активов банка к сумме обязательств банка по счетам до востребования:</w:t>
      </w:r>
    </w:p>
    <w:p w:rsidR="00976423" w:rsidRDefault="00BE68F0" w:rsidP="009764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23">
        <w:rPr>
          <w:rFonts w:ascii="Times New Roman" w:hAnsi="Times New Roman" w:cs="Times New Roman"/>
          <w:position w:val="-24"/>
          <w:sz w:val="28"/>
          <w:szCs w:val="28"/>
        </w:rPr>
        <w:object w:dxaOrig="2480" w:dyaOrig="620">
          <v:shape id="_x0000_i1044" type="#_x0000_t75" style="width:123.75pt;height:30.75pt" o:ole="">
            <v:imagedata r:id="rId41" o:title=""/>
          </v:shape>
          <o:OLEObject Type="Embed" ProgID="Equation.3" ShapeID="_x0000_i1044" DrawAspect="Content" ObjectID="_1507069526" r:id="rId42"/>
        </w:object>
      </w:r>
    </w:p>
    <w:p w:rsidR="00BE68F0" w:rsidRDefault="00BE68F0" w:rsidP="00BE6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значение 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менее 15%.</w:t>
      </w:r>
    </w:p>
    <w:p w:rsidR="00DC527A" w:rsidRDefault="00BE68F0" w:rsidP="00BE6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F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60%.</w:t>
      </w:r>
      <w:r w:rsidR="002A1BD4" w:rsidRPr="002A1B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C527A" w:rsidRPr="00E57330" w:rsidRDefault="00DC527A" w:rsidP="00DC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976423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53AB"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На начало года активы банка, взвешенные по уровню риска, составляли 50 млрд. руб., а его собственные средства – 8,4 млрд. руб. По итогам года активы банка, взвешенные по уровню риска, увеличились на 15%. Кроме того, банк получил убыток в 1,4 млрд. руб. Соблюдает ли банк норматив достаточности капитала на конец года?</w:t>
      </w:r>
    </w:p>
    <w:p w:rsidR="007703B0" w:rsidRPr="00714FF8" w:rsidRDefault="007703B0" w:rsidP="00714F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конец года активы банка, взвешенные по уровню риска, составили: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х 1,15 = 57,5 млрд. руб.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конец года собственные средства банка будут составлять: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8,4 – 1,4 = 7 млрд. руб.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Определим норматив достаточности капитала на конец года.</w:t>
      </w:r>
    </w:p>
    <w:p w:rsidR="005939FA" w:rsidRDefault="005939FA" w:rsidP="00F55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FA">
        <w:rPr>
          <w:rFonts w:ascii="Times New Roman" w:hAnsi="Times New Roman" w:cs="Times New Roman"/>
          <w:sz w:val="28"/>
          <w:szCs w:val="28"/>
        </w:rPr>
        <w:t>Норматив достаточности капитала банка — это соотношение между собственным капиталом и активами, скорректированными на коэффициент в зависимости от степени риска  (выданные кредиты, вложения в ценные бумаги, прочие инвестиции имеют разный риск).</w:t>
      </w:r>
    </w:p>
    <w:p w:rsidR="005939FA" w:rsidRDefault="005939FA" w:rsidP="00714F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7/57,5 х 100% = 12,17%</w:t>
      </w:r>
      <w:r w:rsidR="00714FF8">
        <w:rPr>
          <w:rFonts w:ascii="Times New Roman" w:hAnsi="Times New Roman" w:cs="Times New Roman"/>
          <w:sz w:val="28"/>
          <w:szCs w:val="28"/>
        </w:rPr>
        <w:t>.</w:t>
      </w:r>
    </w:p>
    <w:p w:rsidR="00714FF8" w:rsidRDefault="00714FF8" w:rsidP="00714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F8">
        <w:rPr>
          <w:rFonts w:ascii="Times New Roman" w:hAnsi="Times New Roman" w:cs="Times New Roman"/>
          <w:sz w:val="28"/>
          <w:szCs w:val="28"/>
        </w:rPr>
        <w:t>Минимально допустимое числовое значение норматива H1 устана</w:t>
      </w:r>
      <w:r>
        <w:rPr>
          <w:rFonts w:ascii="Times New Roman" w:hAnsi="Times New Roman" w:cs="Times New Roman"/>
          <w:sz w:val="28"/>
          <w:szCs w:val="28"/>
        </w:rPr>
        <w:t>вливается в размере 10%</w:t>
      </w:r>
      <w:r w:rsidRPr="00714FF8">
        <w:rPr>
          <w:rFonts w:ascii="Times New Roman" w:hAnsi="Times New Roman" w:cs="Times New Roman"/>
          <w:sz w:val="28"/>
          <w:szCs w:val="28"/>
        </w:rPr>
        <w:t>.</w:t>
      </w:r>
    </w:p>
    <w:p w:rsidR="0052172F" w:rsidRDefault="002A1BD4" w:rsidP="002A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банк соблюдает норматив достаточности капитала на конец года.</w:t>
      </w:r>
    </w:p>
    <w:p w:rsidR="00567B30" w:rsidRDefault="00567B30" w:rsidP="002A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12,17%.</w:t>
      </w:r>
    </w:p>
    <w:p w:rsidR="0052172F" w:rsidRPr="00E57330" w:rsidRDefault="0052172F" w:rsidP="0052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F553AB" w:rsidP="00F553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Приведена структура размещенных средств банка.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2978"/>
        <w:gridCol w:w="1769"/>
        <w:gridCol w:w="1095"/>
        <w:gridCol w:w="1133"/>
        <w:gridCol w:w="1135"/>
        <w:gridCol w:w="957"/>
      </w:tblGrid>
      <w:tr w:rsidR="00F87D17" w:rsidRPr="00F87D17" w:rsidTr="00F87D17">
        <w:trPr>
          <w:trHeight w:val="966"/>
        </w:trPr>
        <w:tc>
          <w:tcPr>
            <w:tcW w:w="263" w:type="pct"/>
            <w:vMerge w:val="restar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6" w:type="pct"/>
            <w:vMerge w:val="restar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Статья доходов</w:t>
            </w:r>
          </w:p>
        </w:tc>
        <w:tc>
          <w:tcPr>
            <w:tcW w:w="1496" w:type="pct"/>
            <w:gridSpan w:val="2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Среднегодовая сумма, тыс. руб.</w:t>
            </w:r>
          </w:p>
        </w:tc>
        <w:tc>
          <w:tcPr>
            <w:tcW w:w="1185" w:type="pct"/>
            <w:gridSpan w:val="2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500" w:type="pct"/>
            <w:vMerge w:val="restart"/>
            <w:noWrap/>
            <w:textDirection w:val="btLr"/>
            <w:vAlign w:val="center"/>
            <w:hideMark/>
          </w:tcPr>
          <w:p w:rsidR="00F87D17" w:rsidRPr="00F87D17" w:rsidRDefault="00F87D17" w:rsidP="00F87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Доходность</w:t>
            </w:r>
          </w:p>
        </w:tc>
      </w:tr>
      <w:tr w:rsidR="00F87D17" w:rsidRPr="00313D84" w:rsidTr="00F87D17">
        <w:trPr>
          <w:trHeight w:val="737"/>
        </w:trPr>
        <w:tc>
          <w:tcPr>
            <w:tcW w:w="263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72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93" w:type="pct"/>
            <w:noWrap/>
            <w:vAlign w:val="center"/>
            <w:hideMark/>
          </w:tcPr>
          <w:p w:rsidR="00F87D17" w:rsidRPr="00F87D17" w:rsidRDefault="00F87D17" w:rsidP="00F8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00" w:type="pct"/>
            <w:vMerge/>
            <w:noWrap/>
            <w:hideMark/>
          </w:tcPr>
          <w:p w:rsidR="00F87D17" w:rsidRPr="00313D84" w:rsidRDefault="00F87D17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74 080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31 139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56 508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14 595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70 151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12 247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Учтенные векселя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50 343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6989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Корсчета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86 618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87D17" w:rsidRPr="00313D84" w:rsidTr="00F87D17">
        <w:trPr>
          <w:trHeight w:val="255"/>
        </w:trPr>
        <w:tc>
          <w:tcPr>
            <w:tcW w:w="263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noWrap/>
            <w:hideMark/>
          </w:tcPr>
          <w:p w:rsidR="00313D84" w:rsidRPr="00313D84" w:rsidRDefault="00313D84" w:rsidP="00313D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размещен</w:t>
            </w: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средства:</w:t>
            </w:r>
          </w:p>
        </w:tc>
        <w:tc>
          <w:tcPr>
            <w:tcW w:w="924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337 699</w:t>
            </w:r>
          </w:p>
        </w:tc>
        <w:tc>
          <w:tcPr>
            <w:tcW w:w="57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68 304</w:t>
            </w:r>
          </w:p>
        </w:tc>
        <w:tc>
          <w:tcPr>
            <w:tcW w:w="593" w:type="pct"/>
            <w:noWrap/>
            <w:vAlign w:val="center"/>
            <w:hideMark/>
          </w:tcPr>
          <w:p w:rsidR="00313D84" w:rsidRPr="00313D84" w:rsidRDefault="00313D84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00" w:type="pct"/>
            <w:noWrap/>
            <w:vAlign w:val="center"/>
            <w:hideMark/>
          </w:tcPr>
          <w:p w:rsidR="00313D84" w:rsidRPr="00313D84" w:rsidRDefault="00F87D17" w:rsidP="00F87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</w:tbl>
    <w:p w:rsidR="008C78A5" w:rsidRP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>Определить удельный вес отдельных статей доходов в общей сумме размещенных банком средств.</w:t>
      </w:r>
    </w:p>
    <w:p w:rsidR="008C78A5" w:rsidRP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>Определить долю доходов от отдельных статей активов в общей  сумме доходов.</w:t>
      </w:r>
    </w:p>
    <w:p w:rsidR="00F87D17" w:rsidRDefault="008C78A5" w:rsidP="00F87D1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 xml:space="preserve">Определить доходность отдельных видов активов. </w:t>
      </w:r>
    </w:p>
    <w:p w:rsidR="008C78A5" w:rsidRPr="00F87D17" w:rsidRDefault="00F87D17" w:rsidP="00F87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3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A5" w:rsidRPr="00F87D17">
        <w:rPr>
          <w:rFonts w:ascii="Times New Roman" w:hAnsi="Times New Roman" w:cs="Times New Roman"/>
          <w:sz w:val="28"/>
          <w:szCs w:val="28"/>
        </w:rPr>
        <w:t xml:space="preserve"> </w:t>
      </w:r>
      <w:r w:rsidR="0003033A">
        <w:rPr>
          <w:rFonts w:ascii="Times New Roman" w:hAnsi="Times New Roman" w:cs="Times New Roman"/>
          <w:sz w:val="28"/>
          <w:szCs w:val="28"/>
        </w:rPr>
        <w:t>наибольший удельный вес в доходах банка занимают кредиты (45,6%), а наименьший – корсчета (4,9%).</w:t>
      </w:r>
    </w:p>
    <w:p w:rsidR="0052172F" w:rsidRDefault="0052172F" w:rsidP="0052172F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52172F" w:rsidRDefault="00392792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C78A5" w:rsidRPr="00E57330">
        <w:rPr>
          <w:rFonts w:ascii="Times New Roman" w:hAnsi="Times New Roman" w:cs="Times New Roman"/>
          <w:sz w:val="28"/>
          <w:szCs w:val="28"/>
        </w:rPr>
        <w:t>Вкладчик разместил $100 на годовой депозит в банке под 3%. На начало периода курс рубля к доллару США составлял 33,46 руб./доллар, а на конец периода, когда срок действия депозита истек - 31,57 руб./доллар. Посчитайте, какую доходность (в процентах, выраженную в рублях) получил вкладчик?</w:t>
      </w:r>
    </w:p>
    <w:p w:rsidR="00392792" w:rsidRPr="00827A2F" w:rsidRDefault="00392792" w:rsidP="00827A2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2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7A2F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792" w:rsidRPr="00392792">
        <w:rPr>
          <w:rFonts w:ascii="Times New Roman" w:hAnsi="Times New Roman" w:cs="Times New Roman"/>
          <w:sz w:val="28"/>
          <w:szCs w:val="28"/>
        </w:rPr>
        <w:t>На момент открытия депозита сумма вклада в рублевом</w:t>
      </w:r>
      <w:r w:rsidR="00827A2F">
        <w:rPr>
          <w:rFonts w:ascii="Times New Roman" w:hAnsi="Times New Roman" w:cs="Times New Roman"/>
          <w:sz w:val="28"/>
          <w:szCs w:val="28"/>
        </w:rPr>
        <w:t xml:space="preserve"> эквиваленте составляла:</w:t>
      </w:r>
    </w:p>
    <w:p w:rsidR="00827A2F" w:rsidRDefault="00827A2F" w:rsidP="004D1B3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х </w:t>
      </w:r>
      <w:r w:rsidR="004D1B31">
        <w:rPr>
          <w:rFonts w:ascii="Times New Roman" w:hAnsi="Times New Roman" w:cs="Times New Roman"/>
          <w:sz w:val="28"/>
          <w:szCs w:val="28"/>
        </w:rPr>
        <w:t>33,46 = 3346 руб.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момент закрытия депозита сумма вклада в долларовом эквиваленте составила:</w:t>
      </w:r>
    </w:p>
    <w:p w:rsidR="004D1B31" w:rsidRDefault="004D1B31" w:rsidP="004D1B3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х (1 + 0,03) = 103 долл.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момент закрытия депозита сумма вклада в рублевом эквиваленте составила:</w:t>
      </w:r>
    </w:p>
    <w:p w:rsidR="004D1B31" w:rsidRDefault="004D1B31" w:rsidP="004D1B31">
      <w:pPr>
        <w:tabs>
          <w:tab w:val="center" w:pos="5037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 х 31,57 = 3251,71 руб.</w:t>
      </w:r>
    </w:p>
    <w:p w:rsidR="004D1B31" w:rsidRDefault="004D1B31" w:rsidP="003927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Доходность вкладчика</w:t>
      </w:r>
      <w:r w:rsidR="00515CEE">
        <w:rPr>
          <w:rFonts w:ascii="Times New Roman" w:hAnsi="Times New Roman" w:cs="Times New Roman"/>
          <w:sz w:val="28"/>
          <w:szCs w:val="28"/>
        </w:rPr>
        <w:t xml:space="preserve"> в процентах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составлять:</w:t>
      </w:r>
    </w:p>
    <w:p w:rsidR="004D1B31" w:rsidRDefault="004D1B31" w:rsidP="00515CE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1B31">
        <w:rPr>
          <w:rFonts w:ascii="Times New Roman" w:hAnsi="Times New Roman" w:cs="Times New Roman"/>
          <w:position w:val="-28"/>
          <w:sz w:val="28"/>
          <w:szCs w:val="28"/>
        </w:rPr>
        <w:object w:dxaOrig="3140" w:dyaOrig="660">
          <v:shape id="_x0000_i1039" type="#_x0000_t75" style="width:156.75pt;height:33pt" o:ole="">
            <v:imagedata r:id="rId43" o:title=""/>
          </v:shape>
          <o:OLEObject Type="Embed" ProgID="Equation.3" ShapeID="_x0000_i1039" DrawAspect="Content" ObjectID="_1507069527" r:id="rId44"/>
        </w:object>
      </w:r>
    </w:p>
    <w:p w:rsidR="00515CEE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Доходность вкладчика, выраженная в рублях, будет составлять:</w:t>
      </w:r>
    </w:p>
    <w:p w:rsidR="00515CEE" w:rsidRDefault="00515CEE" w:rsidP="00515CE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3251, 71 – 3346 = -94,29 руб.</w:t>
      </w:r>
    </w:p>
    <w:p w:rsidR="0052172F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CEE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вкладчика явилась отрицательной величиной и составила </w:t>
      </w:r>
      <w:r w:rsidRPr="00515CEE">
        <w:rPr>
          <w:rFonts w:ascii="Times New Roman" w:hAnsi="Times New Roman" w:cs="Times New Roman"/>
          <w:sz w:val="28"/>
          <w:szCs w:val="28"/>
        </w:rPr>
        <w:t xml:space="preserve">в процентном выражении </w:t>
      </w:r>
      <w:r>
        <w:rPr>
          <w:rFonts w:ascii="Times New Roman" w:hAnsi="Times New Roman" w:cs="Times New Roman"/>
          <w:sz w:val="28"/>
          <w:szCs w:val="28"/>
        </w:rPr>
        <w:t>-2,9%, а в рублевом выражении -94,29 руб.</w:t>
      </w:r>
      <w:r w:rsidR="00392792" w:rsidRPr="0039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EE" w:rsidRPr="00E57330" w:rsidRDefault="00515CEE" w:rsidP="00515CE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392792" w:rsidP="00392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Проанализируйте состав и структуру</w:t>
      </w:r>
      <w:r w:rsidR="008C78A5" w:rsidRPr="00E5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A5" w:rsidRPr="00E57330">
        <w:rPr>
          <w:rFonts w:ascii="Times New Roman" w:hAnsi="Times New Roman" w:cs="Times New Roman"/>
          <w:sz w:val="28"/>
          <w:szCs w:val="28"/>
        </w:rPr>
        <w:t xml:space="preserve">активов банка «Альфа» и их изменение. Сделайте вывод. 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2753"/>
        <w:gridCol w:w="1133"/>
        <w:gridCol w:w="993"/>
        <w:gridCol w:w="1133"/>
        <w:gridCol w:w="852"/>
        <w:gridCol w:w="1133"/>
        <w:gridCol w:w="1099"/>
      </w:tblGrid>
      <w:tr w:rsidR="00FC18ED" w:rsidRPr="00E22C81" w:rsidTr="00FC18ED">
        <w:trPr>
          <w:trHeight w:val="459"/>
        </w:trPr>
        <w:tc>
          <w:tcPr>
            <w:tcW w:w="248" w:type="pct"/>
            <w:vMerge w:val="restart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t1</w:t>
            </w:r>
          </w:p>
        </w:tc>
        <w:tc>
          <w:tcPr>
            <w:tcW w:w="1036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t2</w:t>
            </w:r>
          </w:p>
        </w:tc>
        <w:tc>
          <w:tcPr>
            <w:tcW w:w="1167" w:type="pct"/>
            <w:gridSpan w:val="2"/>
            <w:noWrap/>
            <w:vAlign w:val="center"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 -)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vMerge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519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445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92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574" w:type="pct"/>
            <w:noWrap/>
            <w:hideMark/>
          </w:tcPr>
          <w:p w:rsidR="00E22C81" w:rsidRPr="00E22C81" w:rsidRDefault="00E22C81" w:rsidP="00E2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27928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34394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6466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Корсчета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138945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16,77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114569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-24376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-17,54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Межбанковские кредиты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51247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-51247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-100,00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311035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37,54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302990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39,17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-8045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-2,59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Инвестиции в ценные бумаги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76719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9,26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85066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8347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10,88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Прочие активы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66960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85066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18106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Иммобилизованные активы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155677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18,79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151364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-4313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sz w:val="28"/>
                <w:szCs w:val="28"/>
              </w:rPr>
              <w:t>-2,77</w:t>
            </w:r>
          </w:p>
        </w:tc>
      </w:tr>
      <w:tr w:rsidR="00FC18ED" w:rsidRPr="00E22C81" w:rsidTr="00FC18ED">
        <w:trPr>
          <w:trHeight w:val="255"/>
        </w:trPr>
        <w:tc>
          <w:tcPr>
            <w:tcW w:w="24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8" w:type="pct"/>
            <w:noWrap/>
            <w:hideMark/>
          </w:tcPr>
          <w:p w:rsidR="00E22C81" w:rsidRPr="00E22C81" w:rsidRDefault="00E22C81" w:rsidP="00E22C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активов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828511</w:t>
            </w:r>
          </w:p>
        </w:tc>
        <w:tc>
          <w:tcPr>
            <w:tcW w:w="519" w:type="pct"/>
            <w:noWrap/>
            <w:vAlign w:val="center"/>
            <w:hideMark/>
          </w:tcPr>
          <w:p w:rsidR="00E22C81" w:rsidRPr="00E22C81" w:rsidRDefault="00FC18ED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773449</w:t>
            </w:r>
          </w:p>
        </w:tc>
        <w:tc>
          <w:tcPr>
            <w:tcW w:w="445" w:type="pct"/>
            <w:noWrap/>
            <w:vAlign w:val="center"/>
            <w:hideMark/>
          </w:tcPr>
          <w:p w:rsidR="00E22C81" w:rsidRPr="00E22C81" w:rsidRDefault="00FC18ED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92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-55062</w:t>
            </w:r>
          </w:p>
        </w:tc>
        <w:tc>
          <w:tcPr>
            <w:tcW w:w="574" w:type="pct"/>
            <w:noWrap/>
            <w:vAlign w:val="center"/>
            <w:hideMark/>
          </w:tcPr>
          <w:p w:rsidR="00E22C81" w:rsidRPr="00E22C81" w:rsidRDefault="00E22C81" w:rsidP="00FC18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-6,65</w:t>
            </w:r>
          </w:p>
        </w:tc>
      </w:tr>
    </w:tbl>
    <w:p w:rsidR="00E22C81" w:rsidRDefault="00FC18ED" w:rsidP="003927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видно из приведенной таблицы наибольший удельный вес в структуре активов баланса имеют кредиты. Их размер в отчетном периоде по сравнению с базисным периодом уменьшился на 8045 руб. или на 2,59%. Наименьший удельный вес в структуре активов баланса занимают денежные средства. Их размер в отчетном периоде по сравнению с базисным периодом увеличился на 6466 руб. или на 23,15%.</w:t>
      </w:r>
    </w:p>
    <w:p w:rsidR="0052172F" w:rsidRDefault="0052172F" w:rsidP="00FC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1A140C" w:rsidP="001A1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процентных доходах, полученных банком.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416"/>
        <w:gridCol w:w="1684"/>
        <w:gridCol w:w="1737"/>
      </w:tblGrid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Удельный вес, %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</w:t>
            </w:r>
            <w:proofErr w:type="gramEnd"/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полученные и аналогичные доходы от: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 сре</w:t>
            </w:r>
            <w:proofErr w:type="gramStart"/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кр</w:t>
            </w:r>
            <w:proofErr w:type="gramEnd"/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едитных организациях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1 842 525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ссуд, предоставленных клиентам (некредитным органи</w:t>
            </w: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зациям)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198 555 912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85,07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услуг по финансовой аренде (лизингу)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ценных бумаг с фиксированным доходом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32 713 454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14,02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9" w:type="pct"/>
            <w:shd w:val="clear" w:color="auto" w:fill="auto"/>
            <w:noWrap/>
            <w:vAlign w:val="bottom"/>
            <w:hideMark/>
          </w:tcPr>
          <w:p w:rsidR="001A140C" w:rsidRPr="001A140C" w:rsidRDefault="001A140C" w:rsidP="001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источников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284 573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1A140C" w:rsidRPr="001A140C" w:rsidTr="00567B30">
        <w:trPr>
          <w:trHeight w:val="255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процентов полученных и </w:t>
            </w: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аналогичных доходов: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233 396 464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1A140C" w:rsidRPr="001A140C" w:rsidRDefault="001A140C" w:rsidP="001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8C78A5" w:rsidRPr="00567B30" w:rsidRDefault="008C78A5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67B30">
        <w:rPr>
          <w:rFonts w:ascii="Times New Roman" w:hAnsi="Times New Roman" w:cs="Times New Roman"/>
          <w:sz w:val="28"/>
          <w:szCs w:val="28"/>
        </w:rPr>
        <w:lastRenderedPageBreak/>
        <w:t>1. Определить удельный вес отдельных видов полученных про</w:t>
      </w:r>
      <w:r w:rsidRPr="00567B30">
        <w:rPr>
          <w:rFonts w:ascii="Times New Roman" w:hAnsi="Times New Roman" w:cs="Times New Roman"/>
          <w:sz w:val="28"/>
          <w:szCs w:val="28"/>
        </w:rPr>
        <w:softHyphen/>
        <w:t>центных доходов банка.</w:t>
      </w:r>
      <w:bookmarkEnd w:id="0"/>
    </w:p>
    <w:p w:rsidR="00CC4AAC" w:rsidRPr="00567B30" w:rsidRDefault="008C78A5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bookmark3"/>
      <w:r w:rsidRPr="00567B30">
        <w:rPr>
          <w:rFonts w:ascii="Times New Roman" w:hAnsi="Times New Roman" w:cs="Times New Roman"/>
          <w:sz w:val="28"/>
          <w:szCs w:val="28"/>
        </w:rPr>
        <w:t>Проанализировать структуру процентных доходов и выделить</w:t>
      </w:r>
      <w:bookmarkEnd w:id="1"/>
      <w:r w:rsidRPr="00567B30">
        <w:rPr>
          <w:rFonts w:ascii="Times New Roman" w:hAnsi="Times New Roman" w:cs="Times New Roman"/>
          <w:sz w:val="28"/>
          <w:szCs w:val="28"/>
        </w:rPr>
        <w:t xml:space="preserve"> приоритетные виды доходов.</w:t>
      </w:r>
    </w:p>
    <w:p w:rsidR="001A140C" w:rsidRPr="001A140C" w:rsidRDefault="001A140C" w:rsidP="00E5733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0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140C">
        <w:rPr>
          <w:rFonts w:ascii="Times New Roman" w:hAnsi="Times New Roman" w:cs="Times New Roman"/>
          <w:sz w:val="28"/>
          <w:szCs w:val="28"/>
        </w:rPr>
        <w:t>ак видно из приведенных данных, наибольшая сумма процентных доходов получена банком от о</w:t>
      </w:r>
      <w:r>
        <w:rPr>
          <w:rFonts w:ascii="Times New Roman" w:hAnsi="Times New Roman" w:cs="Times New Roman"/>
          <w:sz w:val="28"/>
          <w:szCs w:val="28"/>
        </w:rPr>
        <w:t>казания ссудных операций (85,07</w:t>
      </w:r>
      <w:r w:rsidRPr="001A140C">
        <w:rPr>
          <w:rFonts w:ascii="Times New Roman" w:hAnsi="Times New Roman" w:cs="Times New Roman"/>
          <w:sz w:val="28"/>
          <w:szCs w:val="28"/>
        </w:rPr>
        <w:t>%), на втором месте находятся процентные доходы от оказания размещения средств в ценные бумаги</w:t>
      </w:r>
      <w:r>
        <w:rPr>
          <w:rFonts w:ascii="Times New Roman" w:hAnsi="Times New Roman" w:cs="Times New Roman"/>
          <w:sz w:val="28"/>
          <w:szCs w:val="28"/>
        </w:rPr>
        <w:t xml:space="preserve"> с фиксированным доходом (14,02</w:t>
      </w:r>
      <w:r w:rsidRPr="001A140C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а на последних местах находятся процентные доходы от размещения средств в кредитных организациях (0,79%) и в других источниках (0,12%).</w:t>
      </w:r>
    </w:p>
    <w:p w:rsidR="00CC4AAC" w:rsidRPr="00E57330" w:rsidRDefault="00CC4AAC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3A65E0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C78A5" w:rsidRPr="00E57330">
        <w:rPr>
          <w:rFonts w:ascii="Times New Roman" w:hAnsi="Times New Roman" w:cs="Times New Roman"/>
          <w:sz w:val="28"/>
          <w:szCs w:val="28"/>
        </w:rPr>
        <w:t>Рассчитайте рентабельность капитала и рентабельность активов банка по следующим данным: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94"/>
        <w:gridCol w:w="2477"/>
      </w:tblGrid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b/>
                <w:sz w:val="28"/>
                <w:szCs w:val="28"/>
              </w:rPr>
              <w:t>Сумма, млн. руб.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Вклады населения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16526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Счета предприятий и организаций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8775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28022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Обязательства до востребования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8C78A5" w:rsidRPr="00E57330" w:rsidTr="003A65E0">
        <w:trPr>
          <w:trHeight w:val="235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A5" w:rsidRPr="00E57330" w:rsidRDefault="008C78A5" w:rsidP="003A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0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</w:tr>
    </w:tbl>
    <w:p w:rsidR="00CC4AAC" w:rsidRPr="003A65E0" w:rsidRDefault="003A65E0" w:rsidP="003A65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A65E0" w:rsidRDefault="003A65E0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Рентабельность капитала банка определим по формуле:</w:t>
      </w:r>
    </w:p>
    <w:p w:rsidR="003A65E0" w:rsidRDefault="00AB4BD3" w:rsidP="00AB4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капитала</w:t>
      </w:r>
      <w:r w:rsidR="00B64E7C">
        <w:rPr>
          <w:rFonts w:ascii="Times New Roman" w:hAnsi="Times New Roman" w:cs="Times New Roman"/>
          <w:sz w:val="28"/>
          <w:szCs w:val="28"/>
        </w:rPr>
        <w:t xml:space="preserve"> = Прибыль/Капитал банка х 100% = 1319/3811 х 100% = 34,61%.</w:t>
      </w:r>
    </w:p>
    <w:p w:rsidR="00AB4BD3" w:rsidRDefault="00AB4BD3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Рентабельность активов банка определим по формуле:</w:t>
      </w:r>
    </w:p>
    <w:p w:rsidR="00AB4BD3" w:rsidRDefault="00AB4BD3" w:rsidP="00AB4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активо</w:t>
      </w:r>
      <w:r w:rsidR="00B64E7C">
        <w:rPr>
          <w:rFonts w:ascii="Times New Roman" w:hAnsi="Times New Roman" w:cs="Times New Roman"/>
          <w:sz w:val="28"/>
          <w:szCs w:val="28"/>
        </w:rPr>
        <w:t>в = Прибыль/Активы банка х 100% = 1319/28022 х 100% = 4,7%.</w:t>
      </w:r>
    </w:p>
    <w:p w:rsidR="00B64E7C" w:rsidRDefault="00B64E7C" w:rsidP="00B6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7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рентабельность капитала банка составляет 34,61%, а рентабельность активов банка  - 4,7%.</w:t>
      </w:r>
    </w:p>
    <w:p w:rsidR="00AB4BD3" w:rsidRDefault="00AB4BD3" w:rsidP="003A6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Pr="00E57330" w:rsidRDefault="008B2691" w:rsidP="00CC4AA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C78A5" w:rsidRPr="00E57330">
        <w:rPr>
          <w:rFonts w:ascii="Times New Roman" w:hAnsi="Times New Roman" w:cs="Times New Roman"/>
          <w:sz w:val="28"/>
          <w:szCs w:val="28"/>
        </w:rPr>
        <w:t>Приведены данные о видах активов Сбербанка России: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4898"/>
        <w:gridCol w:w="1729"/>
        <w:gridCol w:w="1875"/>
      </w:tblGrid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Активы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руб.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вес,%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28 245 723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Средства кредитных организаций в Банке России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105 448 668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Обязательные резервы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98 893 608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Средства в кредитных организациях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574 727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Чистые вложения в торговые ценные бумаги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216 664 062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14,80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Чистая ссудная задолженность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867 762 949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59,29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Чистые вложения в инвестиционные ценные бумаги, удерживаемые до погашения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62 194 494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Чисты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вложения в ценные бумаги, име</w:t>
            </w: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ющиеся в наличии для продажи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85 211 507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средства, нематериальные акти</w:t>
            </w: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вы и материальные запасы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75 404 643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Требования по получению процентов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4 472 312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Прочие активы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17 681 813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AB1DEE" w:rsidRPr="00AB1DEE" w:rsidTr="00AB1DEE">
        <w:trPr>
          <w:trHeight w:val="259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Всего активов: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1 463 660 898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DEE" w:rsidRPr="00AB1DEE" w:rsidRDefault="00AB1DEE" w:rsidP="00AB1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EE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Определить общую сумму активов банка.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Рассчитать удельный вес отдельных активов.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Охарактеризовать приведенную структуру активов.</w:t>
      </w:r>
    </w:p>
    <w:p w:rsidR="008C78A5" w:rsidRPr="00567B30" w:rsidRDefault="008C78A5" w:rsidP="00567B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sz w:val="28"/>
          <w:szCs w:val="28"/>
        </w:rPr>
        <w:t>Определить, какие виды активов являются у банка преобладающими.</w:t>
      </w:r>
    </w:p>
    <w:p w:rsidR="002A0C4B" w:rsidRDefault="002A0C4B" w:rsidP="002A0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AB1DEE">
        <w:rPr>
          <w:rFonts w:ascii="Times New Roman" w:hAnsi="Times New Roman" w:cs="Times New Roman"/>
          <w:sz w:val="28"/>
          <w:szCs w:val="28"/>
        </w:rPr>
        <w:t xml:space="preserve"> Общая сумма активов банка составляет 1463660898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DEE" w:rsidRPr="008B2691" w:rsidRDefault="00AB1DEE" w:rsidP="002A0C4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EE">
        <w:rPr>
          <w:rFonts w:ascii="Times New Roman" w:hAnsi="Times New Roman" w:cs="Times New Roman"/>
          <w:sz w:val="28"/>
          <w:szCs w:val="28"/>
        </w:rPr>
        <w:t>Приведенная структура активов Сбербанка</w:t>
      </w:r>
      <w:r w:rsidR="00CC659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B1DEE">
        <w:rPr>
          <w:rFonts w:ascii="Times New Roman" w:hAnsi="Times New Roman" w:cs="Times New Roman"/>
          <w:sz w:val="28"/>
          <w:szCs w:val="28"/>
        </w:rPr>
        <w:t xml:space="preserve"> свидетельствует о том, что основную часть активов Сбербанка составляет чис</w:t>
      </w:r>
      <w:r>
        <w:rPr>
          <w:rFonts w:ascii="Times New Roman" w:hAnsi="Times New Roman" w:cs="Times New Roman"/>
          <w:sz w:val="28"/>
          <w:szCs w:val="28"/>
        </w:rPr>
        <w:t>тая ссудная задолженность (59,29</w:t>
      </w:r>
      <w:r w:rsidRPr="00AB1DEE">
        <w:rPr>
          <w:rFonts w:ascii="Times New Roman" w:hAnsi="Times New Roman" w:cs="Times New Roman"/>
          <w:sz w:val="28"/>
          <w:szCs w:val="28"/>
        </w:rPr>
        <w:t>%), меньшая часть акт</w:t>
      </w:r>
      <w:r w:rsidR="009A6DF2">
        <w:rPr>
          <w:rFonts w:ascii="Times New Roman" w:hAnsi="Times New Roman" w:cs="Times New Roman"/>
          <w:sz w:val="28"/>
          <w:szCs w:val="28"/>
        </w:rPr>
        <w:t>ивов размещена в ценные бумаги –</w:t>
      </w:r>
      <w:r w:rsidRPr="00AB1DEE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9A6DF2">
        <w:rPr>
          <w:rFonts w:ascii="Times New Roman" w:hAnsi="Times New Roman" w:cs="Times New Roman"/>
          <w:sz w:val="28"/>
          <w:szCs w:val="28"/>
        </w:rPr>
        <w:t xml:space="preserve"> в торговые ценные бумаги (14,8</w:t>
      </w:r>
      <w:r w:rsidRPr="00AB1DEE">
        <w:rPr>
          <w:rFonts w:ascii="Times New Roman" w:hAnsi="Times New Roman" w:cs="Times New Roman"/>
          <w:sz w:val="28"/>
          <w:szCs w:val="28"/>
        </w:rPr>
        <w:t xml:space="preserve">%), вложения в инвестиционные ценные бумаги, </w:t>
      </w:r>
      <w:r w:rsidR="009A6DF2">
        <w:rPr>
          <w:rFonts w:ascii="Times New Roman" w:hAnsi="Times New Roman" w:cs="Times New Roman"/>
          <w:sz w:val="28"/>
          <w:szCs w:val="28"/>
        </w:rPr>
        <w:t>удерживаемые до погашения (4,25</w:t>
      </w:r>
      <w:r w:rsidRPr="00AB1DEE">
        <w:rPr>
          <w:rFonts w:ascii="Times New Roman" w:hAnsi="Times New Roman" w:cs="Times New Roman"/>
          <w:sz w:val="28"/>
          <w:szCs w:val="28"/>
        </w:rPr>
        <w:t>%), вложения в ценные бумаги, имеющиеся в налич</w:t>
      </w:r>
      <w:r w:rsidR="009A6DF2">
        <w:rPr>
          <w:rFonts w:ascii="Times New Roman" w:hAnsi="Times New Roman" w:cs="Times New Roman"/>
          <w:sz w:val="28"/>
          <w:szCs w:val="28"/>
        </w:rPr>
        <w:t>ии для продажи (5,82</w:t>
      </w:r>
      <w:r w:rsidRPr="00AB1DEE">
        <w:rPr>
          <w:rFonts w:ascii="Times New Roman" w:hAnsi="Times New Roman" w:cs="Times New Roman"/>
          <w:sz w:val="28"/>
          <w:szCs w:val="28"/>
        </w:rPr>
        <w:t>%).</w:t>
      </w:r>
      <w:r w:rsidR="009A6DF2">
        <w:rPr>
          <w:rFonts w:ascii="Times New Roman" w:hAnsi="Times New Roman" w:cs="Times New Roman"/>
          <w:sz w:val="28"/>
          <w:szCs w:val="28"/>
        </w:rPr>
        <w:t xml:space="preserve"> Наименьшая часть активов размещена в </w:t>
      </w:r>
      <w:r w:rsidR="003A65E0">
        <w:rPr>
          <w:rFonts w:ascii="Times New Roman" w:hAnsi="Times New Roman" w:cs="Times New Roman"/>
          <w:sz w:val="28"/>
          <w:szCs w:val="28"/>
        </w:rPr>
        <w:t xml:space="preserve">требованиях по получению процентов (0,31%) и </w:t>
      </w:r>
      <w:r w:rsidR="009A6DF2">
        <w:rPr>
          <w:rFonts w:ascii="Times New Roman" w:hAnsi="Times New Roman" w:cs="Times New Roman"/>
          <w:sz w:val="28"/>
          <w:szCs w:val="28"/>
        </w:rPr>
        <w:t xml:space="preserve">средствах кредитных организаций </w:t>
      </w:r>
      <w:r w:rsidR="003A65E0">
        <w:rPr>
          <w:rFonts w:ascii="Times New Roman" w:hAnsi="Times New Roman" w:cs="Times New Roman"/>
          <w:sz w:val="28"/>
          <w:szCs w:val="28"/>
        </w:rPr>
        <w:t>(0,04%).</w:t>
      </w:r>
    </w:p>
    <w:p w:rsidR="00CC4AAC" w:rsidRPr="00E57330" w:rsidRDefault="00CC4AAC" w:rsidP="00CC4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8C78A5" w:rsidP="00E57330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330">
        <w:rPr>
          <w:rFonts w:ascii="Times New Roman" w:hAnsi="Times New Roman" w:cs="Times New Roman"/>
          <w:sz w:val="28"/>
          <w:szCs w:val="28"/>
        </w:rPr>
        <w:lastRenderedPageBreak/>
        <w:t xml:space="preserve">Инвестор приобрел акцию за 150 рублей и продал ее за 170 рублей. В течение периода, когда инвестор владел акцией, он получил дивиденд на сумму 10 рублей. Посчитайте, какую доходность 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57330">
        <w:rPr>
          <w:rFonts w:ascii="Times New Roman" w:hAnsi="Times New Roman" w:cs="Times New Roman"/>
          <w:sz w:val="28"/>
          <w:szCs w:val="28"/>
        </w:rPr>
        <w:t>в процентах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57330">
        <w:rPr>
          <w:rFonts w:ascii="Times New Roman" w:hAnsi="Times New Roman" w:cs="Times New Roman"/>
          <w:sz w:val="28"/>
          <w:szCs w:val="28"/>
        </w:rPr>
        <w:t>принесла инвестиция</w:t>
      </w:r>
      <w:r w:rsidRPr="00E5733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4485B" w:rsidRPr="008B2691" w:rsidRDefault="00D4485B" w:rsidP="008B269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4485B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 от продажи акции: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 – 150 = 20 руб.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доход по акции: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доход по акции = Доход от продаж + Дивидендный доход =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20 + 10 = 30 руб.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Доходность инвестиций будет составлять: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инвестиций = Общий доход по акции / Цена покупки х 100% =</w:t>
      </w:r>
    </w:p>
    <w:p w:rsidR="008B2691" w:rsidRDefault="008B2691" w:rsidP="008B269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30 / 150 х 100% = 20%.</w:t>
      </w:r>
    </w:p>
    <w:p w:rsidR="008B2691" w:rsidRDefault="008B2691" w:rsidP="00D4485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7B3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доходность инвестиций будет составлять 20%.</w:t>
      </w:r>
    </w:p>
    <w:p w:rsidR="00CC4AAC" w:rsidRPr="00E57330" w:rsidRDefault="00CC4AAC" w:rsidP="00CC4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A5" w:rsidRDefault="00CC4AAC" w:rsidP="00C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C78A5" w:rsidRPr="00E57330">
        <w:rPr>
          <w:rFonts w:ascii="Times New Roman" w:hAnsi="Times New Roman" w:cs="Times New Roman"/>
          <w:sz w:val="28"/>
          <w:szCs w:val="28"/>
        </w:rPr>
        <w:t>Инвестиционный фондовый портфель банка равен 2 млрд. рублей, торговый фондовый портфель – 3 млрд. рублей и портфель контрольного участия – 0,5 млрд. рублей. По итогам года инвестиционный портфель принес банку доходность в 25%, торговый портфель – 9% и портфель контрольного участия – 45%. Рассчитайте средневзвешенную доходность по совокупному фондовому портфелю банка.</w:t>
      </w:r>
    </w:p>
    <w:p w:rsidR="00CC4AAC" w:rsidRDefault="00CC4AAC" w:rsidP="00CC4AA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A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C4AAC" w:rsidRDefault="00CC4AAC" w:rsidP="00C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AC">
        <w:rPr>
          <w:rFonts w:ascii="Times New Roman" w:hAnsi="Times New Roman" w:cs="Times New Roman"/>
          <w:sz w:val="28"/>
          <w:szCs w:val="28"/>
        </w:rPr>
        <w:t>Совокупный фондовый портфель – сумма стоимости каждого вида портфелей, которыми владеет инвестор. Стоимость совокупного фондового портфеля в данном случае составляет:</w:t>
      </w:r>
    </w:p>
    <w:p w:rsidR="00CC4AAC" w:rsidRDefault="00EA669F" w:rsidP="00EA669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69F">
        <w:rPr>
          <w:rFonts w:ascii="Times New Roman" w:hAnsi="Times New Roman" w:cs="Times New Roman"/>
          <w:b/>
          <w:position w:val="-14"/>
          <w:sz w:val="28"/>
          <w:szCs w:val="28"/>
        </w:rPr>
        <w:object w:dxaOrig="4760" w:dyaOrig="400">
          <v:shape id="_x0000_i1040" type="#_x0000_t75" style="width:238.5pt;height:20.25pt" o:ole="">
            <v:imagedata r:id="rId45" o:title=""/>
          </v:shape>
          <o:OLEObject Type="Embed" ProgID="Equation.3" ShapeID="_x0000_i1040" DrawAspect="Content" ObjectID="_1507069528" r:id="rId46"/>
        </w:object>
      </w:r>
      <w:r w:rsidRPr="00EA669F">
        <w:rPr>
          <w:rFonts w:ascii="Times New Roman" w:hAnsi="Times New Roman" w:cs="Times New Roman"/>
          <w:sz w:val="28"/>
          <w:szCs w:val="28"/>
        </w:rPr>
        <w:t>млрд. руб.</w:t>
      </w:r>
    </w:p>
    <w:p w:rsidR="00EA669F" w:rsidRDefault="00EA669F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Средневзвешенная доходность по совокупному портфелю рассчитывается по формуле:</w:t>
      </w:r>
    </w:p>
    <w:p w:rsidR="00EA669F" w:rsidRDefault="00264300" w:rsidP="00D448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position w:val="-32"/>
          <w:sz w:val="28"/>
          <w:szCs w:val="28"/>
        </w:rPr>
        <w:object w:dxaOrig="7640" w:dyaOrig="760">
          <v:shape id="_x0000_i1041" type="#_x0000_t75" style="width:382.5pt;height:37.5pt" o:ole="">
            <v:imagedata r:id="rId47" o:title=""/>
          </v:shape>
          <o:OLEObject Type="Embed" ProgID="Equation.3" ShapeID="_x0000_i1041" DrawAspect="Content" ObjectID="_1507069529" r:id="rId48"/>
        </w:object>
      </w:r>
    </w:p>
    <w:p w:rsidR="00EA669F" w:rsidRDefault="00264300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sz w:val="28"/>
          <w:szCs w:val="28"/>
        </w:rPr>
        <w:t xml:space="preserve">где </w:t>
      </w:r>
      <w:r w:rsidRPr="00264300">
        <w:rPr>
          <w:rFonts w:ascii="Times New Roman" w:hAnsi="Times New Roman" w:cs="Times New Roman"/>
          <w:i/>
          <w:sz w:val="28"/>
          <w:szCs w:val="28"/>
        </w:rPr>
        <w:t>Д</w:t>
      </w:r>
      <w:r w:rsidRPr="0026430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r w:rsidRPr="00264300">
        <w:rPr>
          <w:rFonts w:ascii="Times New Roman" w:hAnsi="Times New Roman" w:cs="Times New Roman"/>
          <w:sz w:val="28"/>
          <w:szCs w:val="28"/>
        </w:rPr>
        <w:t xml:space="preserve"> – доходность </w:t>
      </w:r>
      <w:proofErr w:type="gramStart"/>
      <w:r w:rsidRPr="0026430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26430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264300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264300">
        <w:rPr>
          <w:rFonts w:ascii="Times New Roman" w:hAnsi="Times New Roman" w:cs="Times New Roman"/>
          <w:sz w:val="28"/>
          <w:szCs w:val="28"/>
        </w:rPr>
        <w:t>портфеля, %.</w:t>
      </w:r>
    </w:p>
    <w:p w:rsidR="00264300" w:rsidRPr="00264300" w:rsidRDefault="00264300" w:rsidP="00EA6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0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00">
        <w:rPr>
          <w:rFonts w:ascii="Times New Roman" w:hAnsi="Times New Roman" w:cs="Times New Roman"/>
          <w:i/>
          <w:sz w:val="28"/>
          <w:szCs w:val="28"/>
        </w:rPr>
        <w:t>Д</w:t>
      </w:r>
      <w:r w:rsidRPr="00264300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18,09%.</w:t>
      </w:r>
    </w:p>
    <w:p w:rsidR="00CC4AAC" w:rsidRPr="00E57330" w:rsidRDefault="00CC4AAC" w:rsidP="00CC4AA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2F0" w:rsidRPr="00E57330" w:rsidRDefault="004732F0" w:rsidP="00E57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732F0" w:rsidRPr="00E5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B6" w:rsidRDefault="001B50B6" w:rsidP="00567B30">
      <w:pPr>
        <w:spacing w:after="0" w:line="240" w:lineRule="auto"/>
      </w:pPr>
      <w:r>
        <w:separator/>
      </w:r>
    </w:p>
  </w:endnote>
  <w:endnote w:type="continuationSeparator" w:id="0">
    <w:p w:rsidR="001B50B6" w:rsidRDefault="001B50B6" w:rsidP="005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B6" w:rsidRDefault="001B50B6" w:rsidP="00567B30">
      <w:pPr>
        <w:spacing w:after="0" w:line="240" w:lineRule="auto"/>
      </w:pPr>
      <w:r>
        <w:separator/>
      </w:r>
    </w:p>
  </w:footnote>
  <w:footnote w:type="continuationSeparator" w:id="0">
    <w:p w:rsidR="001B50B6" w:rsidRDefault="001B50B6" w:rsidP="0056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-3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4"/>
    <w:lvl w:ilvl="0">
      <w:start w:val="15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4EC8D89A"/>
    <w:name w:val="WWNum30"/>
    <w:lvl w:ilvl="0">
      <w:start w:val="24"/>
      <w:numFmt w:val="decimal"/>
      <w:lvlText w:val="%1."/>
      <w:lvlJc w:val="left"/>
      <w:pPr>
        <w:tabs>
          <w:tab w:val="num" w:pos="0"/>
        </w:tabs>
        <w:ind w:left="28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4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640" w:hanging="180"/>
      </w:pPr>
      <w:rPr>
        <w:rFonts w:hint="default"/>
      </w:rPr>
    </w:lvl>
  </w:abstractNum>
  <w:abstractNum w:abstractNumId="6">
    <w:nsid w:val="35CC08E2"/>
    <w:multiLevelType w:val="hybridMultilevel"/>
    <w:tmpl w:val="DADA9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1F4840"/>
    <w:multiLevelType w:val="hybridMultilevel"/>
    <w:tmpl w:val="22D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013C"/>
    <w:multiLevelType w:val="hybridMultilevel"/>
    <w:tmpl w:val="163E99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9002EE"/>
    <w:multiLevelType w:val="hybridMultilevel"/>
    <w:tmpl w:val="33EC4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C141DE"/>
    <w:multiLevelType w:val="hybridMultilevel"/>
    <w:tmpl w:val="5C0C9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131329"/>
    <w:multiLevelType w:val="hybridMultilevel"/>
    <w:tmpl w:val="97ECD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5"/>
    <w:rsid w:val="0003033A"/>
    <w:rsid w:val="00043CD8"/>
    <w:rsid w:val="00080991"/>
    <w:rsid w:val="00083842"/>
    <w:rsid w:val="00127B2A"/>
    <w:rsid w:val="001503D7"/>
    <w:rsid w:val="001A140C"/>
    <w:rsid w:val="001B50B6"/>
    <w:rsid w:val="001D4385"/>
    <w:rsid w:val="002024DD"/>
    <w:rsid w:val="00264300"/>
    <w:rsid w:val="002A0C4B"/>
    <w:rsid w:val="002A1BD4"/>
    <w:rsid w:val="002A3C1D"/>
    <w:rsid w:val="002D041F"/>
    <w:rsid w:val="002F55B4"/>
    <w:rsid w:val="00313D84"/>
    <w:rsid w:val="00331EC3"/>
    <w:rsid w:val="00385445"/>
    <w:rsid w:val="00392792"/>
    <w:rsid w:val="003A1D46"/>
    <w:rsid w:val="003A65E0"/>
    <w:rsid w:val="003C3BAF"/>
    <w:rsid w:val="003F05FE"/>
    <w:rsid w:val="003F0AED"/>
    <w:rsid w:val="00417291"/>
    <w:rsid w:val="00431105"/>
    <w:rsid w:val="00433947"/>
    <w:rsid w:val="00442F42"/>
    <w:rsid w:val="004732F0"/>
    <w:rsid w:val="004778FA"/>
    <w:rsid w:val="00486FAF"/>
    <w:rsid w:val="004B083C"/>
    <w:rsid w:val="004B789B"/>
    <w:rsid w:val="004D1B31"/>
    <w:rsid w:val="004F120C"/>
    <w:rsid w:val="00515CEE"/>
    <w:rsid w:val="0052172F"/>
    <w:rsid w:val="00556359"/>
    <w:rsid w:val="005612DC"/>
    <w:rsid w:val="00567B30"/>
    <w:rsid w:val="005939FA"/>
    <w:rsid w:val="00612625"/>
    <w:rsid w:val="00652339"/>
    <w:rsid w:val="006879BB"/>
    <w:rsid w:val="006A3901"/>
    <w:rsid w:val="00702913"/>
    <w:rsid w:val="00714FF8"/>
    <w:rsid w:val="00715269"/>
    <w:rsid w:val="007703B0"/>
    <w:rsid w:val="007B6B99"/>
    <w:rsid w:val="00800473"/>
    <w:rsid w:val="00827A2F"/>
    <w:rsid w:val="008420A8"/>
    <w:rsid w:val="00866480"/>
    <w:rsid w:val="00876B2C"/>
    <w:rsid w:val="00882235"/>
    <w:rsid w:val="008A39A3"/>
    <w:rsid w:val="008B2691"/>
    <w:rsid w:val="008C78A5"/>
    <w:rsid w:val="009669B2"/>
    <w:rsid w:val="00976423"/>
    <w:rsid w:val="009A6DF2"/>
    <w:rsid w:val="009E3A80"/>
    <w:rsid w:val="00A31185"/>
    <w:rsid w:val="00A37579"/>
    <w:rsid w:val="00A8769A"/>
    <w:rsid w:val="00AB0217"/>
    <w:rsid w:val="00AB1DEE"/>
    <w:rsid w:val="00AB4BD3"/>
    <w:rsid w:val="00B0241A"/>
    <w:rsid w:val="00B02CE2"/>
    <w:rsid w:val="00B11EA4"/>
    <w:rsid w:val="00B14810"/>
    <w:rsid w:val="00B255E8"/>
    <w:rsid w:val="00B64E7C"/>
    <w:rsid w:val="00B9504A"/>
    <w:rsid w:val="00BD441A"/>
    <w:rsid w:val="00BE68F0"/>
    <w:rsid w:val="00C31CD0"/>
    <w:rsid w:val="00C432AC"/>
    <w:rsid w:val="00CC4AAC"/>
    <w:rsid w:val="00CC6592"/>
    <w:rsid w:val="00D07384"/>
    <w:rsid w:val="00D11119"/>
    <w:rsid w:val="00D4485B"/>
    <w:rsid w:val="00D74407"/>
    <w:rsid w:val="00D754CC"/>
    <w:rsid w:val="00DB1F85"/>
    <w:rsid w:val="00DC527A"/>
    <w:rsid w:val="00DE769D"/>
    <w:rsid w:val="00E21C8A"/>
    <w:rsid w:val="00E22C81"/>
    <w:rsid w:val="00E57330"/>
    <w:rsid w:val="00E73C5B"/>
    <w:rsid w:val="00EA669F"/>
    <w:rsid w:val="00EA6E76"/>
    <w:rsid w:val="00ED23B2"/>
    <w:rsid w:val="00F03CF1"/>
    <w:rsid w:val="00F0502C"/>
    <w:rsid w:val="00F24DDB"/>
    <w:rsid w:val="00F46ACC"/>
    <w:rsid w:val="00F553AB"/>
    <w:rsid w:val="00F8286A"/>
    <w:rsid w:val="00F87D17"/>
    <w:rsid w:val="00FB26BB"/>
    <w:rsid w:val="00FC18ED"/>
    <w:rsid w:val="00FD3FF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8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26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B30"/>
  </w:style>
  <w:style w:type="paragraph" w:styleId="aa">
    <w:name w:val="footer"/>
    <w:basedOn w:val="a"/>
    <w:link w:val="ab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B30"/>
  </w:style>
  <w:style w:type="table" w:styleId="ac">
    <w:name w:val="Table Grid"/>
    <w:basedOn w:val="a1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33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8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26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B30"/>
  </w:style>
  <w:style w:type="paragraph" w:styleId="aa">
    <w:name w:val="footer"/>
    <w:basedOn w:val="a"/>
    <w:link w:val="ab"/>
    <w:uiPriority w:val="99"/>
    <w:unhideWhenUsed/>
    <w:rsid w:val="0056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B30"/>
  </w:style>
  <w:style w:type="table" w:styleId="ac">
    <w:name w:val="Table Grid"/>
    <w:basedOn w:val="a1"/>
    <w:uiPriority w:val="59"/>
    <w:rsid w:val="0088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33D-000E-46A3-96C3-854F221E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 Каленюк</cp:lastModifiedBy>
  <cp:revision>40</cp:revision>
  <dcterms:created xsi:type="dcterms:W3CDTF">2015-10-20T17:09:00Z</dcterms:created>
  <dcterms:modified xsi:type="dcterms:W3CDTF">2015-10-22T21:35:00Z</dcterms:modified>
</cp:coreProperties>
</file>