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b/>
          <w:b/>
          <w:bCs/>
          <w:sz w:val="28"/>
          <w:szCs w:val="28"/>
          <w:u w:val="single"/>
        </w:rPr>
      </w:pPr>
      <w:r>
        <w:rPr>
          <w:rFonts w:ascii="Times New Roman" w:hAnsi="Times New Roman"/>
          <w:b/>
          <w:bCs/>
          <w:sz w:val="28"/>
          <w:szCs w:val="28"/>
          <w:u w:val="single"/>
        </w:rPr>
        <w:t>Вариант 7</w:t>
      </w:r>
    </w:p>
    <w:p>
      <w:pPr>
        <w:pStyle w:val="Normal"/>
        <w:spacing w:lineRule="auto" w:line="276"/>
        <w:jc w:val="center"/>
        <w:rPr>
          <w:rFonts w:ascii="Times New Roman" w:hAnsi="Times New Roman"/>
          <w:b/>
          <w:b/>
          <w:bCs/>
          <w:sz w:val="28"/>
          <w:szCs w:val="28"/>
        </w:rPr>
      </w:pPr>
      <w:r>
        <w:rPr>
          <w:rFonts w:ascii="Times New Roman" w:hAnsi="Times New Roman"/>
          <w:b/>
          <w:bCs/>
          <w:sz w:val="28"/>
          <w:szCs w:val="28"/>
        </w:rPr>
        <w:t>1. Международные обычаи, обычаи делового оборота. Применение обычаев и обыкновений в международной торговле.</w:t>
      </w:r>
    </w:p>
    <w:p>
      <w:pPr>
        <w:pStyle w:val="Normal"/>
        <w:spacing w:lineRule="auto" w:line="276"/>
        <w:ind w:left="0" w:right="0" w:firstLine="680"/>
        <w:jc w:val="both"/>
        <w:rPr/>
      </w:pPr>
      <w:r>
        <w:rPr>
          <w:rFonts w:ascii="Times New Roman" w:hAnsi="Times New Roman"/>
          <w:color w:val="000000"/>
          <w:sz w:val="28"/>
          <w:szCs w:val="28"/>
          <w:highlight w:val="white"/>
        </w:rPr>
        <w:t>В международных коммерческих контрактах широко применяются международные обычаи. В МЧП выделяют особую категорию правовых обычаев - обычаи делового оборота.</w:t>
      </w:r>
    </w:p>
    <w:p>
      <w:pPr>
        <w:pStyle w:val="Normal"/>
        <w:spacing w:lineRule="auto" w:line="276"/>
        <w:ind w:left="0" w:right="0" w:firstLine="680"/>
        <w:jc w:val="both"/>
        <w:rPr/>
      </w:pPr>
      <w:r>
        <w:rPr>
          <w:rStyle w:val="Style11"/>
          <w:rFonts w:ascii="Times New Roman" w:hAnsi="Times New Roman"/>
          <w:b w:val="false"/>
          <w:i/>
          <w:caps w:val="false"/>
          <w:smallCaps w:val="false"/>
          <w:color w:val="000000"/>
          <w:spacing w:val="0"/>
          <w:sz w:val="28"/>
          <w:szCs w:val="28"/>
          <w:highlight w:val="white"/>
        </w:rPr>
        <w:t>Обычай делового оборота </w:t>
      </w:r>
      <w:r>
        <w:rPr>
          <w:rFonts w:ascii="Times New Roman" w:hAnsi="Times New Roman"/>
          <w:b w:val="false"/>
          <w:i w:val="false"/>
          <w:caps w:val="false"/>
          <w:smallCaps w:val="false"/>
          <w:color w:val="000000"/>
          <w:spacing w:val="0"/>
          <w:sz w:val="28"/>
          <w:szCs w:val="28"/>
          <w:highlight w:val="white"/>
        </w:rPr>
        <w:t>- это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 (ст. 5 ГК РФ). В постановлении Пленумов ВС РФ и ВАС РФ от 1 июля 1996 г. № 6/8 "О некоторых вопросах, связанных с применением части первой Гражданского кодекса Российской Федерации" указывается, что обычай делового оборота - это "не предусмотренное законодательством или договором, но сложившееся, то есть достаточно определенное в своем содержании, широко применяемое в какой-либо области предпринимательской деятельности правило поведения, например, традиции исполнения тех или иных обязательств".</w:t>
      </w:r>
    </w:p>
    <w:p>
      <w:pPr>
        <w:pStyle w:val="Normal"/>
        <w:spacing w:lineRule="auto" w:line="276"/>
        <w:ind w:left="0" w:right="0" w:firstLine="680"/>
        <w:jc w:val="both"/>
        <w:rPr/>
      </w:pPr>
      <w:r>
        <w:rPr>
          <w:rFonts w:ascii="Times New Roman" w:hAnsi="Times New Roman"/>
          <w:b w:val="false"/>
          <w:i w:val="false"/>
          <w:caps w:val="false"/>
          <w:smallCaps w:val="false"/>
          <w:color w:val="000000"/>
          <w:spacing w:val="0"/>
          <w:sz w:val="28"/>
          <w:szCs w:val="28"/>
          <w:highlight w:val="white"/>
        </w:rPr>
        <w:t>Среди обычаев делового оборота выделяется </w:t>
      </w:r>
      <w:r>
        <w:rPr>
          <w:rStyle w:val="Style11"/>
          <w:rFonts w:ascii="Times New Roman" w:hAnsi="Times New Roman"/>
          <w:b w:val="false"/>
          <w:i/>
          <w:caps w:val="false"/>
          <w:smallCaps w:val="false"/>
          <w:color w:val="000000"/>
          <w:spacing w:val="0"/>
          <w:sz w:val="28"/>
          <w:szCs w:val="28"/>
          <w:highlight w:val="white"/>
        </w:rPr>
        <w:t>международный торговый обычай. </w:t>
      </w:r>
      <w:r>
        <w:rPr>
          <w:rFonts w:ascii="Times New Roman" w:hAnsi="Times New Roman"/>
          <w:b w:val="false"/>
          <w:i w:val="false"/>
          <w:caps w:val="false"/>
          <w:smallCaps w:val="false"/>
          <w:color w:val="000000"/>
          <w:spacing w:val="0"/>
          <w:sz w:val="28"/>
          <w:szCs w:val="28"/>
          <w:highlight w:val="white"/>
        </w:rPr>
        <w:t>Термин "международный торговый обычай" является обобщающим и охватывает все применяемые в международной торговле правила не юридического характера - собственно обычаи, обыкновения, заведенный порядок. В доктрине отмечается, что определение классического международного торгового обычая закреплено в п. 1 ст. 9 Венской конвенции 1980 г.: "При отсутствии договоренности об ином считается, что стороны подразумевали применение к их договору или его заключению обычая, о котором они знали или должны были знать и который в международной торговле широко известен и постоянно соблюдается сторонами в договорах данного рода в соответствующей области торговли".</w:t>
      </w:r>
    </w:p>
    <w:p>
      <w:pPr>
        <w:pStyle w:val="Normal"/>
        <w:spacing w:lineRule="auto" w:line="276"/>
        <w:ind w:left="0" w:right="0" w:firstLine="680"/>
        <w:jc w:val="both"/>
        <w:rPr/>
      </w:pPr>
      <w:r>
        <w:rPr>
          <w:rFonts w:ascii="Times New Roman" w:hAnsi="Times New Roman"/>
          <w:color w:val="000000"/>
          <w:sz w:val="28"/>
          <w:szCs w:val="28"/>
          <w:highlight w:val="white"/>
        </w:rPr>
        <w:t>Международный торговый обычай - это единообразное правило поведения, сложившееся в практике международной торговли. Правило поведения можно квалифицировать как международный торговый обычай:</w:t>
      </w:r>
    </w:p>
    <w:p>
      <w:pPr>
        <w:pStyle w:val="Normal"/>
        <w:numPr>
          <w:ilvl w:val="0"/>
          <w:numId w:val="1"/>
        </w:numPr>
        <w:spacing w:lineRule="auto" w:line="276"/>
        <w:jc w:val="both"/>
        <w:rPr/>
      </w:pPr>
      <w:r>
        <w:rPr>
          <w:rFonts w:ascii="Times New Roman" w:hAnsi="Times New Roman"/>
          <w:color w:val="000000"/>
          <w:sz w:val="28"/>
          <w:szCs w:val="28"/>
          <w:highlight w:val="white"/>
        </w:rPr>
        <w:t>это устойчивая, регулярная, освоенная, единообразная практика международной торговли;</w:t>
      </w:r>
    </w:p>
    <w:p>
      <w:pPr>
        <w:pStyle w:val="Normal"/>
        <w:numPr>
          <w:ilvl w:val="0"/>
          <w:numId w:val="1"/>
        </w:numPr>
        <w:spacing w:lineRule="auto" w:line="276"/>
        <w:jc w:val="both"/>
        <w:rPr/>
      </w:pPr>
      <w:r>
        <w:rPr>
          <w:rFonts w:ascii="Times New Roman" w:hAnsi="Times New Roman"/>
          <w:color w:val="000000"/>
          <w:sz w:val="28"/>
          <w:szCs w:val="28"/>
          <w:highlight w:val="white"/>
        </w:rPr>
        <w:t>признание в качестве правовой нормы, т.е. санкционирован юридически обязательный характер.</w:t>
      </w:r>
    </w:p>
    <w:p>
      <w:pPr>
        <w:pStyle w:val="Normal"/>
        <w:spacing w:lineRule="auto" w:line="276"/>
        <w:ind w:left="0" w:right="0" w:firstLine="680"/>
        <w:jc w:val="both"/>
        <w:rPr/>
      </w:pPr>
      <w:r>
        <w:rPr>
          <w:rFonts w:ascii="Times New Roman" w:hAnsi="Times New Roman"/>
          <w:color w:val="000000"/>
          <w:sz w:val="28"/>
          <w:szCs w:val="28"/>
          <w:highlight w:val="white"/>
        </w:rPr>
        <w:t>Разрешение спора из международных коммерческих контрактов на основе торговых обычаев предусмотрено во многих национально-правовых и международно-правовых актах: "Третейский суд принимает решение в соответствии с условиями договора и с учетом торговых обычаев, применимых к данной сделке" (п. 3 ст. 28 Закона РФ о МКА). При разрешении дела "арбитры будут руководствоваться положениями контракта и торговыми обычаями" (п. 1 ст. VII Европейской конвенции о внешнеторговом арбитраже (1961)).</w:t>
      </w:r>
    </w:p>
    <w:p>
      <w:pPr>
        <w:pStyle w:val="Normal"/>
        <w:spacing w:lineRule="auto" w:line="276"/>
        <w:ind w:left="0" w:right="0" w:firstLine="680"/>
        <w:jc w:val="both"/>
        <w:rPr/>
      </w:pPr>
      <w:r>
        <w:rPr>
          <w:rFonts w:ascii="Times New Roman" w:hAnsi="Times New Roman"/>
          <w:b w:val="false"/>
          <w:i w:val="false"/>
          <w:caps w:val="false"/>
          <w:smallCaps w:val="false"/>
          <w:color w:val="000000"/>
          <w:spacing w:val="0"/>
          <w:sz w:val="28"/>
          <w:szCs w:val="28"/>
          <w:highlight w:val="white"/>
        </w:rPr>
        <w:t>В международном публичном и международном частном праве часто употребляется термин </w:t>
      </w:r>
      <w:r>
        <w:rPr>
          <w:rStyle w:val="Style11"/>
          <w:rFonts w:ascii="Times New Roman" w:hAnsi="Times New Roman"/>
          <w:b w:val="false"/>
          <w:i/>
          <w:caps w:val="false"/>
          <w:smallCaps w:val="false"/>
          <w:color w:val="000000"/>
          <w:spacing w:val="0"/>
          <w:sz w:val="28"/>
          <w:szCs w:val="28"/>
          <w:highlight w:val="white"/>
        </w:rPr>
        <w:t>обыкновение </w:t>
      </w:r>
      <w:r>
        <w:rPr>
          <w:rFonts w:ascii="Times New Roman" w:hAnsi="Times New Roman"/>
          <w:b w:val="false"/>
          <w:i w:val="false"/>
          <w:caps w:val="false"/>
          <w:smallCaps w:val="false"/>
          <w:color w:val="000000"/>
          <w:spacing w:val="0"/>
          <w:sz w:val="28"/>
          <w:szCs w:val="28"/>
          <w:highlight w:val="white"/>
        </w:rPr>
        <w:t>(торговое обыкновение). Обыкновение - это единообразное устойчивое правило, всеобщая практика, не имеющая юридической силы. Как правило, формирование обыкновения представляет собой первую стадию установления обычной нормы права. Процесс трансформации обыкновения в обычно-правовую норму предполагает его признание в качестве юридически обязательного правила поведения на международном или национальном уровне.</w:t>
      </w:r>
    </w:p>
    <w:p>
      <w:pPr>
        <w:pStyle w:val="Normal"/>
        <w:spacing w:lineRule="auto" w:line="276"/>
        <w:ind w:left="0" w:right="0" w:firstLine="680"/>
        <w:jc w:val="both"/>
        <w:rPr/>
      </w:pPr>
      <w:r>
        <w:rPr>
          <w:rFonts w:ascii="Times New Roman" w:hAnsi="Times New Roman"/>
          <w:color w:val="000000"/>
          <w:sz w:val="28"/>
          <w:szCs w:val="28"/>
          <w:highlight w:val="white"/>
        </w:rPr>
        <w:t>Обычай относится к устной категории источников права. Устная форма порождает различное толкование торговых обычаев и является основным недостатком их использования1. Необходимо отметить, что практически все международные и национальные правовые обычаи фиксируются в письменной форме (в судебной и арбитражной практике, путем установления обычных терминов проформ и типовых контрактов, в сборниках сведений о торговых обычаях, в "сводах" торговых обычаев, в частных неофициальных кодификациях международных обычаев).</w:t>
      </w:r>
    </w:p>
    <w:p>
      <w:pPr>
        <w:pStyle w:val="Normal"/>
        <w:spacing w:lineRule="auto" w:line="276"/>
        <w:ind w:left="0" w:right="0" w:firstLine="680"/>
        <w:jc w:val="both"/>
        <w:rPr/>
      </w:pPr>
      <w:r>
        <w:rPr>
          <w:rFonts w:ascii="Times New Roman" w:hAnsi="Times New Roman"/>
          <w:color w:val="000000"/>
          <w:sz w:val="28"/>
          <w:szCs w:val="28"/>
          <w:highlight w:val="white"/>
        </w:rPr>
        <w:t>С одной стороны, фиксация правила поведения в каком-либо документе неофициального характера (частный сборник, формуляр, стандартные условия) не означает, что оно приобрело письменную форму в юридическом смысле. С другой стороны, существование международного торгового обычая не зависит от его письменного закрепления. Письменный источник может рассматриваться как доказательство существования обычного правила.</w:t>
      </w:r>
    </w:p>
    <w:p>
      <w:pPr>
        <w:pStyle w:val="Normal"/>
        <w:spacing w:lineRule="auto" w:line="276"/>
        <w:ind w:left="0" w:right="0" w:firstLine="680"/>
        <w:jc w:val="both"/>
        <w:rPr/>
      </w:pPr>
      <w:r>
        <w:rPr>
          <w:rFonts w:ascii="Times New Roman" w:hAnsi="Times New Roman"/>
          <w:color w:val="000000"/>
          <w:sz w:val="28"/>
          <w:szCs w:val="28"/>
          <w:highlight w:val="white"/>
        </w:rPr>
        <w:t>Систематизацию обычаев делового оборота и международных торговых обыкновений в целях их единообразного толкования осуществляет МТП. Письменные сборники МТП (правила унифицированного толкования) не имеют самостоятельной юридической силы, однако могут опережать формирование обычая и приобретать по отношению к обычаям относительно самостоятельный статус.</w:t>
      </w:r>
    </w:p>
    <w:p>
      <w:pPr>
        <w:pStyle w:val="Normal"/>
        <w:spacing w:lineRule="auto" w:line="276"/>
        <w:ind w:left="0" w:right="0" w:firstLine="680"/>
        <w:jc w:val="both"/>
        <w:rPr/>
      </w:pPr>
      <w:r>
        <w:rPr>
          <w:rFonts w:ascii="Times New Roman" w:hAnsi="Times New Roman"/>
          <w:color w:val="000000"/>
          <w:sz w:val="28"/>
          <w:szCs w:val="28"/>
          <w:highlight w:val="white"/>
        </w:rPr>
        <w:t>МТП постоянно выпускает новые редакции унифицированных правил. Закрепление в очередной редакции какого-либо нового правила диктуется целесообразностью его применения в международной торговле. Не обязательно, чтобы данное правило уже было признано торговым обычаем или получило большое распространение. Таким образом, торговая практика формируется на основании рекомендаций МТП. Этот процесс можно обозначить как "сознательное формирование обычаев".</w:t>
      </w:r>
    </w:p>
    <w:p>
      <w:pPr>
        <w:pStyle w:val="Normal"/>
        <w:spacing w:lineRule="auto" w:line="276"/>
        <w:ind w:left="0" w:right="0" w:firstLine="680"/>
        <w:jc w:val="both"/>
        <w:rPr/>
      </w:pPr>
      <w:r>
        <w:rPr>
          <w:rFonts w:ascii="Times New Roman" w:hAnsi="Times New Roman"/>
          <w:color w:val="000000"/>
          <w:sz w:val="28"/>
          <w:szCs w:val="28"/>
          <w:highlight w:val="white"/>
        </w:rPr>
        <w:t>В практике международной торговли применяются Условия страхования грузов, разработанные Объединением лондонских страховщиков. Российское законодательство устанавливает, что условия, на которых заключается договор страхования, могут быть определены в стандартных правилах страхования, принятых страховщиком либо объединением страховщиков (п. 1 ст. 943 ГК). В договоре должна быть ссылка на эти правила, сами они должны быть изложены в одном документе с договором либо приложены к нему.</w:t>
      </w:r>
    </w:p>
    <w:p>
      <w:pPr>
        <w:pStyle w:val="Normal"/>
        <w:spacing w:lineRule="auto" w:line="276"/>
        <w:ind w:left="0" w:right="0" w:firstLine="680"/>
        <w:jc w:val="both"/>
        <w:rPr/>
      </w:pPr>
      <w:r>
        <w:rPr>
          <w:rFonts w:ascii="Times New Roman" w:hAnsi="Times New Roman"/>
          <w:color w:val="000000"/>
          <w:sz w:val="28"/>
          <w:szCs w:val="28"/>
          <w:highlight w:val="white"/>
        </w:rPr>
        <w:t>В доктрине подчеркивается, что это положение не применяется к общеизвестным правилам страхования, в частности к правилам Объединения лондонских страховщиков: если при заключении договора страхователь делает ссылку на указанные правила, то следует исходить из того, что они известны страхователю и нет необходимости прикладывать текст правил к договору.</w:t>
      </w:r>
    </w:p>
    <w:p>
      <w:pPr>
        <w:pStyle w:val="Normal"/>
        <w:spacing w:lineRule="auto" w:line="276"/>
        <w:ind w:left="0" w:right="0" w:firstLine="680"/>
        <w:jc w:val="both"/>
        <w:rPr/>
      </w:pPr>
      <w:r>
        <w:rPr>
          <w:rFonts w:ascii="Times New Roman" w:hAnsi="Times New Roman"/>
          <w:color w:val="000000"/>
          <w:sz w:val="28"/>
          <w:szCs w:val="28"/>
          <w:highlight w:val="white"/>
        </w:rPr>
        <w:t>По российскому законодательству обычаи делового оборота применяются только в той части, в которой они не противоречат нормам гражданского законодательства (императивным и диспозитивным) или договору (ст. 5, п. 5 ст. 421 ГК РФ). В отечественной доктрине подчеркивается, что применительно "к отношениям по договору международной купли-продажи следовало бы исходить из приоритета обычая делового оборота над диспозитивной нормой закона". Обычаи делового оборота должны учитываться судом для определения содержания договора при выяснении действительной общей воли его сторон. Обычаи делового оборота представляют собой подразумеваемые условия, которые стороны должны иметь в виду при заключении договора.</w:t>
      </w:r>
    </w:p>
    <w:p>
      <w:pPr>
        <w:pStyle w:val="Normal"/>
        <w:spacing w:lineRule="auto" w:line="276"/>
        <w:ind w:left="0" w:right="0" w:firstLine="680"/>
        <w:jc w:val="both"/>
        <w:rPr/>
      </w:pPr>
      <w:r>
        <w:rPr>
          <w:rFonts w:ascii="Times New Roman" w:hAnsi="Times New Roman"/>
          <w:color w:val="000000"/>
          <w:sz w:val="28"/>
          <w:szCs w:val="28"/>
          <w:highlight w:val="white"/>
        </w:rPr>
        <w:t>Во многих нормативных правовых актах подчеркивается "связанность" субъектов контракта обычно-правовыми нормами: "Если в договоре использованы принятые в международном обороте торговые термины, при отсутствии в договоре иных указаний считается, что сторонами согласовано применение к их отношениям обычаев делового оборота, обозначенных соответствующими торговыми терминами" (п. 6 ст. 1211 ГК РФ). Международный торговый обычай применяется к отношениям сторон как диспозитивная правовая норма, т.е. независимо от ссылки на него в контракте (п. 1 ст. 9 Венской конвенции 1980 г.).</w:t>
      </w:r>
    </w:p>
    <w:p>
      <w:pPr>
        <w:pStyle w:val="Normal"/>
        <w:spacing w:lineRule="auto" w:line="276"/>
        <w:jc w:val="both"/>
        <w:rPr>
          <w:rFonts w:ascii="Times New Roman" w:hAnsi="Times New Roman"/>
          <w:color w:val="000000"/>
          <w:sz w:val="28"/>
          <w:szCs w:val="28"/>
          <w:highlight w:val="white"/>
        </w:rPr>
      </w:pPr>
      <w:r>
        <w:rPr>
          <w:rFonts w:ascii="Times New Roman" w:hAnsi="Times New Roman"/>
          <w:color w:val="000000"/>
          <w:sz w:val="28"/>
          <w:szCs w:val="28"/>
          <w:highlight w:val="white"/>
        </w:rPr>
      </w:r>
    </w:p>
    <w:p>
      <w:pPr>
        <w:pStyle w:val="Normal"/>
        <w:spacing w:lineRule="auto" w:line="276"/>
        <w:jc w:val="both"/>
        <w:rPr>
          <w:rFonts w:ascii="Times New Roman" w:hAnsi="Times New Roman"/>
          <w:color w:val="000000"/>
          <w:sz w:val="28"/>
          <w:szCs w:val="28"/>
          <w:highlight w:val="white"/>
        </w:rPr>
      </w:pPr>
      <w:r>
        <w:rPr>
          <w:rFonts w:ascii="Times New Roman" w:hAnsi="Times New Roman"/>
          <w:color w:val="000000"/>
          <w:sz w:val="28"/>
          <w:szCs w:val="28"/>
          <w:highlight w:val="white"/>
        </w:rPr>
        <w:t>2. Подданный Иордании дважды вступал в брак по мусульманскому обряду в этой стране. В третий раз там же вступил в брак с российской гражданкой. Если бы иорданец захотел вступить в брак не в Иордании, а в России, мог ли российский загс зарегистрировать его брак с третьей женой? Можно ли было зарегистрировать такой брак в консульском отделе посольства РФ в Иордании?</w:t>
      </w:r>
    </w:p>
    <w:p>
      <w:pPr>
        <w:pStyle w:val="Normal"/>
        <w:spacing w:lineRule="auto" w:line="276"/>
        <w:jc w:val="both"/>
        <w:rPr>
          <w:rFonts w:ascii="Times New Roman" w:hAnsi="Times New Roman"/>
          <w:b/>
          <w:b/>
          <w:bCs/>
          <w:color w:val="000000"/>
          <w:sz w:val="28"/>
          <w:szCs w:val="28"/>
          <w:highlight w:val="white"/>
          <w:u w:val="single"/>
        </w:rPr>
      </w:pPr>
      <w:r>
        <w:rPr>
          <w:rFonts w:ascii="Times New Roman" w:hAnsi="Times New Roman"/>
          <w:b/>
          <w:bCs/>
          <w:color w:val="000000"/>
          <w:sz w:val="28"/>
          <w:szCs w:val="28"/>
          <w:highlight w:val="white"/>
          <w:u w:val="single"/>
        </w:rPr>
        <w:t>Решение:</w:t>
      </w:r>
    </w:p>
    <w:p>
      <w:pPr>
        <w:pStyle w:val="Normal"/>
        <w:spacing w:lineRule="auto" w:line="276"/>
        <w:ind w:left="0" w:right="0" w:firstLine="680"/>
        <w:jc w:val="both"/>
        <w:rPr>
          <w:rFonts w:ascii="Times New Roman" w:hAnsi="Times New Roman"/>
          <w:color w:val="000000"/>
          <w:sz w:val="28"/>
          <w:szCs w:val="28"/>
          <w:highlight w:val="white"/>
        </w:rPr>
      </w:pPr>
      <w:r>
        <w:rPr>
          <w:rFonts w:ascii="Times New Roman" w:hAnsi="Times New Roman"/>
          <w:color w:val="000000"/>
          <w:sz w:val="28"/>
          <w:szCs w:val="28"/>
          <w:highlight w:val="white"/>
        </w:rPr>
        <w:t>Такой брак не может быть объявлен в России недействительным. Известны случаи, когда мужчины из Сирии или из Объединенных Арабских Эмиратов, имея уже трех жен, предлагали российским гражданкам стать четвертой женой. Согласно ст. 14 Семейного кодекса РФ заключить такой брак в России нельзя, потому что наличие брака является препятствием для заключения нового брака в России. Но это можно сделать в другой стране.</w:t>
      </w:r>
    </w:p>
    <w:p>
      <w:pPr>
        <w:pStyle w:val="Normal"/>
        <w:spacing w:lineRule="auto" w:line="276"/>
        <w:ind w:left="0" w:right="0" w:firstLine="680"/>
        <w:jc w:val="both"/>
        <w:rPr>
          <w:rFonts w:ascii="Times New Roman" w:hAnsi="Times New Roman"/>
          <w:color w:val="000000"/>
          <w:sz w:val="28"/>
          <w:szCs w:val="28"/>
          <w:highlight w:val="white"/>
        </w:rPr>
      </w:pPr>
      <w:r>
        <w:rPr>
          <w:rFonts w:ascii="Times New Roman" w:hAnsi="Times New Roman"/>
          <w:color w:val="000000"/>
          <w:sz w:val="28"/>
          <w:szCs w:val="28"/>
          <w:highlight w:val="white"/>
        </w:rPr>
        <w:t>В ст. 167 Семейного кодекса РФ говорится не о противоречии иностранной нормы, допускающей полигамный брак, основам правопорядка РФ, а о последствиях применения такой нормы в Российской Федерации. Сами нормы иностранного права, допускающие полигамию, противоречат основным принципам российского семейного права, но это не означает, что полигамные браки, заключенные в стране, где они признаются, не могут порождать юридические последствия, признаваемые в нашей стране; нельзя, в частности, ссылаясь на оговорку о публичном порядке, возражать против признания в России алиментных обязательств членов полигамной семьи.</w:t>
      </w:r>
    </w:p>
    <w:p>
      <w:pPr>
        <w:pStyle w:val="Normal"/>
        <w:spacing w:lineRule="auto" w:line="276"/>
        <w:jc w:val="both"/>
        <w:rPr>
          <w:rFonts w:ascii="Times New Roman" w:hAnsi="Times New Roman"/>
          <w:color w:val="000000"/>
          <w:sz w:val="28"/>
          <w:szCs w:val="28"/>
          <w:highlight w:val="white"/>
        </w:rPr>
      </w:pPr>
      <w:r>
        <w:rPr>
          <w:rFonts w:ascii="Times New Roman" w:hAnsi="Times New Roman"/>
          <w:color w:val="000000"/>
          <w:sz w:val="28"/>
          <w:szCs w:val="28"/>
          <w:highlight w:val="white"/>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373"/>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Style13"/>
    <w:pPr/>
    <w:rPr/>
  </w:style>
  <w:style w:type="paragraph" w:styleId="2">
    <w:name w:val="Заголовок 2"/>
    <w:basedOn w:val="Style13"/>
    <w:pPr/>
    <w:rPr/>
  </w:style>
  <w:style w:type="paragraph" w:styleId="3">
    <w:name w:val="Заголовок 3"/>
    <w:basedOn w:val="Style13"/>
    <w:pPr/>
    <w:rPr/>
  </w:style>
  <w:style w:type="character" w:styleId="DefaultParagraphFont" w:default="1">
    <w:name w:val="Default Paragraph Font"/>
    <w:uiPriority w:val="1"/>
    <w:semiHidden/>
    <w:unhideWhenUsed/>
    <w:qFormat/>
    <w:rPr/>
  </w:style>
  <w:style w:type="character" w:styleId="Style11">
    <w:name w:val="Выделение жирным"/>
    <w:rPr>
      <w:b/>
      <w:bCs/>
    </w:rPr>
  </w:style>
  <w:style w:type="character" w:styleId="Style12">
    <w:name w:val="Маркеры списка"/>
    <w:qFormat/>
    <w:rPr>
      <w:rFonts w:ascii="OpenSymbol" w:hAnsi="OpenSymbol" w:eastAsia="OpenSymbol" w:cs="OpenSymbol"/>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Блочная цитата"/>
    <w:basedOn w:val="Normal"/>
    <w:qFormat/>
    <w:pPr/>
    <w:rPr/>
  </w:style>
  <w:style w:type="paragraph" w:styleId="Style19">
    <w:name w:val="Заглавие"/>
    <w:basedOn w:val="Style13"/>
    <w:pPr/>
    <w:rPr/>
  </w:style>
  <w:style w:type="paragraph" w:styleId="Style20">
    <w:name w:val="Подзаголовок"/>
    <w:basedOn w:val="Style13"/>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LibreOffice/5.0.1.2$Windows_X86_64 LibreOffice_project/81898c9f5c0d43f3473ba111d7b351050be20261</Application>
  <Paragraphs>22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2016-07-20T06:30:00Z</dcterms:created>
  <dc:creator>123</dc:creator>
  <dc:language>ru-RU</dc:language>
  <dcterms:modified xsi:type="dcterms:W3CDTF">2016-07-20T15:11:54Z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