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8" w:rsidRDefault="000909F8" w:rsidP="000909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9F8">
        <w:rPr>
          <w:rFonts w:ascii="Times New Roman" w:hAnsi="Times New Roman" w:cs="Times New Roman"/>
          <w:sz w:val="28"/>
          <w:szCs w:val="28"/>
        </w:rPr>
        <w:t xml:space="preserve">В рамках данной контрольной работы необходимо произвести расчет краевой функции, которая характеризует систему объектив-фотоматериал, а также построить распределение интенсивности штриховых деталей. </w:t>
      </w:r>
    </w:p>
    <w:p w:rsidR="000909F8" w:rsidRDefault="000909F8" w:rsidP="000909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9F8" w:rsidRDefault="000909F8" w:rsidP="000909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обоснование </w:t>
      </w:r>
    </w:p>
    <w:p w:rsidR="000909F8" w:rsidRDefault="000909F8" w:rsidP="0009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F8" w:rsidRPr="000909F8" w:rsidRDefault="000909F8" w:rsidP="00090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909F8">
        <w:rPr>
          <w:rFonts w:ascii="Times New Roman" w:hAnsi="Times New Roman" w:cs="Times New Roman"/>
          <w:sz w:val="28"/>
          <w:szCs w:val="28"/>
        </w:rPr>
        <w:t xml:space="preserve">очность передачи мелких деталей наряду с </w:t>
      </w:r>
      <w:proofErr w:type="spellStart"/>
      <w:r w:rsidRPr="000909F8">
        <w:rPr>
          <w:rFonts w:ascii="Times New Roman" w:hAnsi="Times New Roman" w:cs="Times New Roman"/>
          <w:sz w:val="28"/>
          <w:szCs w:val="28"/>
        </w:rPr>
        <w:t>тон</w:t>
      </w:r>
      <w:proofErr w:type="gramStart"/>
      <w:r w:rsidRPr="000909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909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09F8">
        <w:rPr>
          <w:rFonts w:ascii="Times New Roman" w:hAnsi="Times New Roman" w:cs="Times New Roman"/>
          <w:sz w:val="28"/>
          <w:szCs w:val="28"/>
        </w:rPr>
        <w:t xml:space="preserve"> и цветовоспроизведением определяет качество получаемого изображения.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9F8">
        <w:rPr>
          <w:rFonts w:ascii="Times New Roman" w:hAnsi="Times New Roman" w:cs="Times New Roman"/>
          <w:sz w:val="28"/>
          <w:szCs w:val="28"/>
        </w:rPr>
        <w:t xml:space="preserve"> отдельные звенья систем и системы обработки и передачи информации в целом отличаются общим фундаментальным свойством - размытием или инерционностью. Так, например, в случае ярко светящейся точки бесконечно малых размеров объектив в плоскости наилучшей фокусировки формирует ее оптическое изображение, которое представляет собой некоторое пятно размытия с постепенно убывающей интенсивностью от центра к краям пятна. При этом форма распределения интенсивности в пятне размытия характеризует свойство конкретного звена (в </w:t>
      </w:r>
      <w:r>
        <w:rPr>
          <w:rFonts w:ascii="Times New Roman" w:hAnsi="Times New Roman" w:cs="Times New Roman"/>
          <w:sz w:val="28"/>
          <w:szCs w:val="28"/>
        </w:rPr>
        <w:t>случае данной работы –</w:t>
      </w:r>
      <w:r w:rsidRPr="000909F8">
        <w:rPr>
          <w:rFonts w:ascii="Times New Roman" w:hAnsi="Times New Roman" w:cs="Times New Roman"/>
          <w:sz w:val="28"/>
          <w:szCs w:val="28"/>
        </w:rPr>
        <w:t xml:space="preserve"> объектива) или системы в целом воспроизводить детали яркости малых размеров, то есть определяет потери резкости в изображении мелких деталей.</w:t>
      </w:r>
    </w:p>
    <w:p w:rsidR="000909F8" w:rsidRPr="000909F8" w:rsidRDefault="000909F8" w:rsidP="00090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F8">
        <w:rPr>
          <w:rFonts w:ascii="Times New Roman" w:hAnsi="Times New Roman" w:cs="Times New Roman"/>
          <w:sz w:val="28"/>
          <w:szCs w:val="28"/>
        </w:rPr>
        <w:t xml:space="preserve">Для систем, обладающих свойствами линейности и </w:t>
      </w:r>
      <w:proofErr w:type="spellStart"/>
      <w:r w:rsidRPr="000909F8">
        <w:rPr>
          <w:rFonts w:ascii="Times New Roman" w:hAnsi="Times New Roman" w:cs="Times New Roman"/>
          <w:sz w:val="28"/>
          <w:szCs w:val="28"/>
        </w:rPr>
        <w:t>изотропности</w:t>
      </w:r>
      <w:proofErr w:type="spellEnd"/>
      <w:r w:rsidRPr="000909F8">
        <w:rPr>
          <w:rFonts w:ascii="Times New Roman" w:hAnsi="Times New Roman" w:cs="Times New Roman"/>
          <w:sz w:val="28"/>
          <w:szCs w:val="28"/>
        </w:rPr>
        <w:t>, размытие описывается посредством ряда взаимосвязанных функций. Для упрощения расчетов, а также для упрощения методов экспериментальной оценки, эти функции рассматриваются применительно к так называемым типовым одномерным объектам</w:t>
      </w:r>
      <w:r w:rsidR="00B3760A">
        <w:rPr>
          <w:rFonts w:ascii="Times New Roman" w:hAnsi="Times New Roman" w:cs="Times New Roman"/>
          <w:sz w:val="28"/>
          <w:szCs w:val="28"/>
        </w:rPr>
        <w:t xml:space="preserve">, один из которых край полуплоскости. </w:t>
      </w:r>
    </w:p>
    <w:p w:rsidR="000909F8" w:rsidRPr="00B3760A" w:rsidRDefault="000909F8" w:rsidP="00B376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60A">
        <w:rPr>
          <w:rFonts w:ascii="Times New Roman" w:hAnsi="Times New Roman" w:cs="Times New Roman"/>
          <w:sz w:val="28"/>
          <w:szCs w:val="28"/>
        </w:rPr>
        <w:t>Край полуплоскости - это резкая прямолинейная граница между освещенной и неосвещенной частями пространства (например, край лезвия ножа).</w:t>
      </w:r>
      <w:proofErr w:type="gramEnd"/>
      <w:r w:rsidRPr="00B3760A">
        <w:rPr>
          <w:rFonts w:ascii="Times New Roman" w:hAnsi="Times New Roman" w:cs="Times New Roman"/>
          <w:sz w:val="28"/>
          <w:szCs w:val="28"/>
        </w:rPr>
        <w:t xml:space="preserve"> Математически край полуплоскости можно записать при помощи зависимости типа (1):</w:t>
      </w:r>
    </w:p>
    <w:p w:rsidR="000909F8" w:rsidRDefault="003865E9" w:rsidP="000909F8">
      <w:pPr>
        <w:tabs>
          <w:tab w:val="left" w:pos="7513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=0 при 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&lt;0;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 при х ≥0.</m:t>
                </m:r>
              </m:e>
            </m:eqArr>
          </m:e>
        </m:d>
      </m:oMath>
      <w:r w:rsidR="000909F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909F8">
        <w:rPr>
          <w:rFonts w:ascii="Times New Roman" w:eastAsiaTheme="minorEastAsia" w:hAnsi="Times New Roman" w:cs="Times New Roman"/>
          <w:sz w:val="28"/>
          <w:szCs w:val="28"/>
        </w:rPr>
        <w:tab/>
        <w:t>(1)</w:t>
      </w:r>
    </w:p>
    <w:p w:rsidR="00A23CF1" w:rsidRDefault="00A23CF1" w:rsidP="000909F8">
      <w:pPr>
        <w:tabs>
          <w:tab w:val="left" w:pos="7513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3CF1" w:rsidRPr="000909F8" w:rsidRDefault="00A23CF1" w:rsidP="00A23CF1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F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A23CF1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A23C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3CF1">
        <w:rPr>
          <w:rFonts w:ascii="Times New Roman" w:hAnsi="Times New Roman" w:cs="Times New Roman"/>
          <w:sz w:val="28"/>
          <w:szCs w:val="28"/>
        </w:rPr>
        <w:t xml:space="preserve">) - распределение интенсивности в направлении </w:t>
      </w:r>
      <w:proofErr w:type="spellStart"/>
      <w:r w:rsidRPr="00A23C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3CF1">
        <w:rPr>
          <w:rFonts w:ascii="Times New Roman" w:hAnsi="Times New Roman" w:cs="Times New Roman"/>
          <w:sz w:val="28"/>
          <w:szCs w:val="28"/>
        </w:rPr>
        <w:t>, перпендикулярном направлению края полуплоскости.</w:t>
      </w:r>
      <w:r>
        <w:rPr>
          <w:rFonts w:ascii="Times New Roman" w:hAnsi="Times New Roman" w:cs="Times New Roman"/>
          <w:sz w:val="28"/>
          <w:szCs w:val="28"/>
        </w:rPr>
        <w:t xml:space="preserve"> На Рисунке 1 представлен край полуплоскости. </w:t>
      </w:r>
    </w:p>
    <w:p w:rsidR="000909F8" w:rsidRDefault="00B3760A" w:rsidP="0009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209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3C" w:rsidRDefault="00D8703C" w:rsidP="0009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03C" w:rsidRDefault="003B0D58" w:rsidP="0009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Краевая 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0D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описывает</w:t>
      </w:r>
      <w:r w:rsidRPr="003B0D58">
        <w:rPr>
          <w:rFonts w:ascii="Times New Roman" w:hAnsi="Times New Roman" w:cs="Times New Roman"/>
          <w:sz w:val="28"/>
          <w:szCs w:val="28"/>
        </w:rPr>
        <w:t xml:space="preserve"> распределение интенсивности в изображении края полуплоскости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5AA" w:rsidRDefault="00FB35AA" w:rsidP="00090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номером варианта (вариант номер 5), ширина штриха равна 40 мкм. </w:t>
      </w:r>
    </w:p>
    <w:p w:rsidR="00FB35AA" w:rsidRPr="00FB35AA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35AA" w:rsidRPr="00FB35AA">
        <w:rPr>
          <w:rFonts w:ascii="Times New Roman" w:hAnsi="Times New Roman" w:cs="Times New Roman"/>
          <w:sz w:val="28"/>
          <w:szCs w:val="28"/>
        </w:rPr>
        <w:t>епродукционная техническая система, передавая изображение, производит преобразование, оказывая свое воздействие на воспроизведение информации. Это воздействие может быть как полезным, так вредным, но оно существует объективно, и результаты этого воздействия могут быть названы естественными, или системными преобразованиями.</w:t>
      </w:r>
    </w:p>
    <w:p w:rsidR="00FB35AA" w:rsidRPr="00FB35AA" w:rsidRDefault="00FB35AA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A">
        <w:rPr>
          <w:rFonts w:ascii="Times New Roman" w:hAnsi="Times New Roman" w:cs="Times New Roman"/>
          <w:sz w:val="28"/>
          <w:szCs w:val="28"/>
        </w:rPr>
        <w:t xml:space="preserve">Одним из видов естественных преобразований в системе является фильтрация пространственных или временных частот в изображении. Описать эту фильтрацию можно с помощью функции передачи модуляции (ФПМ), которая, как правило, может рассматриваться в качестве фильтра нижних пространственных частот, осуществляющего снижение доли высокочастотных составляющих в пространственном Фурье-спектре изображения. Таким образом, ФПМ характеризует степень потери резкости </w:t>
      </w:r>
      <w:r w:rsidRPr="00FB35AA">
        <w:rPr>
          <w:rFonts w:ascii="Times New Roman" w:hAnsi="Times New Roman" w:cs="Times New Roman"/>
          <w:sz w:val="28"/>
          <w:szCs w:val="28"/>
        </w:rPr>
        <w:lastRenderedPageBreak/>
        <w:t>изображения, его мелких деталей в результате естественных частотных преобразований в системе или ее отдельных звеньях.</w:t>
      </w:r>
    </w:p>
    <w:p w:rsidR="00FB35AA" w:rsidRPr="00FB35AA" w:rsidRDefault="00FB35AA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A">
        <w:rPr>
          <w:rFonts w:ascii="Times New Roman" w:hAnsi="Times New Roman" w:cs="Times New Roman"/>
          <w:sz w:val="28"/>
          <w:szCs w:val="28"/>
        </w:rPr>
        <w:t>Для оценки возможных свойств системы и путей ее совершенствования целесообразно уметь оценивать ФПМ отдельных ее звеньев. Тогда можно достаточно легко определить то звено системы, которое может служить причиной неудовлетворительных свойств системы в целом. Такой анализ очень облегчает то положение, что для линейной системы ее совокупная ФПМ может быть найдена простым перемножением ФПМ отдельных звеньев системы.</w:t>
      </w:r>
    </w:p>
    <w:p w:rsidR="00FB35AA" w:rsidRPr="00FB35AA" w:rsidRDefault="00FB35AA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AA">
        <w:rPr>
          <w:rFonts w:ascii="Times New Roman" w:hAnsi="Times New Roman" w:cs="Times New Roman"/>
          <w:sz w:val="28"/>
          <w:szCs w:val="28"/>
        </w:rPr>
        <w:t>Во многих случаях предварительный анализ и выявление слабого звена системы, в наибольшей степени ответственного за ухудшение частотных свойств передаваемого изображения, можно сделать на основе применения моделей фильтрации и созданных на основе этих моделей расчетных методов определения ФПМ отдельных звеньев системы.</w:t>
      </w:r>
    </w:p>
    <w:p w:rsidR="002D0C7C" w:rsidRPr="002D0C7C" w:rsidRDefault="002D0C7C" w:rsidP="002D0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0C7C">
        <w:rPr>
          <w:rFonts w:ascii="Times New Roman" w:hAnsi="Times New Roman" w:cs="Times New Roman"/>
          <w:sz w:val="28"/>
          <w:szCs w:val="28"/>
        </w:rPr>
        <w:t>К числу практически важных задач относится расчет распределения интенсивности в изображении одиночной (отдельной) мелкой штриховой детали, воспроизводимой в системе с размытием.</w:t>
      </w:r>
    </w:p>
    <w:p w:rsidR="002D0C7C" w:rsidRP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7C">
        <w:rPr>
          <w:rFonts w:ascii="Times New Roman" w:hAnsi="Times New Roman" w:cs="Times New Roman"/>
          <w:sz w:val="28"/>
          <w:szCs w:val="28"/>
        </w:rPr>
        <w:t>Непосредственное применение ФПМ или расчет воспроизведения в соответствии с интегральными преобразованиями по прямой теореме свертки в данном случае являются достаточно трудоемкими. Более просто и наглядно эта задача решается с использованием КФ. Таким образом, возникает необходимость в преобразовании ФПМ в КФ.</w:t>
      </w:r>
    </w:p>
    <w:p w:rsid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7C">
        <w:rPr>
          <w:rFonts w:ascii="Times New Roman" w:hAnsi="Times New Roman" w:cs="Times New Roman"/>
          <w:sz w:val="28"/>
          <w:szCs w:val="28"/>
        </w:rPr>
        <w:t xml:space="preserve">С другой стороны, в ряде случаев при исследовании системы или ее отдельных звеньев бывает невозможным размещение в объекте </w:t>
      </w:r>
      <w:proofErr w:type="gramStart"/>
      <w:r w:rsidRPr="002D0C7C">
        <w:rPr>
          <w:rFonts w:ascii="Times New Roman" w:hAnsi="Times New Roman" w:cs="Times New Roman"/>
          <w:sz w:val="28"/>
          <w:szCs w:val="28"/>
        </w:rPr>
        <w:t>периодического</w:t>
      </w:r>
      <w:proofErr w:type="gramEnd"/>
      <w:r w:rsidRPr="002D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C7C">
        <w:rPr>
          <w:rFonts w:ascii="Times New Roman" w:hAnsi="Times New Roman" w:cs="Times New Roman"/>
          <w:sz w:val="28"/>
          <w:szCs w:val="28"/>
        </w:rPr>
        <w:t>тест-объекта</w:t>
      </w:r>
      <w:proofErr w:type="spellEnd"/>
      <w:r w:rsidRPr="002D0C7C">
        <w:rPr>
          <w:rFonts w:ascii="Times New Roman" w:hAnsi="Times New Roman" w:cs="Times New Roman"/>
          <w:sz w:val="28"/>
          <w:szCs w:val="28"/>
        </w:rPr>
        <w:t>, но в то же время в самом объекте имеются отдельные детали с резкими краями. Анализ таких деталей позволяет получить КФ. Следовательно, в этом случае для оценки передаточных свойств возникает необходимость в решении обратной задачи - переходе от КФ к ФПМ.</w:t>
      </w:r>
    </w:p>
    <w:p w:rsid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2D0C7C">
        <w:rPr>
          <w:rFonts w:ascii="Times New Roman" w:hAnsi="Times New Roman" w:cs="Times New Roman"/>
          <w:sz w:val="28"/>
          <w:szCs w:val="28"/>
        </w:rPr>
        <w:t xml:space="preserve">ля вычисления ФПМ по КФ необходимо найти точку симметрии краевой функции.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0C7C">
        <w:rPr>
          <w:rFonts w:ascii="Times New Roman" w:hAnsi="Times New Roman" w:cs="Times New Roman"/>
          <w:sz w:val="28"/>
          <w:szCs w:val="28"/>
        </w:rPr>
        <w:t xml:space="preserve">очка симметрии краевой функции имеет координаты (0; 0,5). Затем КФ по оси абсцисс разделяется на равные отрезки размером </w:t>
      </w:r>
    </w:p>
    <w:p w:rsidR="002D0C7C" w:rsidRPr="002D0C7C" w:rsidRDefault="002D0C7C" w:rsidP="002D0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C7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D0C7C">
        <w:rPr>
          <w:rFonts w:ascii="Times New Roman" w:hAnsi="Times New Roman" w:cs="Times New Roman"/>
          <w:sz w:val="28"/>
          <w:szCs w:val="28"/>
        </w:rPr>
        <w:t xml:space="preserve"> = 1/2v, где </w:t>
      </w:r>
      <w:proofErr w:type="spellStart"/>
      <w:r w:rsidRPr="002D0C7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2D0C7C">
        <w:rPr>
          <w:rFonts w:ascii="Times New Roman" w:hAnsi="Times New Roman" w:cs="Times New Roman"/>
          <w:sz w:val="28"/>
          <w:szCs w:val="28"/>
        </w:rPr>
        <w:t xml:space="preserve"> - пространственная частота, для которой определяется коэффициент передачи</w:t>
      </w:r>
      <w:r>
        <w:rPr>
          <w:rFonts w:ascii="Times New Roman" w:hAnsi="Times New Roman" w:cs="Times New Roman"/>
          <w:sz w:val="28"/>
          <w:szCs w:val="28"/>
        </w:rPr>
        <w:t xml:space="preserve"> модуляции в соответствии с заданием. </w:t>
      </w:r>
    </w:p>
    <w:p w:rsid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C7C">
        <w:rPr>
          <w:rFonts w:ascii="Times New Roman" w:hAnsi="Times New Roman" w:cs="Times New Roman"/>
          <w:sz w:val="28"/>
          <w:szCs w:val="28"/>
        </w:rPr>
        <w:t xml:space="preserve">При этом центральный отрезок размещается симметрично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точки симметрии КФ. </w:t>
      </w:r>
    </w:p>
    <w:p w:rsidR="002D0C7C" w:rsidRP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КФ заключается в ее построении по рассчитанной Ʈ</w:t>
      </w:r>
      <w:r w:rsidRPr="002D0C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2D0C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2D0C7C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 w:rsidRPr="002D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Ʈ</w:t>
      </w:r>
      <w:r w:rsidRPr="002D0C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2D0C7C">
        <w:rPr>
          <w:rFonts w:ascii="Times New Roman" w:hAnsi="Times New Roman" w:cs="Times New Roman"/>
          <w:sz w:val="28"/>
          <w:szCs w:val="28"/>
        </w:rPr>
        <w:t xml:space="preserve"> - коэффициент передачи моду</w:t>
      </w:r>
      <w:r>
        <w:rPr>
          <w:rFonts w:ascii="Times New Roman" w:hAnsi="Times New Roman" w:cs="Times New Roman"/>
          <w:sz w:val="28"/>
          <w:szCs w:val="28"/>
        </w:rPr>
        <w:t xml:space="preserve">ляции на произвольной частоте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7C" w:rsidRDefault="002D0C7C" w:rsidP="002D0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Ʈ</w:t>
      </w:r>
      <w:r w:rsidRPr="002D0C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C7C">
        <w:rPr>
          <w:rFonts w:ascii="Times New Roman" w:hAnsi="Times New Roman" w:cs="Times New Roman"/>
          <w:sz w:val="28"/>
          <w:szCs w:val="28"/>
        </w:rPr>
        <w:t xml:space="preserve">коэффициент передачи модуляции на частоте, втрое меньшей частоты </w:t>
      </w:r>
      <w:proofErr w:type="spellStart"/>
      <w:r w:rsidRPr="002D0C7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2D0C7C">
        <w:rPr>
          <w:rFonts w:ascii="Times New Roman" w:hAnsi="Times New Roman" w:cs="Times New Roman"/>
          <w:sz w:val="28"/>
          <w:szCs w:val="28"/>
        </w:rPr>
        <w:t>.</w:t>
      </w:r>
    </w:p>
    <w:p w:rsidR="00551A9C" w:rsidRPr="00551A9C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9C">
        <w:rPr>
          <w:rFonts w:ascii="Times New Roman" w:hAnsi="Times New Roman" w:cs="Times New Roman"/>
          <w:sz w:val="28"/>
          <w:szCs w:val="28"/>
        </w:rPr>
        <w:t>Наряду с КФ и ФРЛ для описания размытия в системе отображения изобразительной информации используется еще одна из важнейших характеристик линейных систем - функция передачи модуляции (ФПМ). Эта функция, также ка</w:t>
      </w:r>
      <w:r>
        <w:rPr>
          <w:rFonts w:ascii="Times New Roman" w:hAnsi="Times New Roman" w:cs="Times New Roman"/>
          <w:sz w:val="28"/>
          <w:szCs w:val="28"/>
        </w:rPr>
        <w:t xml:space="preserve">к и ранее рассмотренные функции, </w:t>
      </w:r>
      <w:r w:rsidRPr="00551A9C">
        <w:rPr>
          <w:rFonts w:ascii="Times New Roman" w:hAnsi="Times New Roman" w:cs="Times New Roman"/>
          <w:sz w:val="28"/>
          <w:szCs w:val="28"/>
        </w:rPr>
        <w:t>содержит ту же информацию о размытии, а все эти функции могут быть найдены одна из другой с помощью соответствующих математических преобразований.</w:t>
      </w:r>
    </w:p>
    <w:p w:rsidR="00551A9C" w:rsidRPr="00551A9C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9C">
        <w:rPr>
          <w:rFonts w:ascii="Times New Roman" w:hAnsi="Times New Roman" w:cs="Times New Roman"/>
          <w:sz w:val="28"/>
          <w:szCs w:val="28"/>
        </w:rPr>
        <w:t xml:space="preserve">Необходимость перехода от одной функции к другой обусловлена тем, что при принципиально одинаковом информационном содержании различных функций они обладают различными практическими свойствами. Например, отличительным свойством метода ФПМ является простота расчета передаточной характеристики системы </w:t>
      </w:r>
      <w:proofErr w:type="gramStart"/>
      <w:r w:rsidRPr="00551A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1A9C">
        <w:rPr>
          <w:rFonts w:ascii="Times New Roman" w:hAnsi="Times New Roman" w:cs="Times New Roman"/>
          <w:sz w:val="28"/>
          <w:szCs w:val="28"/>
        </w:rPr>
        <w:t xml:space="preserve"> известным ФПМ ее отдельных звеньев. Кроме того, определение ФПМ обычно более доступно и точно, чем определение ФРЛ или краевой функции.</w:t>
      </w:r>
    </w:p>
    <w:p w:rsidR="00551A9C" w:rsidRPr="00551A9C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9C">
        <w:rPr>
          <w:rFonts w:ascii="Times New Roman" w:hAnsi="Times New Roman" w:cs="Times New Roman"/>
          <w:sz w:val="28"/>
          <w:szCs w:val="28"/>
        </w:rPr>
        <w:t xml:space="preserve">ФПМ может быть </w:t>
      </w:r>
      <w:proofErr w:type="gramStart"/>
      <w:r w:rsidRPr="00551A9C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551A9C">
        <w:rPr>
          <w:rFonts w:ascii="Times New Roman" w:hAnsi="Times New Roman" w:cs="Times New Roman"/>
          <w:sz w:val="28"/>
          <w:szCs w:val="28"/>
        </w:rPr>
        <w:t xml:space="preserve"> либо с использованием соответствующих экспериментальных данных, либо пересчетом по известной функции ФРЛ или КФ, либо непосредственно расчетным путем на основе теоретических посылок.</w:t>
      </w:r>
    </w:p>
    <w:p w:rsidR="00551A9C" w:rsidRPr="00551A9C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A9C" w:rsidRPr="00CF44D7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A9C">
        <w:rPr>
          <w:rFonts w:ascii="Times New Roman" w:hAnsi="Times New Roman" w:cs="Times New Roman"/>
          <w:sz w:val="28"/>
          <w:szCs w:val="28"/>
        </w:rPr>
        <w:lastRenderedPageBreak/>
        <w:t>ФПМ определяет величину коэффициента передачи контраста в изображении одномерной решетки с синусоидальным распределением зависимости от пространственной частоты этой решетки. Численно коэффициент передачи контраста</w:t>
      </w:r>
      <w:r>
        <w:rPr>
          <w:rFonts w:ascii="Times New Roman" w:hAnsi="Times New Roman" w:cs="Times New Roman"/>
          <w:sz w:val="28"/>
          <w:szCs w:val="28"/>
        </w:rPr>
        <w:t xml:space="preserve"> Ʈ</w:t>
      </w:r>
      <w:r w:rsidRPr="002D0C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A9C">
        <w:rPr>
          <w:rFonts w:ascii="Times New Roman" w:hAnsi="Times New Roman" w:cs="Times New Roman"/>
          <w:sz w:val="28"/>
          <w:szCs w:val="28"/>
        </w:rPr>
        <w:t xml:space="preserve">синусоидального сигнала для пространственной частоты </w:t>
      </w:r>
      <w:proofErr w:type="spellStart"/>
      <w:r w:rsidRPr="00551A9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51A9C">
        <w:rPr>
          <w:rFonts w:ascii="Times New Roman" w:hAnsi="Times New Roman" w:cs="Times New Roman"/>
          <w:sz w:val="28"/>
          <w:szCs w:val="28"/>
        </w:rPr>
        <w:t xml:space="preserve"> равен отношению коэффициента модуляции в изображении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551A9C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5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1A9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1A9C">
        <w:rPr>
          <w:rFonts w:ascii="Times New Roman" w:hAnsi="Times New Roman" w:cs="Times New Roman"/>
          <w:sz w:val="28"/>
          <w:szCs w:val="28"/>
        </w:rPr>
        <w:t xml:space="preserve"> коэффициенту модуляции в объекте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 w:rsidRPr="00551A9C">
        <w:rPr>
          <w:rFonts w:ascii="Times New Roman" w:hAnsi="Times New Roman" w:cs="Times New Roman"/>
          <w:sz w:val="28"/>
          <w:szCs w:val="28"/>
        </w:rPr>
        <w:t>.</w:t>
      </w:r>
      <w:r w:rsidR="00CF44D7" w:rsidRPr="00CF44D7">
        <w:rPr>
          <w:rFonts w:ascii="Times New Roman" w:hAnsi="Times New Roman" w:cs="Times New Roman"/>
          <w:sz w:val="28"/>
          <w:szCs w:val="28"/>
        </w:rPr>
        <w:t>(1):</w:t>
      </w:r>
    </w:p>
    <w:p w:rsidR="00CF44D7" w:rsidRPr="00CF44D7" w:rsidRDefault="00CF44D7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D7" w:rsidRPr="00CF44D7" w:rsidRDefault="00CF44D7" w:rsidP="00CF44D7">
      <w:pPr>
        <w:tabs>
          <w:tab w:val="left" w:pos="8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Ʈ</w:t>
      </w:r>
      <w:r w:rsidRPr="002D0C7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gramEnd"/>
      <w:r w:rsidRPr="00551A9C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CF44D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F44D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51A9C" w:rsidRDefault="00551A9C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736D" w:rsidRDefault="00EF736D" w:rsidP="0055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6D">
        <w:rPr>
          <w:rFonts w:ascii="Times New Roman" w:hAnsi="Times New Roman" w:cs="Times New Roman"/>
          <w:sz w:val="28"/>
          <w:szCs w:val="28"/>
        </w:rPr>
        <w:t xml:space="preserve">Коэффициенты модуляции, в свою очередь, равны (2)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736D">
        <w:rPr>
          <w:rFonts w:ascii="Times New Roman" w:hAnsi="Times New Roman" w:cs="Times New Roman"/>
          <w:sz w:val="28"/>
          <w:szCs w:val="28"/>
        </w:rPr>
        <w:t xml:space="preserve"> (3)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EF73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36D" w:rsidRDefault="007F1A95" w:rsidP="007F1A95">
      <w:pPr>
        <w:tabs>
          <w:tab w:val="left" w:pos="8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gramEnd"/>
      <w:r w:rsidRPr="00551A9C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1A9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7F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(2)</w:t>
      </w:r>
    </w:p>
    <w:p w:rsidR="007F1A95" w:rsidRDefault="007F1A95" w:rsidP="007F1A95">
      <w:pPr>
        <w:tabs>
          <w:tab w:val="left" w:pos="8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51A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об </w:t>
      </w:r>
      <w:r w:rsidRPr="007F1A9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7F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(3)</w:t>
      </w:r>
    </w:p>
    <w:p w:rsidR="007F1A95" w:rsidRDefault="00F539C1" w:rsidP="007F1A95">
      <w:pPr>
        <w:tabs>
          <w:tab w:val="left" w:pos="8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7F1A95">
        <w:rPr>
          <w:rFonts w:ascii="Times New Roman" w:hAnsi="Times New Roman" w:cs="Times New Roman"/>
          <w:sz w:val="28"/>
          <w:szCs w:val="28"/>
          <w:vertAlign w:val="superscript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об</w:t>
      </w:r>
      <w:r w:rsidRPr="00F5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9C1">
        <w:rPr>
          <w:rFonts w:ascii="Times New Roman" w:hAnsi="Times New Roman" w:cs="Times New Roman"/>
          <w:sz w:val="28"/>
          <w:szCs w:val="28"/>
        </w:rPr>
        <w:t xml:space="preserve">максимальное и минимальное значение интенсивности синусоидальной решетки частоты </w:t>
      </w:r>
      <w:proofErr w:type="spellStart"/>
      <w:r w:rsidRPr="00F539C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539C1">
        <w:rPr>
          <w:rFonts w:ascii="Times New Roman" w:hAnsi="Times New Roman" w:cs="Times New Roman"/>
          <w:sz w:val="28"/>
          <w:szCs w:val="28"/>
        </w:rPr>
        <w:t xml:space="preserve"> в объекте и в изображении.</w:t>
      </w:r>
    </w:p>
    <w:p w:rsidR="00524677" w:rsidRPr="00524677" w:rsidRDefault="00524677" w:rsidP="007F1A95">
      <w:pPr>
        <w:tabs>
          <w:tab w:val="left" w:pos="80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необходимо построить распределение интенсивности</w:t>
      </w:r>
      <w:r w:rsidRPr="00524677">
        <w:rPr>
          <w:rFonts w:ascii="Times New Roman" w:hAnsi="Times New Roman" w:cs="Times New Roman"/>
          <w:sz w:val="28"/>
          <w:szCs w:val="28"/>
        </w:rPr>
        <w:t>:</w:t>
      </w:r>
    </w:p>
    <w:p w:rsidR="00524677" w:rsidRPr="00EF736D" w:rsidRDefault="005E561E" w:rsidP="005E561E">
      <w:pPr>
        <w:tabs>
          <w:tab w:val="left" w:pos="8080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561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24677" w:rsidRPr="00EF736D" w:rsidSect="009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4A2"/>
    <w:multiLevelType w:val="hybridMultilevel"/>
    <w:tmpl w:val="254AE78E"/>
    <w:lvl w:ilvl="0" w:tplc="BF12BBA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A5F18"/>
    <w:multiLevelType w:val="hybridMultilevel"/>
    <w:tmpl w:val="4E7A0F3C"/>
    <w:lvl w:ilvl="0" w:tplc="7B4CA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F8"/>
    <w:rsid w:val="000909F8"/>
    <w:rsid w:val="000B2894"/>
    <w:rsid w:val="002D0C7C"/>
    <w:rsid w:val="003865E9"/>
    <w:rsid w:val="003B0D58"/>
    <w:rsid w:val="00436925"/>
    <w:rsid w:val="00524677"/>
    <w:rsid w:val="00551A9C"/>
    <w:rsid w:val="005E561E"/>
    <w:rsid w:val="00622BD9"/>
    <w:rsid w:val="007F1A95"/>
    <w:rsid w:val="00927EE0"/>
    <w:rsid w:val="00941725"/>
    <w:rsid w:val="00A23CF1"/>
    <w:rsid w:val="00AB48B3"/>
    <w:rsid w:val="00B3760A"/>
    <w:rsid w:val="00BD2CAC"/>
    <w:rsid w:val="00CF44D7"/>
    <w:rsid w:val="00D8203D"/>
    <w:rsid w:val="00D8703C"/>
    <w:rsid w:val="00EF736D"/>
    <w:rsid w:val="00F539C1"/>
    <w:rsid w:val="00F8476E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D"/>
  </w:style>
  <w:style w:type="paragraph" w:styleId="1">
    <w:name w:val="heading 1"/>
    <w:basedOn w:val="a"/>
    <w:next w:val="a"/>
    <w:link w:val="10"/>
    <w:uiPriority w:val="9"/>
    <w:qFormat/>
    <w:rsid w:val="00D82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0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20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20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8203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8203D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a5">
    <w:name w:val="ТЕКСТ"/>
    <w:basedOn w:val="a"/>
    <w:link w:val="a6"/>
    <w:qFormat/>
    <w:rsid w:val="00D8203D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Знак"/>
    <w:link w:val="a5"/>
    <w:rsid w:val="00D8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F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909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2;&#1089;&#1080;&#1084;&#1080;&#1088;\&#1040;&#1074;&#1090;&#1086;&#1088;\&#1052;&#1091;&#1089;&#1086;&#1088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v>Коэфициент передачи контраста фотоматериала</c:v>
          </c:tx>
          <c:marker>
            <c:symbol val="none"/>
          </c:marker>
          <c:cat>
            <c:numRef>
              <c:f>Лист1!$A$6:$F$6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cat>
          <c:val>
            <c:numRef>
              <c:f>Лист1!$A$1:$F$1</c:f>
              <c:numCache>
                <c:formatCode>General</c:formatCode>
                <c:ptCount val="6"/>
                <c:pt idx="0">
                  <c:v>1</c:v>
                </c:pt>
                <c:pt idx="1">
                  <c:v>0.8</c:v>
                </c:pt>
                <c:pt idx="2">
                  <c:v>0.4</c:v>
                </c:pt>
                <c:pt idx="3">
                  <c:v>0.25</c:v>
                </c:pt>
                <c:pt idx="4">
                  <c:v>0.15000000000000002</c:v>
                </c:pt>
                <c:pt idx="5">
                  <c:v>0.05</c:v>
                </c:pt>
              </c:numCache>
            </c:numRef>
          </c:val>
        </c:ser>
        <c:ser>
          <c:idx val="1"/>
          <c:order val="1"/>
          <c:tx>
            <c:v>Коэфициент передачи контраста объектива</c:v>
          </c:tx>
          <c:marker>
            <c:symbol val="none"/>
          </c:marker>
          <c:val>
            <c:numRef>
              <c:f>Лист1!$A$3:$F$3</c:f>
              <c:numCache>
                <c:formatCode>General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0.60000000000000009</c:v>
                </c:pt>
                <c:pt idx="3">
                  <c:v>0.4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</c:ser>
        <c:marker val="1"/>
        <c:axId val="126824832"/>
        <c:axId val="126826368"/>
      </c:lineChart>
      <c:catAx>
        <c:axId val="126824832"/>
        <c:scaling>
          <c:orientation val="minMax"/>
        </c:scaling>
        <c:axPos val="b"/>
        <c:majorGridlines/>
        <c:numFmt formatCode="General" sourceLinked="1"/>
        <c:tickLblPos val="nextTo"/>
        <c:crossAx val="126826368"/>
        <c:crosses val="autoZero"/>
        <c:auto val="1"/>
        <c:lblAlgn val="ctr"/>
        <c:lblOffset val="100"/>
      </c:catAx>
      <c:valAx>
        <c:axId val="126826368"/>
        <c:scaling>
          <c:orientation val="minMax"/>
        </c:scaling>
        <c:axPos val="l"/>
        <c:majorGridlines/>
        <c:numFmt formatCode="General" sourceLinked="1"/>
        <c:tickLblPos val="nextTo"/>
        <c:crossAx val="1268248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Igorella</dc:creator>
  <cp:lastModifiedBy>Igorella</cp:lastModifiedBy>
  <cp:revision>2</cp:revision>
  <dcterms:created xsi:type="dcterms:W3CDTF">2017-09-09T19:52:00Z</dcterms:created>
  <dcterms:modified xsi:type="dcterms:W3CDTF">2017-09-09T19:52:00Z</dcterms:modified>
</cp:coreProperties>
</file>