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8B" w:rsidRPr="00D84BF3" w:rsidRDefault="0086348B" w:rsidP="007F3354">
      <w:pPr>
        <w:pStyle w:val="a4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F006BC" w:rsidRPr="00D84BF3" w:rsidRDefault="00F006BC" w:rsidP="007F3354">
      <w:pPr>
        <w:pStyle w:val="a4"/>
        <w:spacing w:before="100" w:beforeAutospacing="1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E6BB0" w:rsidRPr="00D84BF3" w:rsidRDefault="00BE6BB0" w:rsidP="007F3354">
      <w:pPr>
        <w:pStyle w:val="a4"/>
        <w:spacing w:before="100" w:beforeAutospacing="1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E6BB0" w:rsidRPr="00D84BF3" w:rsidRDefault="00BE6BB0" w:rsidP="00BE6BB0">
      <w:pPr>
        <w:pStyle w:val="a4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Модуль 4</w:t>
      </w:r>
    </w:p>
    <w:p w:rsidR="009473C7" w:rsidRPr="00D84BF3" w:rsidRDefault="009473C7" w:rsidP="009473C7">
      <w:pPr>
        <w:pStyle w:val="a5"/>
        <w:shd w:val="clear" w:color="auto" w:fill="FFFFFF"/>
        <w:spacing w:before="0" w:beforeAutospacing="0" w:after="257" w:afterAutospacing="0"/>
        <w:textAlignment w:val="top"/>
        <w:rPr>
          <w:color w:val="000000"/>
        </w:rPr>
      </w:pPr>
      <w:r w:rsidRPr="00D84BF3">
        <w:rPr>
          <w:color w:val="000000"/>
        </w:rPr>
        <w:t>Корректируем показатели бухгалтерской отчетности на индекс покупательной способности</w:t>
      </w:r>
    </w:p>
    <w:p w:rsidR="009473C7" w:rsidRPr="00D84BF3" w:rsidRDefault="009473C7" w:rsidP="009473C7">
      <w:pPr>
        <w:pStyle w:val="a5"/>
        <w:shd w:val="clear" w:color="auto" w:fill="FFFFFF"/>
        <w:spacing w:before="0" w:beforeAutospacing="0" w:after="257" w:afterAutospacing="0"/>
        <w:textAlignment w:val="top"/>
        <w:rPr>
          <w:color w:val="000000"/>
        </w:rPr>
      </w:pPr>
      <w:r w:rsidRPr="00D84BF3">
        <w:rPr>
          <w:color w:val="000000"/>
        </w:rPr>
        <w:t>Для расчета индекса покупательной способности используется следующая формула:</w:t>
      </w:r>
    </w:p>
    <w:p w:rsidR="009473C7" w:rsidRPr="00D84BF3" w:rsidRDefault="009473C7" w:rsidP="009473C7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D84BF3">
        <w:rPr>
          <w:rStyle w:val="a6"/>
          <w:rFonts w:eastAsiaTheme="majorEastAsia"/>
          <w:color w:val="333030"/>
          <w:bdr w:val="none" w:sz="0" w:space="0" w:color="auto" w:frame="1"/>
        </w:rPr>
        <w:t>ИПС = 1 / Индекс потребительских цен</w:t>
      </w:r>
    </w:p>
    <w:p w:rsidR="00BE6BB0" w:rsidRPr="00D84BF3" w:rsidRDefault="009473C7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Данные индекса потребительских цен найдем на сайте Госкомстата. Индекс потребительских</w:t>
      </w:r>
      <w:r w:rsidR="001B591D" w:rsidRPr="00D84BF3">
        <w:rPr>
          <w:rFonts w:ascii="Times New Roman" w:hAnsi="Times New Roman" w:cs="Times New Roman"/>
          <w:sz w:val="24"/>
          <w:szCs w:val="24"/>
        </w:rPr>
        <w:t xml:space="preserve"> цен равен 1,25. Тогда ИПС равен 0,8</w:t>
      </w:r>
    </w:p>
    <w:p w:rsidR="001B591D" w:rsidRPr="00D84BF3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91D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Скорректируем баланс, отчет о финансовых результатах и отчет о движении денежных средств на ИПС.</w:t>
      </w:r>
    </w:p>
    <w:tbl>
      <w:tblPr>
        <w:tblStyle w:val="a7"/>
        <w:tblW w:w="9571" w:type="dxa"/>
        <w:tblLayout w:type="fixed"/>
        <w:tblLook w:val="04A0"/>
      </w:tblPr>
      <w:tblGrid>
        <w:gridCol w:w="4183"/>
        <w:gridCol w:w="1312"/>
        <w:gridCol w:w="1843"/>
        <w:gridCol w:w="1344"/>
        <w:gridCol w:w="889"/>
      </w:tblGrid>
      <w:tr w:rsidR="001B591D" w:rsidRPr="00D84BF3" w:rsidTr="001B591D">
        <w:trPr>
          <w:trHeight w:val="525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Скорр.  показатели 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72 876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58 301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65 149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7 213 104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5 770 483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7 254 417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88 017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70 414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841 432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</w:tblGrid>
            <w:tr w:rsidR="001B591D" w:rsidRPr="00D84BF3" w:rsidTr="001B591D">
              <w:trPr>
                <w:trHeight w:val="300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591D" w:rsidRPr="00D84BF3" w:rsidRDefault="001B591D" w:rsidP="001B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4B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Отложенные налоговые активы</w:t>
                  </w:r>
                </w:p>
              </w:tc>
            </w:tr>
          </w:tbl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239 779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191 823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249 418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1 936 842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1 549 474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1 457 216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 по разделу I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9 550 618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7 640 494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9 867 632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29 374 098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23 499 278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28 456 167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323 495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258 796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252 746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5 061 822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4 049 458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7 039 270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674 356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539 485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536 358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3 025 697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2 420 558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2 319 041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118 462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94 770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118 938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38 577 930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30 862 344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38 722 520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48 128 548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38 502 838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48 590 152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КАПИТАЛ И РЕЗЕРВЫ </w:t>
            </w: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6 850 134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5 480 107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6 850 134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-1 648 894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-1 319 115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-1 945 737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5 201 559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4 161 247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4 904 716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ДОЛГОСРОЧНЫЕ ОБЯЗАТЕЛЬСТВА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9 403 754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7 523 003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6 514 079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16 732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58 365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9 420 486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7 536 389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6 572 444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4 275 305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3 420 244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8 164 646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28 450 728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22 760 582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28 367 758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780 470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624 376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580 588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33 506 503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26 805 202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37 112 992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72,2%</w:t>
            </w:r>
          </w:p>
        </w:tc>
      </w:tr>
      <w:tr w:rsidR="001B591D" w:rsidRPr="00D84BF3" w:rsidTr="001B591D">
        <w:trPr>
          <w:trHeight w:val="300"/>
        </w:trPr>
        <w:tc>
          <w:tcPr>
            <w:tcW w:w="4183" w:type="dxa"/>
            <w:noWrap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12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48 128 548</w:t>
            </w:r>
          </w:p>
        </w:tc>
        <w:tc>
          <w:tcPr>
            <w:tcW w:w="1843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38 502 838</w:t>
            </w:r>
          </w:p>
        </w:tc>
        <w:tc>
          <w:tcPr>
            <w:tcW w:w="1344" w:type="dxa"/>
            <w:hideMark/>
          </w:tcPr>
          <w:p w:rsidR="001B591D" w:rsidRPr="00D84BF3" w:rsidRDefault="001B591D" w:rsidP="001B59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48 590 152</w:t>
            </w:r>
          </w:p>
        </w:tc>
        <w:tc>
          <w:tcPr>
            <w:tcW w:w="889" w:type="dxa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79,2%</w:t>
            </w:r>
          </w:p>
        </w:tc>
      </w:tr>
    </w:tbl>
    <w:p w:rsidR="001B591D" w:rsidRPr="00D84BF3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4363"/>
        <w:gridCol w:w="1334"/>
        <w:gridCol w:w="1499"/>
        <w:gridCol w:w="1221"/>
        <w:gridCol w:w="1154"/>
      </w:tblGrid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Скорр. Значения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101 352 334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81 081 867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85 113 918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67 311 271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53 849 017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53 945 961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34 041 063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27 232 850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31 167 957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19 989 380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15 991 504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17 168 314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4 230 297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3 384 238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2 826 577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9 821 386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7 857 109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11 173 066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622,2%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104 048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83 238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247 834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1 719 666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1 375 733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1 853 278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333 354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266 683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393 565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2 618 323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2 094 658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2 772 354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5 989 799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4 791 839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7 197 705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1 377 726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1 102 181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1 800 301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постоянные налоговые обязательства (активы)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250 769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200 615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398 910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41 633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33 306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3 752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887,7%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9 639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32 333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419 326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335 461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335 351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B591D" w:rsidRPr="00D84BF3" w:rsidTr="00925C79">
        <w:trPr>
          <w:trHeight w:val="300"/>
        </w:trPr>
        <w:tc>
          <w:tcPr>
            <w:tcW w:w="2279" w:type="pct"/>
            <w:noWrap/>
            <w:vAlign w:val="center"/>
            <w:hideMark/>
          </w:tcPr>
          <w:p w:rsidR="001B591D" w:rsidRPr="00D84BF3" w:rsidRDefault="001B591D" w:rsidP="001B5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697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5 063 393</w:t>
            </w:r>
          </w:p>
        </w:tc>
        <w:tc>
          <w:tcPr>
            <w:tcW w:w="78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4 050 714</w:t>
            </w:r>
          </w:p>
        </w:tc>
        <w:tc>
          <w:tcPr>
            <w:tcW w:w="638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5 696 670</w:t>
            </w:r>
          </w:p>
        </w:tc>
        <w:tc>
          <w:tcPr>
            <w:tcW w:w="603" w:type="pct"/>
            <w:noWrap/>
            <w:vAlign w:val="center"/>
            <w:hideMark/>
          </w:tcPr>
          <w:p w:rsidR="001B591D" w:rsidRPr="00D84BF3" w:rsidRDefault="001B591D" w:rsidP="001B5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</w:tbl>
    <w:p w:rsidR="001B591D" w:rsidRPr="00D84BF3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Ind w:w="103" w:type="dxa"/>
        <w:tblLook w:val="04A0"/>
      </w:tblPr>
      <w:tblGrid>
        <w:gridCol w:w="3598"/>
        <w:gridCol w:w="1179"/>
        <w:gridCol w:w="2293"/>
        <w:gridCol w:w="1179"/>
        <w:gridCol w:w="1219"/>
      </w:tblGrid>
      <w:tr w:rsidR="00714785" w:rsidRPr="00714785" w:rsidTr="00714785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</w:t>
            </w: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 показатели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</w:t>
            </w: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роста</w:t>
            </w:r>
          </w:p>
        </w:tc>
      </w:tr>
      <w:tr w:rsidR="00714785" w:rsidRPr="00714785" w:rsidTr="00714785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потоки от текущих операций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104 910 373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83 928 298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89 077 339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94 443 350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75 554 680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81 737 834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10 467 023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8 373 618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7 339 505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114,1%</w:t>
            </w:r>
          </w:p>
        </w:tc>
      </w:tr>
      <w:tr w:rsidR="00714785" w:rsidRPr="00714785" w:rsidTr="00714785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-97 876 414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-78 301 131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-83 685 774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-85 942 092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-68 753 674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-73 068 192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оплатой труда работников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-5 368 127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-4 294 502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-4 763 163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90,2%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-1 657 909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-1 326 327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-1 857 496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-1 521 185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-1 216 948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-1 585 859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-3 387 101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-2 709 681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-2 411 064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112,4%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7 033 959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5 627 167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5 391 565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104,4%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поток от инвестиционной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1 954 475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1 563 580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внеоборотных активов (кроме финансовых вложений)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3717,5%</w:t>
            </w:r>
          </w:p>
        </w:tc>
      </w:tr>
      <w:tr w:rsidR="00714785" w:rsidRPr="00714785" w:rsidTr="00714785">
        <w:trPr>
          <w:trHeight w:val="1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предоставленных займов, от продажи долговых </w:t>
            </w: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ценных бумаг (прав требования денежных средств к другим </w:t>
            </w: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1 853 179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38,9%</w:t>
            </w:r>
          </w:p>
        </w:tc>
      </w:tr>
      <w:tr w:rsidR="00714785" w:rsidRPr="00714785" w:rsidTr="00714785">
        <w:trPr>
          <w:trHeight w:val="13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</w:t>
            </w: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фин вложениям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1 142 927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-3 355 725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-2 684 580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-1 588 782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внеоборотных </w:t>
            </w: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-2 468 147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-1 974 518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-1 439 247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137,2%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предоставление займов другим лицам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-887 478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-709 982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акций других компаний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714785" w:rsidRPr="00714785" w:rsidTr="00714785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-1 401 250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-1 121 000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3 367 938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39 919 920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31 935 936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 займов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36 919 920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29 535 936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биржевых облигаций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-44 551 717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-35 641 374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-34 558 809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заемных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-40 966 494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-32 773 195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-30 275 132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108,3%</w:t>
            </w:r>
          </w:p>
        </w:tc>
      </w:tr>
      <w:tr w:rsidR="00714785" w:rsidRPr="00714785" w:rsidTr="0071478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дивидендов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-3 585 223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-2 868 178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-4 283 677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67,0%</w:t>
            </w:r>
          </w:p>
        </w:tc>
      </w:tr>
      <w:tr w:rsidR="00714785" w:rsidRPr="00714785" w:rsidTr="00714785">
        <w:trPr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-4 631 797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-3 705 438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-8 004 446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</w:tr>
      <w:tr w:rsidR="00714785" w:rsidRPr="00714785" w:rsidTr="00714785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1 000 912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106,0%</w:t>
            </w:r>
          </w:p>
        </w:tc>
      </w:tr>
      <w:tr w:rsidR="00714785" w:rsidRPr="00714785" w:rsidTr="00714785">
        <w:trPr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2 319 041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1 766 019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105,1%</w:t>
            </w:r>
          </w:p>
        </w:tc>
      </w:tr>
      <w:tr w:rsidR="00714785" w:rsidRPr="00714785" w:rsidTr="00714785"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3 025 697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104,4%</w:t>
            </w:r>
          </w:p>
        </w:tc>
      </w:tr>
      <w:tr w:rsidR="00714785" w:rsidRPr="00714785" w:rsidTr="00714785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-294 256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-235 405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85" w:rsidRPr="00714785" w:rsidRDefault="00714785" w:rsidP="0071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116,5%</w:t>
            </w:r>
          </w:p>
        </w:tc>
      </w:tr>
    </w:tbl>
    <w:p w:rsidR="00714785" w:rsidRPr="00D84BF3" w:rsidRDefault="00714785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91D" w:rsidRPr="00D84BF3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103" w:type="dxa"/>
        <w:tblLook w:val="04A0"/>
      </w:tblPr>
      <w:tblGrid>
        <w:gridCol w:w="4273"/>
        <w:gridCol w:w="1258"/>
        <w:gridCol w:w="1231"/>
        <w:gridCol w:w="1556"/>
        <w:gridCol w:w="1150"/>
      </w:tblGrid>
      <w:tr w:rsidR="001B591D" w:rsidRPr="00D84BF3" w:rsidTr="00B834B7">
        <w:trPr>
          <w:trHeight w:val="3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 ликвидности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изменение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</w:t>
            </w:r>
          </w:p>
        </w:tc>
      </w:tr>
      <w:tr w:rsidR="001B591D" w:rsidRPr="00D84BF3" w:rsidTr="00B834B7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Коэффициент текущей ликвидности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10,35%</w:t>
            </w:r>
          </w:p>
        </w:tc>
      </w:tr>
      <w:tr w:rsidR="001B591D" w:rsidRPr="00D84BF3" w:rsidTr="00B834B7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Коэффициент срочной ликвидности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-0,70%</w:t>
            </w:r>
          </w:p>
        </w:tc>
      </w:tr>
      <w:tr w:rsidR="001B591D" w:rsidRPr="00D84BF3" w:rsidTr="00B834B7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Коэффициент абсолютной ликвидности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43,53%</w:t>
            </w:r>
          </w:p>
        </w:tc>
      </w:tr>
      <w:tr w:rsidR="001B591D" w:rsidRPr="00D84BF3" w:rsidTr="00B834B7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Коэффициент покрытия потоком денежных средств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1D" w:rsidRPr="00D84BF3" w:rsidRDefault="001B591D" w:rsidP="001B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38,45%</w:t>
            </w:r>
          </w:p>
        </w:tc>
      </w:tr>
    </w:tbl>
    <w:p w:rsidR="001B591D" w:rsidRPr="00D84BF3" w:rsidRDefault="001B591D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333"/>
        <w:gridCol w:w="696"/>
        <w:gridCol w:w="696"/>
        <w:gridCol w:w="800"/>
        <w:gridCol w:w="1368"/>
        <w:gridCol w:w="696"/>
        <w:gridCol w:w="696"/>
        <w:gridCol w:w="800"/>
        <w:gridCol w:w="1486"/>
      </w:tblGrid>
      <w:tr w:rsidR="00B862FB" w:rsidRPr="00D84BF3" w:rsidTr="00B862FB">
        <w:trPr>
          <w:trHeight w:val="6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2FB" w:rsidRPr="00D84BF3" w:rsidRDefault="00B862FB" w:rsidP="00B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2FB" w:rsidRPr="00D84BF3" w:rsidRDefault="00B862FB" w:rsidP="00B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</w:tr>
      <w:tr w:rsidR="00B862FB" w:rsidRPr="00D84BF3" w:rsidTr="00137F21">
        <w:trPr>
          <w:trHeight w:val="30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B862FB" w:rsidRPr="00D84BF3" w:rsidTr="00137F21">
        <w:trPr>
          <w:trHeight w:val="60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Производственной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71,2%</w:t>
            </w:r>
          </w:p>
        </w:tc>
      </w:tr>
      <w:tr w:rsidR="00B862FB" w:rsidRPr="00D84BF3" w:rsidTr="00137F21">
        <w:trPr>
          <w:trHeight w:val="30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Продаж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74,6%</w:t>
            </w:r>
          </w:p>
        </w:tc>
      </w:tr>
      <w:tr w:rsidR="00B862FB" w:rsidRPr="00D84BF3" w:rsidTr="00137F21">
        <w:trPr>
          <w:trHeight w:val="30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Капитала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2FB" w:rsidRPr="0075702F" w:rsidRDefault="00B862FB" w:rsidP="00D6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FB" w:rsidRPr="00B862FB" w:rsidRDefault="00B862FB" w:rsidP="00B8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67,8%</w:t>
            </w:r>
          </w:p>
        </w:tc>
      </w:tr>
    </w:tbl>
    <w:p w:rsidR="005A76F2" w:rsidRPr="00D84BF3" w:rsidRDefault="00B862FB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</w:t>
      </w:r>
      <w:r w:rsidR="005A76F2" w:rsidRPr="00D84BF3">
        <w:rPr>
          <w:rFonts w:ascii="Times New Roman" w:hAnsi="Times New Roman" w:cs="Times New Roman"/>
          <w:sz w:val="24"/>
          <w:szCs w:val="24"/>
        </w:rPr>
        <w:t xml:space="preserve">алюта баланса Компании с учетом инфляции в отчетном году снизилась. При этом в активах сокращение произошло как оборотным, так и внеоборотными активам, хотя фактическая их величина увеличилась. </w:t>
      </w:r>
    </w:p>
    <w:p w:rsidR="005A76F2" w:rsidRPr="00D84BF3" w:rsidRDefault="005A76F2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 пассивах  сокращение произошло по статьям Собственного капитала и краткосрочных обязательств, при этом величина долгосрочных обязательств компании в реальном выражении выросла. Это не очень хорошая тенденция, так как реальная величина всех активов снизилась. </w:t>
      </w:r>
    </w:p>
    <w:p w:rsidR="005A76F2" w:rsidRPr="00D84BF3" w:rsidRDefault="005A76F2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 реальном выражении  практически все показатели отчета о финансовых результатах </w:t>
      </w:r>
      <w:r w:rsidR="00781FE1" w:rsidRPr="00D84BF3">
        <w:rPr>
          <w:rFonts w:ascii="Times New Roman" w:hAnsi="Times New Roman" w:cs="Times New Roman"/>
          <w:sz w:val="24"/>
          <w:szCs w:val="24"/>
        </w:rPr>
        <w:t xml:space="preserve">по сравнению с 2016 годом </w:t>
      </w:r>
      <w:r w:rsidRPr="00D84BF3">
        <w:rPr>
          <w:rFonts w:ascii="Times New Roman" w:hAnsi="Times New Roman" w:cs="Times New Roman"/>
          <w:sz w:val="24"/>
          <w:szCs w:val="24"/>
        </w:rPr>
        <w:t xml:space="preserve">снизились. Так, выручка упала на 4,7%, прибыль до налогообложения на 33,4%, чистая прибыль на 28,9%. Таким образом, можно сказать, что </w:t>
      </w:r>
      <w:r w:rsidR="00781FE1" w:rsidRPr="00D84BF3">
        <w:rPr>
          <w:rFonts w:ascii="Times New Roman" w:hAnsi="Times New Roman" w:cs="Times New Roman"/>
          <w:sz w:val="24"/>
          <w:szCs w:val="24"/>
        </w:rPr>
        <w:t xml:space="preserve">компания получила меньше прибыли, чем в предшествующем году. При этом расходы компании также упали, однако, темп их снижения меньше, чем темп снижения выручки, а некоторые виды расходов (например, на управление) даже выросли, что говорит о не совсем эффективном использовании  ресурсов. Для </w:t>
      </w:r>
      <w:r w:rsidR="00CD73F5" w:rsidRPr="00D84BF3">
        <w:rPr>
          <w:rFonts w:ascii="Times New Roman" w:hAnsi="Times New Roman" w:cs="Times New Roman"/>
          <w:sz w:val="24"/>
          <w:szCs w:val="24"/>
        </w:rPr>
        <w:t xml:space="preserve">наглядности приведенных выводов </w:t>
      </w:r>
      <w:r w:rsidR="00781FE1" w:rsidRPr="00D84BF3">
        <w:rPr>
          <w:rFonts w:ascii="Times New Roman" w:hAnsi="Times New Roman" w:cs="Times New Roman"/>
          <w:sz w:val="24"/>
          <w:szCs w:val="24"/>
        </w:rPr>
        <w:t>представим ключевые показатели компании на графике:</w:t>
      </w:r>
    </w:p>
    <w:p w:rsidR="005A76F2" w:rsidRPr="00D84BF3" w:rsidRDefault="005A76F2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76F2" w:rsidRPr="00D84BF3" w:rsidRDefault="005A76F2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FE1" w:rsidRPr="00D84BF3" w:rsidRDefault="00925C79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Общая скорректированная  величина сальдо от денежных потоков </w:t>
      </w:r>
      <w:r w:rsidR="00714785" w:rsidRPr="00D84BF3">
        <w:rPr>
          <w:rFonts w:ascii="Times New Roman" w:hAnsi="Times New Roman" w:cs="Times New Roman"/>
          <w:sz w:val="24"/>
          <w:szCs w:val="24"/>
        </w:rPr>
        <w:t>увеличилась на 6%. При этом величина сальдо денежных потоков от текущих операций увеличилось на 4%, от инвестиционной снизился до уровня  отрицательного составил  1 121  млн. руб., от финансовой деятельности сократился, однако при том, что он отрицательный, это положительная тенденция.</w:t>
      </w:r>
    </w:p>
    <w:p w:rsidR="00781FE1" w:rsidRPr="00D84BF3" w:rsidRDefault="00781FE1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FE1" w:rsidRPr="00D84BF3" w:rsidRDefault="00CD73F5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823" cy="4147457"/>
            <wp:effectExtent l="19050" t="0" r="21227" b="5443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1FE1" w:rsidRPr="00D84BF3" w:rsidRDefault="00781FE1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FE1" w:rsidRPr="00D84BF3" w:rsidRDefault="00781FE1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FE1" w:rsidRPr="00D84BF3" w:rsidRDefault="00BE1F48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 динамике все показатели ликвидности выросли </w:t>
      </w:r>
      <w:r w:rsidR="00D5099C" w:rsidRPr="00D84BF3">
        <w:rPr>
          <w:rFonts w:ascii="Times New Roman" w:hAnsi="Times New Roman" w:cs="Times New Roman"/>
          <w:sz w:val="24"/>
          <w:szCs w:val="24"/>
        </w:rPr>
        <w:t>(кроме показателя срочной ликвидности). Что говорит об улучшении платежеспособности компании.</w:t>
      </w:r>
    </w:p>
    <w:p w:rsidR="00D5099C" w:rsidRPr="00D84BF3" w:rsidRDefault="00D5099C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FE1" w:rsidRPr="00D84BF3" w:rsidRDefault="00BE1F48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62FB" w:rsidRPr="00D84BF3" w:rsidRDefault="00B862FB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Все показатели рентабельности компании в динамике снижаются как в фактическом измерении, так и в реальном выражении. </w:t>
      </w:r>
    </w:p>
    <w:p w:rsidR="00D5099C" w:rsidRPr="00D84BF3" w:rsidRDefault="00B862FB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850" w:rsidRPr="00D84BF3" w:rsidRDefault="00C51850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1850" w:rsidRPr="00D84BF3" w:rsidRDefault="00C51850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1AF6" w:rsidRPr="00D84BF3" w:rsidRDefault="00591AF6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Влияние инфляции на </w:t>
      </w:r>
      <w:r w:rsidR="00C51850" w:rsidRPr="00D84BF3">
        <w:rPr>
          <w:rFonts w:ascii="Times New Roman" w:hAnsi="Times New Roman" w:cs="Times New Roman"/>
          <w:sz w:val="24"/>
          <w:szCs w:val="24"/>
        </w:rPr>
        <w:t xml:space="preserve">стоимость ценных </w:t>
      </w:r>
      <w:r w:rsidR="006770C9" w:rsidRPr="00D84BF3">
        <w:rPr>
          <w:rFonts w:ascii="Times New Roman" w:hAnsi="Times New Roman" w:cs="Times New Roman"/>
          <w:sz w:val="24"/>
          <w:szCs w:val="24"/>
        </w:rPr>
        <w:t>бумаг компании</w:t>
      </w:r>
    </w:p>
    <w:p w:rsidR="006770C9" w:rsidRPr="00D84BF3" w:rsidRDefault="006770C9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Для анализа влияния инфляции на стоимость ценных бумаг компании необходимо узнать стоимость покупки ценной бумаги.</w:t>
      </w:r>
    </w:p>
    <w:p w:rsidR="006770C9" w:rsidRPr="00D84BF3" w:rsidRDefault="005829F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На 01.01.2017 года стоимость</w:t>
      </w:r>
      <w:r w:rsidR="006770C9" w:rsidRPr="00D84BF3">
        <w:rPr>
          <w:rFonts w:ascii="Times New Roman" w:hAnsi="Times New Roman" w:cs="Times New Roman"/>
          <w:sz w:val="24"/>
          <w:szCs w:val="24"/>
        </w:rPr>
        <w:t xml:space="preserve"> 1 акции  компании составляет 88 руб.</w:t>
      </w:r>
    </w:p>
    <w:p w:rsidR="006770C9" w:rsidRPr="00D84BF3" w:rsidRDefault="006770C9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На день начала торгов 10.02.2017 года – 85 руб. </w:t>
      </w:r>
    </w:p>
    <w:p w:rsidR="006770C9" w:rsidRPr="00D84BF3" w:rsidRDefault="006770C9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На </w:t>
      </w:r>
      <w:r w:rsidR="00890AD7" w:rsidRPr="00D84BF3">
        <w:rPr>
          <w:rFonts w:ascii="Times New Roman" w:hAnsi="Times New Roman" w:cs="Times New Roman"/>
          <w:sz w:val="24"/>
          <w:szCs w:val="24"/>
        </w:rPr>
        <w:t xml:space="preserve">31.12.2018  - 96.45 руб. за 1 акцию </w:t>
      </w:r>
    </w:p>
    <w:p w:rsidR="00890AD7" w:rsidRPr="00D84BF3" w:rsidRDefault="00890AD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850" w:rsidRPr="00D84BF3" w:rsidRDefault="006770C9" w:rsidP="00BE6BB0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2407" cy="2917371"/>
            <wp:effectExtent l="19050" t="0" r="5443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85" cy="29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D7" w:rsidRPr="00D84BF3" w:rsidRDefault="00890AD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Теперь рассчитаем влияние инфляции на стоимость акции</w:t>
      </w:r>
      <w:r w:rsidR="005829F7" w:rsidRPr="00D84BF3">
        <w:rPr>
          <w:rFonts w:ascii="Times New Roman" w:hAnsi="Times New Roman" w:cs="Times New Roman"/>
          <w:sz w:val="24"/>
          <w:szCs w:val="24"/>
        </w:rPr>
        <w:t>. Для этого необходимо привести текущую стоимость акции (на конец года) привести к ценам на момент начала года.</w:t>
      </w:r>
    </w:p>
    <w:p w:rsidR="005829F7" w:rsidRPr="00D84BF3" w:rsidRDefault="005829F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Для этого умножим ИПС на конец года на стоимость акций на конец года</w:t>
      </w:r>
    </w:p>
    <w:p w:rsidR="005829F7" w:rsidRPr="00D84BF3" w:rsidRDefault="005829F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96,4 *0,8=77,12 </w:t>
      </w:r>
    </w:p>
    <w:p w:rsidR="005829F7" w:rsidRPr="00D84BF3" w:rsidRDefault="005829F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Таким образом, инфляция увеличивает стоимость акций данной компании, однако ее реальная стоимость растет, относительно начального уровня.</w:t>
      </w:r>
    </w:p>
    <w:p w:rsidR="005829F7" w:rsidRPr="00D84BF3" w:rsidRDefault="005829F7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9F7" w:rsidRPr="00D84BF3" w:rsidRDefault="00C842DB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 апреле 2017 года компания разместила обл</w:t>
      </w:r>
      <w:r w:rsidR="00A60D79">
        <w:rPr>
          <w:rFonts w:ascii="Times New Roman" w:hAnsi="Times New Roman" w:cs="Times New Roman"/>
          <w:sz w:val="24"/>
          <w:szCs w:val="24"/>
        </w:rPr>
        <w:t>и</w:t>
      </w:r>
      <w:r w:rsidRPr="00D84BF3">
        <w:rPr>
          <w:rFonts w:ascii="Times New Roman" w:hAnsi="Times New Roman" w:cs="Times New Roman"/>
          <w:sz w:val="24"/>
          <w:szCs w:val="24"/>
        </w:rPr>
        <w:t>гации на сумму 3 000 000руб.</w:t>
      </w:r>
    </w:p>
    <w:p w:rsidR="00C842DB" w:rsidRPr="00D84BF3" w:rsidRDefault="00C842DB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Их реальная стоимость снизилась в 1,20 раза (ИПС = 1/1,2=083) и составила 2 499 900 рублей.</w:t>
      </w:r>
    </w:p>
    <w:p w:rsidR="00C842DB" w:rsidRPr="00D84BF3" w:rsidRDefault="00C842DB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0E3" w:rsidRPr="00D84BF3" w:rsidRDefault="000B00E3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Выплачено дивидендов в 2016 году –</w:t>
      </w:r>
      <w:r w:rsidR="007F13A5" w:rsidRPr="00D84BF3">
        <w:rPr>
          <w:rFonts w:ascii="Times New Roman" w:hAnsi="Times New Roman" w:cs="Times New Roman"/>
          <w:sz w:val="24"/>
          <w:szCs w:val="24"/>
        </w:rPr>
        <w:t xml:space="preserve"> 4 427 млн</w:t>
      </w:r>
      <w:r w:rsidRPr="00D84BF3">
        <w:rPr>
          <w:rFonts w:ascii="Times New Roman" w:hAnsi="Times New Roman" w:cs="Times New Roman"/>
          <w:sz w:val="24"/>
          <w:szCs w:val="24"/>
        </w:rPr>
        <w:t>. руб.</w:t>
      </w:r>
    </w:p>
    <w:p w:rsidR="000B00E3" w:rsidRPr="00D84BF3" w:rsidRDefault="000B00E3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Выплачено дивидендов  в 2017 году </w:t>
      </w:r>
      <w:r w:rsidR="007F13A5" w:rsidRPr="00D84BF3">
        <w:rPr>
          <w:rFonts w:ascii="Times New Roman" w:hAnsi="Times New Roman" w:cs="Times New Roman"/>
          <w:sz w:val="24"/>
          <w:szCs w:val="24"/>
        </w:rPr>
        <w:t xml:space="preserve">4 767 ( в реальном выражении  3 813,6) </w:t>
      </w:r>
    </w:p>
    <w:p w:rsidR="007F13A5" w:rsidRPr="00D84BF3" w:rsidRDefault="007F13A5" w:rsidP="00987C14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Таким образом, в реальном выражении дивидендов отчетном году было выпущено меньше, чем в предыдущем.</w:t>
      </w:r>
    </w:p>
    <w:p w:rsidR="007F13A5" w:rsidRPr="00D84BF3" w:rsidRDefault="007F13A5" w:rsidP="005829F7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0E3" w:rsidRPr="00D84BF3" w:rsidRDefault="000B00E3" w:rsidP="005829F7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13A5" w:rsidRPr="00D84BF3" w:rsidRDefault="007F13A5" w:rsidP="005829F7">
      <w:pPr>
        <w:pStyle w:val="a4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F13A5" w:rsidRPr="00D84BF3" w:rsidSect="00B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D76"/>
    <w:multiLevelType w:val="multilevel"/>
    <w:tmpl w:val="D68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2938"/>
    <w:multiLevelType w:val="hybridMultilevel"/>
    <w:tmpl w:val="6D62C9E6"/>
    <w:lvl w:ilvl="0" w:tplc="E550B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E7609"/>
    <w:multiLevelType w:val="hybridMultilevel"/>
    <w:tmpl w:val="FAC0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C90"/>
    <w:multiLevelType w:val="hybridMultilevel"/>
    <w:tmpl w:val="4F5605A4"/>
    <w:lvl w:ilvl="0" w:tplc="AC746C7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76B13"/>
    <w:multiLevelType w:val="multilevel"/>
    <w:tmpl w:val="FB5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B3E06"/>
    <w:multiLevelType w:val="hybridMultilevel"/>
    <w:tmpl w:val="A5B25140"/>
    <w:lvl w:ilvl="0" w:tplc="E7A2E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DA4169"/>
    <w:multiLevelType w:val="multilevel"/>
    <w:tmpl w:val="349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11BD2"/>
    <w:multiLevelType w:val="hybridMultilevel"/>
    <w:tmpl w:val="9F6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26D"/>
    <w:multiLevelType w:val="multilevel"/>
    <w:tmpl w:val="6ED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A6E74"/>
    <w:multiLevelType w:val="multilevel"/>
    <w:tmpl w:val="4B9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B41C1"/>
    <w:multiLevelType w:val="multilevel"/>
    <w:tmpl w:val="BC6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E101D"/>
    <w:multiLevelType w:val="hybridMultilevel"/>
    <w:tmpl w:val="9E489E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6265D1"/>
    <w:multiLevelType w:val="multilevel"/>
    <w:tmpl w:val="93E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B7EAC"/>
    <w:multiLevelType w:val="hybridMultilevel"/>
    <w:tmpl w:val="BE764734"/>
    <w:lvl w:ilvl="0" w:tplc="7A56C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56C7354"/>
    <w:multiLevelType w:val="hybridMultilevel"/>
    <w:tmpl w:val="74A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61AA"/>
    <w:multiLevelType w:val="hybridMultilevel"/>
    <w:tmpl w:val="106A1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32A0C"/>
    <w:multiLevelType w:val="hybridMultilevel"/>
    <w:tmpl w:val="8A8EDA0E"/>
    <w:lvl w:ilvl="0" w:tplc="642A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B78EB"/>
    <w:multiLevelType w:val="multilevel"/>
    <w:tmpl w:val="362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A4AE1"/>
    <w:multiLevelType w:val="multilevel"/>
    <w:tmpl w:val="C06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E310C"/>
    <w:multiLevelType w:val="hybridMultilevel"/>
    <w:tmpl w:val="38F69A9A"/>
    <w:lvl w:ilvl="0" w:tplc="45927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26E93"/>
    <w:multiLevelType w:val="hybridMultilevel"/>
    <w:tmpl w:val="F7C4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A3413"/>
    <w:multiLevelType w:val="hybridMultilevel"/>
    <w:tmpl w:val="4348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00DB"/>
    <w:multiLevelType w:val="hybridMultilevel"/>
    <w:tmpl w:val="6BB4359A"/>
    <w:lvl w:ilvl="0" w:tplc="9996B4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753EEA"/>
    <w:multiLevelType w:val="multilevel"/>
    <w:tmpl w:val="C56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83E59"/>
    <w:multiLevelType w:val="hybridMultilevel"/>
    <w:tmpl w:val="E236B778"/>
    <w:lvl w:ilvl="0" w:tplc="ADB4761E">
      <w:start w:val="1"/>
      <w:numFmt w:val="decimal"/>
      <w:lvlText w:val="%1."/>
      <w:lvlJc w:val="left"/>
      <w:pPr>
        <w:ind w:left="531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5"/>
  </w:num>
  <w:num w:numId="5">
    <w:abstractNumId w:val="11"/>
  </w:num>
  <w:num w:numId="6">
    <w:abstractNumId w:val="13"/>
  </w:num>
  <w:num w:numId="7">
    <w:abstractNumId w:val="2"/>
  </w:num>
  <w:num w:numId="8">
    <w:abstractNumId w:val="21"/>
  </w:num>
  <w:num w:numId="9">
    <w:abstractNumId w:val="19"/>
  </w:num>
  <w:num w:numId="10">
    <w:abstractNumId w:val="20"/>
  </w:num>
  <w:num w:numId="11">
    <w:abstractNumId w:val="3"/>
  </w:num>
  <w:num w:numId="12">
    <w:abstractNumId w:val="10"/>
  </w:num>
  <w:num w:numId="13">
    <w:abstractNumId w:val="22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18"/>
  </w:num>
  <w:num w:numId="19">
    <w:abstractNumId w:val="0"/>
  </w:num>
  <w:num w:numId="20">
    <w:abstractNumId w:val="23"/>
  </w:num>
  <w:num w:numId="21">
    <w:abstractNumId w:val="17"/>
  </w:num>
  <w:num w:numId="22">
    <w:abstractNumId w:val="8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405205"/>
    <w:rsid w:val="000005D6"/>
    <w:rsid w:val="00032A29"/>
    <w:rsid w:val="00051CAD"/>
    <w:rsid w:val="000740DF"/>
    <w:rsid w:val="000B00E3"/>
    <w:rsid w:val="000C0B12"/>
    <w:rsid w:val="000D52D1"/>
    <w:rsid w:val="000E5B2F"/>
    <w:rsid w:val="00116BCD"/>
    <w:rsid w:val="00125D35"/>
    <w:rsid w:val="0013030B"/>
    <w:rsid w:val="0015209B"/>
    <w:rsid w:val="001B144E"/>
    <w:rsid w:val="001B591D"/>
    <w:rsid w:val="001C06F9"/>
    <w:rsid w:val="00260076"/>
    <w:rsid w:val="00271B79"/>
    <w:rsid w:val="002A767C"/>
    <w:rsid w:val="00330C98"/>
    <w:rsid w:val="003328D1"/>
    <w:rsid w:val="00375F34"/>
    <w:rsid w:val="003D3155"/>
    <w:rsid w:val="003D52C3"/>
    <w:rsid w:val="00405205"/>
    <w:rsid w:val="004560A9"/>
    <w:rsid w:val="00484358"/>
    <w:rsid w:val="004A47DD"/>
    <w:rsid w:val="004B229D"/>
    <w:rsid w:val="004C6F5F"/>
    <w:rsid w:val="004D6C53"/>
    <w:rsid w:val="00547501"/>
    <w:rsid w:val="005543B6"/>
    <w:rsid w:val="00554A6E"/>
    <w:rsid w:val="00581883"/>
    <w:rsid w:val="005829F7"/>
    <w:rsid w:val="00591AF6"/>
    <w:rsid w:val="005A76F2"/>
    <w:rsid w:val="005E0273"/>
    <w:rsid w:val="005F1008"/>
    <w:rsid w:val="0061105B"/>
    <w:rsid w:val="00646A15"/>
    <w:rsid w:val="006770C9"/>
    <w:rsid w:val="00692023"/>
    <w:rsid w:val="00696798"/>
    <w:rsid w:val="006D19A5"/>
    <w:rsid w:val="006D5A2E"/>
    <w:rsid w:val="006D7AD2"/>
    <w:rsid w:val="006E12CF"/>
    <w:rsid w:val="00714785"/>
    <w:rsid w:val="00725928"/>
    <w:rsid w:val="0073362B"/>
    <w:rsid w:val="00735DB3"/>
    <w:rsid w:val="0075702F"/>
    <w:rsid w:val="00765462"/>
    <w:rsid w:val="007757C7"/>
    <w:rsid w:val="00781FE1"/>
    <w:rsid w:val="007A6EC6"/>
    <w:rsid w:val="007F13A5"/>
    <w:rsid w:val="007F3354"/>
    <w:rsid w:val="007F7719"/>
    <w:rsid w:val="00803A2D"/>
    <w:rsid w:val="0086348B"/>
    <w:rsid w:val="00873812"/>
    <w:rsid w:val="00890AD7"/>
    <w:rsid w:val="008B12A6"/>
    <w:rsid w:val="008B7749"/>
    <w:rsid w:val="008F0E91"/>
    <w:rsid w:val="008F1274"/>
    <w:rsid w:val="00925C79"/>
    <w:rsid w:val="009473C7"/>
    <w:rsid w:val="00955889"/>
    <w:rsid w:val="00960757"/>
    <w:rsid w:val="00964AC4"/>
    <w:rsid w:val="00972FE4"/>
    <w:rsid w:val="00987C14"/>
    <w:rsid w:val="009A5D76"/>
    <w:rsid w:val="009A7CE8"/>
    <w:rsid w:val="009B2F7F"/>
    <w:rsid w:val="009D2C51"/>
    <w:rsid w:val="00A268A9"/>
    <w:rsid w:val="00A41013"/>
    <w:rsid w:val="00A5695D"/>
    <w:rsid w:val="00A60D79"/>
    <w:rsid w:val="00A82A68"/>
    <w:rsid w:val="00AB0B78"/>
    <w:rsid w:val="00AE0C67"/>
    <w:rsid w:val="00B15E76"/>
    <w:rsid w:val="00B214E1"/>
    <w:rsid w:val="00B416BE"/>
    <w:rsid w:val="00B45844"/>
    <w:rsid w:val="00B4741E"/>
    <w:rsid w:val="00B56A02"/>
    <w:rsid w:val="00B82221"/>
    <w:rsid w:val="00B834B7"/>
    <w:rsid w:val="00B862FB"/>
    <w:rsid w:val="00B90C71"/>
    <w:rsid w:val="00BE1F48"/>
    <w:rsid w:val="00BE6BB0"/>
    <w:rsid w:val="00BE74B2"/>
    <w:rsid w:val="00BF54D0"/>
    <w:rsid w:val="00BF5B17"/>
    <w:rsid w:val="00C0424D"/>
    <w:rsid w:val="00C44DFC"/>
    <w:rsid w:val="00C51850"/>
    <w:rsid w:val="00C80C54"/>
    <w:rsid w:val="00C842DB"/>
    <w:rsid w:val="00C9675E"/>
    <w:rsid w:val="00CB4128"/>
    <w:rsid w:val="00CD73F5"/>
    <w:rsid w:val="00D135B4"/>
    <w:rsid w:val="00D14E95"/>
    <w:rsid w:val="00D16CA3"/>
    <w:rsid w:val="00D456C8"/>
    <w:rsid w:val="00D5099C"/>
    <w:rsid w:val="00D84BF3"/>
    <w:rsid w:val="00D95431"/>
    <w:rsid w:val="00D96725"/>
    <w:rsid w:val="00D972B1"/>
    <w:rsid w:val="00DE3CD7"/>
    <w:rsid w:val="00E67868"/>
    <w:rsid w:val="00E93F7A"/>
    <w:rsid w:val="00E94438"/>
    <w:rsid w:val="00EA0994"/>
    <w:rsid w:val="00ED0020"/>
    <w:rsid w:val="00ED31FB"/>
    <w:rsid w:val="00ED6FB7"/>
    <w:rsid w:val="00EF0134"/>
    <w:rsid w:val="00EF1401"/>
    <w:rsid w:val="00EF6FCF"/>
    <w:rsid w:val="00F006BC"/>
    <w:rsid w:val="00F34005"/>
    <w:rsid w:val="00F36DEF"/>
    <w:rsid w:val="00F45AF4"/>
    <w:rsid w:val="00F50788"/>
    <w:rsid w:val="00F7309D"/>
    <w:rsid w:val="00FA7734"/>
    <w:rsid w:val="00FC5DA3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1"/>
  </w:style>
  <w:style w:type="paragraph" w:styleId="1">
    <w:name w:val="heading 1"/>
    <w:basedOn w:val="a"/>
    <w:next w:val="a"/>
    <w:link w:val="10"/>
    <w:uiPriority w:val="9"/>
    <w:qFormat/>
    <w:rsid w:val="0095588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889"/>
    <w:pPr>
      <w:keepNext/>
      <w:keepLines/>
      <w:spacing w:before="120"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"/>
    <w:uiPriority w:val="1"/>
    <w:qFormat/>
    <w:rsid w:val="007A6EC6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558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88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List Paragraph"/>
    <w:basedOn w:val="a"/>
    <w:uiPriority w:val="34"/>
    <w:qFormat/>
    <w:rsid w:val="003D52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67C"/>
    <w:rPr>
      <w:b/>
      <w:bCs/>
    </w:rPr>
  </w:style>
  <w:style w:type="table" w:styleId="a7">
    <w:name w:val="Table Grid"/>
    <w:basedOn w:val="a1"/>
    <w:uiPriority w:val="59"/>
    <w:rsid w:val="00D1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D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80C54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8F12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5;&#1086;&#1074;&#1072;&#1103;%20&#1088;&#1072;&#1073;&#1086;&#1090;&#1072;\&#1103;&#1085;&#1074;&#1072;&#1088;&#1100;\&#1047;&#1072;&#1076;&#1072;&#1085;&#1080;&#1103;%20(2)\&#1084;&#1086;&#1076;&#1091;&#1083;&#1100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5;&#1086;&#1074;&#1072;&#1103;%20&#1088;&#1072;&#1073;&#1086;&#1090;&#1072;\&#1103;&#1085;&#1074;&#1072;&#1088;&#1100;\&#1047;&#1072;&#1076;&#1072;&#1085;&#1080;&#1103;%20(2)\&#1084;&#1086;&#1076;&#1091;&#1083;&#1100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5;&#1086;&#1074;&#1072;&#1103;%20&#1088;&#1072;&#1073;&#1086;&#1090;&#1072;\&#1103;&#1085;&#1074;&#1072;&#1088;&#1100;\&#1047;&#1072;&#1076;&#1072;&#1085;&#1080;&#1103;%20(2)\&#1084;&#1086;&#1076;&#1091;&#1083;&#1100;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75;&#1088;&#1091;&#1079;&#1082;&#1080;\Kaustik_rabota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(Лист2!$A$2:$A$3,Лист2!$A$7,Лист2!$A$13,Лист2!$A$19)</c:f>
              <c:strCache>
                <c:ptCount val="5"/>
                <c:pt idx="0">
                  <c:v>Выручка5</c:v>
                </c:pt>
                <c:pt idx="1">
                  <c:v>Себестоимость продаж</c:v>
                </c:pt>
                <c:pt idx="2">
                  <c:v>Прибыль (убыток) от продаж</c:v>
                </c:pt>
                <c:pt idx="3">
                  <c:v>Прибыль (убыток) до налогообложения</c:v>
                </c:pt>
                <c:pt idx="4">
                  <c:v>Чистая прибыль (убыток)</c:v>
                </c:pt>
              </c:strCache>
            </c:strRef>
          </c:cat>
          <c:val>
            <c:numRef>
              <c:f>(Лист2!$B$2:$B$3,Лист2!$B$7,Лист2!$B$13,Лист2!$B$19)</c:f>
              <c:numCache>
                <c:formatCode>#,##0</c:formatCode>
                <c:ptCount val="5"/>
                <c:pt idx="0">
                  <c:v>101352334</c:v>
                </c:pt>
                <c:pt idx="1">
                  <c:v>67311271</c:v>
                </c:pt>
                <c:pt idx="2">
                  <c:v>9821386</c:v>
                </c:pt>
                <c:pt idx="3">
                  <c:v>5989799</c:v>
                </c:pt>
                <c:pt idx="4">
                  <c:v>5063393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Скорр. Значения</c:v>
                </c:pt>
              </c:strCache>
            </c:strRef>
          </c:tx>
          <c:cat>
            <c:strRef>
              <c:f>(Лист2!$A$2:$A$3,Лист2!$A$7,Лист2!$A$13,Лист2!$A$19)</c:f>
              <c:strCache>
                <c:ptCount val="5"/>
                <c:pt idx="0">
                  <c:v>Выручка5</c:v>
                </c:pt>
                <c:pt idx="1">
                  <c:v>Себестоимость продаж</c:v>
                </c:pt>
                <c:pt idx="2">
                  <c:v>Прибыль (убыток) от продаж</c:v>
                </c:pt>
                <c:pt idx="3">
                  <c:v>Прибыль (убыток) до налогообложения</c:v>
                </c:pt>
                <c:pt idx="4">
                  <c:v>Чистая прибыль (убыток)</c:v>
                </c:pt>
              </c:strCache>
            </c:strRef>
          </c:cat>
          <c:val>
            <c:numRef>
              <c:f>(Лист2!$C$2:$C$3,Лист2!$C$7,Лист2!$C$13,Лист2!$C$19)</c:f>
              <c:numCache>
                <c:formatCode>#,##0</c:formatCode>
                <c:ptCount val="5"/>
                <c:pt idx="0">
                  <c:v>81081867.200000003</c:v>
                </c:pt>
                <c:pt idx="1">
                  <c:v>53849016.800000004</c:v>
                </c:pt>
                <c:pt idx="2">
                  <c:v>7857108.8000000007</c:v>
                </c:pt>
                <c:pt idx="3">
                  <c:v>4791839.2</c:v>
                </c:pt>
                <c:pt idx="4">
                  <c:v>4050714.4000000004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(Лист2!$A$2:$A$3,Лист2!$A$7,Лист2!$A$13,Лист2!$A$19)</c:f>
              <c:strCache>
                <c:ptCount val="5"/>
                <c:pt idx="0">
                  <c:v>Выручка5</c:v>
                </c:pt>
                <c:pt idx="1">
                  <c:v>Себестоимость продаж</c:v>
                </c:pt>
                <c:pt idx="2">
                  <c:v>Прибыль (убыток) от продаж</c:v>
                </c:pt>
                <c:pt idx="3">
                  <c:v>Прибыль (убыток) до налогообложения</c:v>
                </c:pt>
                <c:pt idx="4">
                  <c:v>Чистая прибыль (убыток)</c:v>
                </c:pt>
              </c:strCache>
            </c:strRef>
          </c:cat>
          <c:val>
            <c:numRef>
              <c:f>(Лист2!$D$2:$D$3,Лист2!$D$7,Лист2!$D$13,Лист2!$D$19)</c:f>
              <c:numCache>
                <c:formatCode>#,##0</c:formatCode>
                <c:ptCount val="5"/>
                <c:pt idx="0">
                  <c:v>85113918</c:v>
                </c:pt>
                <c:pt idx="1">
                  <c:v>53945961</c:v>
                </c:pt>
                <c:pt idx="2">
                  <c:v>11173066</c:v>
                </c:pt>
                <c:pt idx="3">
                  <c:v>7197705</c:v>
                </c:pt>
                <c:pt idx="4">
                  <c:v>5696670</c:v>
                </c:pt>
              </c:numCache>
            </c:numRef>
          </c:val>
        </c:ser>
        <c:axId val="122333824"/>
        <c:axId val="121844096"/>
      </c:barChart>
      <c:catAx>
        <c:axId val="122333824"/>
        <c:scaling>
          <c:orientation val="minMax"/>
        </c:scaling>
        <c:axPos val="b"/>
        <c:tickLblPos val="nextTo"/>
        <c:crossAx val="121844096"/>
        <c:crosses val="autoZero"/>
        <c:auto val="1"/>
        <c:lblAlgn val="ctr"/>
        <c:lblOffset val="100"/>
      </c:catAx>
      <c:valAx>
        <c:axId val="121844096"/>
        <c:scaling>
          <c:orientation val="minMax"/>
        </c:scaling>
        <c:axPos val="l"/>
        <c:majorGridlines/>
        <c:numFmt formatCode="#,##0" sourceLinked="1"/>
        <c:tickLblPos val="nextTo"/>
        <c:crossAx val="122333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(Лист3!$A$14,Лист3!$A$26,Лист3!$A$36,Лист3!$A$37,Лист3!$A$38,Лист3!$A$39)</c:f>
              <c:strCache>
                <c:ptCount val="6"/>
                <c:pt idx="0">
                  <c:v>Сальдо денежных потоков от текущих операций</c:v>
                </c:pt>
                <c:pt idx="1">
                  <c:v>Сальдо денежных потоков от инвестиционных операций</c:v>
                </c:pt>
                <c:pt idx="2">
                  <c:v>Сальдо денежных потоков от финансовых операций</c:v>
                </c:pt>
                <c:pt idx="3">
                  <c:v>Сальдо денежных потоков за отчетный период</c:v>
                </c:pt>
                <c:pt idx="4">
                  <c:v>Остаток денежных средств и денежных эквивалентов на начало отчетного периода</c:v>
                </c:pt>
                <c:pt idx="5">
                  <c:v>Остаток денежных средств и денежных эквивалентов на конец отчетного периода</c:v>
                </c:pt>
              </c:strCache>
            </c:strRef>
          </c:cat>
          <c:val>
            <c:numRef>
              <c:f>(Лист3!$B$14,Лист3!$B$26,Лист3!$B$36,Лист3!$B$37,Лист3!$B$38,Лист3!$B$39)</c:f>
              <c:numCache>
                <c:formatCode>#,##0</c:formatCode>
                <c:ptCount val="6"/>
                <c:pt idx="0">
                  <c:v>7033959</c:v>
                </c:pt>
                <c:pt idx="1">
                  <c:v>-1401250</c:v>
                </c:pt>
                <c:pt idx="2">
                  <c:v>-4631797</c:v>
                </c:pt>
                <c:pt idx="3">
                  <c:v>1000912</c:v>
                </c:pt>
                <c:pt idx="4">
                  <c:v>2319041</c:v>
                </c:pt>
                <c:pt idx="5">
                  <c:v>3025697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Скорректированные показатели </c:v>
                </c:pt>
              </c:strCache>
            </c:strRef>
          </c:tx>
          <c:cat>
            <c:strRef>
              <c:f>(Лист3!$A$14,Лист3!$A$26,Лист3!$A$36,Лист3!$A$37,Лист3!$A$38,Лист3!$A$39)</c:f>
              <c:strCache>
                <c:ptCount val="6"/>
                <c:pt idx="0">
                  <c:v>Сальдо денежных потоков от текущих операций</c:v>
                </c:pt>
                <c:pt idx="1">
                  <c:v>Сальдо денежных потоков от инвестиционных операций</c:v>
                </c:pt>
                <c:pt idx="2">
                  <c:v>Сальдо денежных потоков от финансовых операций</c:v>
                </c:pt>
                <c:pt idx="3">
                  <c:v>Сальдо денежных потоков за отчетный период</c:v>
                </c:pt>
                <c:pt idx="4">
                  <c:v>Остаток денежных средств и денежных эквивалентов на начало отчетного периода</c:v>
                </c:pt>
                <c:pt idx="5">
                  <c:v>Остаток денежных средств и денежных эквивалентов на конец отчетного периода</c:v>
                </c:pt>
              </c:strCache>
            </c:strRef>
          </c:cat>
          <c:val>
            <c:numRef>
              <c:f>(Лист3!$C$14,Лист3!$C$26,Лист3!$C$36,Лист3!$C$37,Лист3!$C$38,Лист3!$C$39)</c:f>
              <c:numCache>
                <c:formatCode>#,##0</c:formatCode>
                <c:ptCount val="6"/>
                <c:pt idx="0">
                  <c:v>5627167.2000000002</c:v>
                </c:pt>
                <c:pt idx="1">
                  <c:v>-1121000</c:v>
                </c:pt>
                <c:pt idx="2">
                  <c:v>-3705437.6</c:v>
                </c:pt>
                <c:pt idx="3">
                  <c:v>800729.60000000009</c:v>
                </c:pt>
                <c:pt idx="4">
                  <c:v>1855232.8</c:v>
                </c:pt>
                <c:pt idx="5">
                  <c:v>2420557.6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(Лист3!$A$14,Лист3!$A$26,Лист3!$A$36,Лист3!$A$37,Лист3!$A$38,Лист3!$A$39)</c:f>
              <c:strCache>
                <c:ptCount val="6"/>
                <c:pt idx="0">
                  <c:v>Сальдо денежных потоков от текущих операций</c:v>
                </c:pt>
                <c:pt idx="1">
                  <c:v>Сальдо денежных потоков от инвестиционных операций</c:v>
                </c:pt>
                <c:pt idx="2">
                  <c:v>Сальдо денежных потоков от финансовых операций</c:v>
                </c:pt>
                <c:pt idx="3">
                  <c:v>Сальдо денежных потоков за отчетный период</c:v>
                </c:pt>
                <c:pt idx="4">
                  <c:v>Остаток денежных средств и денежных эквивалентов на начало отчетного периода</c:v>
                </c:pt>
                <c:pt idx="5">
                  <c:v>Остаток денежных средств и денежных эквивалентов на конец отчетного периода</c:v>
                </c:pt>
              </c:strCache>
            </c:strRef>
          </c:cat>
          <c:val>
            <c:numRef>
              <c:f>(Лист3!$D$14,Лист3!$D$26,Лист3!$D$36,Лист3!$D$37,Лист3!$D$38,Лист3!$D$39)</c:f>
              <c:numCache>
                <c:formatCode>#,##0</c:formatCode>
                <c:ptCount val="6"/>
                <c:pt idx="0">
                  <c:v>5391565</c:v>
                </c:pt>
                <c:pt idx="1">
                  <c:v>3367938</c:v>
                </c:pt>
                <c:pt idx="2">
                  <c:v>-8004446</c:v>
                </c:pt>
                <c:pt idx="3">
                  <c:v>755057</c:v>
                </c:pt>
                <c:pt idx="4">
                  <c:v>1766019</c:v>
                </c:pt>
                <c:pt idx="5">
                  <c:v>2319041</c:v>
                </c:pt>
              </c:numCache>
            </c:numRef>
          </c:val>
        </c:ser>
        <c:axId val="121861248"/>
        <c:axId val="121862784"/>
      </c:barChart>
      <c:catAx>
        <c:axId val="121861248"/>
        <c:scaling>
          <c:orientation val="minMax"/>
        </c:scaling>
        <c:axPos val="b"/>
        <c:tickLblPos val="nextTo"/>
        <c:crossAx val="121862784"/>
        <c:crosses val="autoZero"/>
        <c:auto val="1"/>
        <c:lblAlgn val="ctr"/>
        <c:lblOffset val="100"/>
      </c:catAx>
      <c:valAx>
        <c:axId val="121862784"/>
        <c:scaling>
          <c:orientation val="minMax"/>
        </c:scaling>
        <c:axPos val="l"/>
        <c:majorGridlines/>
        <c:numFmt formatCode="#,##0" sourceLinked="1"/>
        <c:tickLblPos val="nextTo"/>
        <c:crossAx val="12186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Лист1!$A$39</c:f>
              <c:strCache>
                <c:ptCount val="1"/>
                <c:pt idx="0">
                  <c:v>1. Коэффициент текущей ликвидности</c:v>
                </c:pt>
              </c:strCache>
            </c:strRef>
          </c:tx>
          <c:xVal>
            <c:numRef>
              <c:f>Лист1!$B$38:$C$38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xVal>
          <c:yVal>
            <c:numRef>
              <c:f>Лист1!$B$39:$C$39</c:f>
              <c:numCache>
                <c:formatCode>0.000</c:formatCode>
                <c:ptCount val="2"/>
                <c:pt idx="0">
                  <c:v>1.1513564993637211</c:v>
                </c:pt>
                <c:pt idx="1">
                  <c:v>1.0433683169494916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Лист1!$A$40</c:f>
              <c:strCache>
                <c:ptCount val="1"/>
                <c:pt idx="0">
                  <c:v>2. Коэффициент срочной ликвидности</c:v>
                </c:pt>
              </c:strCache>
            </c:strRef>
          </c:tx>
          <c:xVal>
            <c:numRef>
              <c:f>Лист1!$B$38:$C$38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xVal>
          <c:yVal>
            <c:numRef>
              <c:f>Лист1!$B$40:$C$40</c:f>
              <c:numCache>
                <c:formatCode>0.000</c:formatCode>
                <c:ptCount val="2"/>
                <c:pt idx="0">
                  <c:v>0.27468793147407838</c:v>
                </c:pt>
                <c:pt idx="1">
                  <c:v>0.27662423444598594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Лист1!$A$41</c:f>
              <c:strCache>
                <c:ptCount val="1"/>
                <c:pt idx="0">
                  <c:v>3. Коэффициент абсолютной ликвидности</c:v>
                </c:pt>
              </c:strCache>
            </c:strRef>
          </c:tx>
          <c:xVal>
            <c:numRef>
              <c:f>Лист1!$B$38:$C$38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xVal>
          <c:yVal>
            <c:numRef>
              <c:f>Лист1!$B$41:$C$41</c:f>
              <c:numCache>
                <c:formatCode>0.000</c:formatCode>
                <c:ptCount val="2"/>
                <c:pt idx="0">
                  <c:v>0.11042790708418601</c:v>
                </c:pt>
                <c:pt idx="1">
                  <c:v>7.6937989801522916E-2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Лист1!$A$42</c:f>
              <c:strCache>
                <c:ptCount val="1"/>
                <c:pt idx="0">
                  <c:v>4. Коэффициент покрытия потоком денежных средств</c:v>
                </c:pt>
              </c:strCache>
            </c:strRef>
          </c:tx>
          <c:xVal>
            <c:numRef>
              <c:f>Лист1!$B$38:$C$38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xVal>
          <c:yVal>
            <c:numRef>
              <c:f>Лист1!$B$42:$C$42</c:f>
              <c:numCache>
                <c:formatCode>#,##0.00</c:formatCode>
                <c:ptCount val="2"/>
                <c:pt idx="0">
                  <c:v>0.20113875357270206</c:v>
                </c:pt>
                <c:pt idx="1">
                  <c:v>0.14527432873102775</c:v>
                </c:pt>
              </c:numCache>
            </c:numRef>
          </c:yVal>
          <c:smooth val="1"/>
        </c:ser>
        <c:axId val="122007936"/>
        <c:axId val="122009472"/>
      </c:scatterChart>
      <c:valAx>
        <c:axId val="122007936"/>
        <c:scaling>
          <c:orientation val="minMax"/>
        </c:scaling>
        <c:axPos val="b"/>
        <c:numFmt formatCode="General" sourceLinked="1"/>
        <c:tickLblPos val="nextTo"/>
        <c:crossAx val="122009472"/>
        <c:crosses val="autoZero"/>
        <c:crossBetween val="midCat"/>
      </c:valAx>
      <c:valAx>
        <c:axId val="122009472"/>
        <c:scaling>
          <c:orientation val="minMax"/>
        </c:scaling>
        <c:axPos val="l"/>
        <c:majorGridlines/>
        <c:numFmt formatCode="0.000" sourceLinked="1"/>
        <c:tickLblPos val="nextTo"/>
        <c:crossAx val="12200793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'Рентабельность '!$O$2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'Рентабельность '!$N$3:$N$5</c:f>
              <c:strCache>
                <c:ptCount val="3"/>
                <c:pt idx="0">
                  <c:v>1. Производственной деятельности</c:v>
                </c:pt>
                <c:pt idx="1">
                  <c:v>2. Продаж</c:v>
                </c:pt>
                <c:pt idx="2">
                  <c:v>3. Капитала</c:v>
                </c:pt>
              </c:strCache>
            </c:strRef>
          </c:cat>
          <c:val>
            <c:numRef>
              <c:f>'Рентабельность '!$O$3:$O$5</c:f>
              <c:numCache>
                <c:formatCode>General</c:formatCode>
                <c:ptCount val="3"/>
                <c:pt idx="0">
                  <c:v>0.11</c:v>
                </c:pt>
                <c:pt idx="1">
                  <c:v>7.0000000000000021E-2</c:v>
                </c:pt>
                <c:pt idx="2">
                  <c:v>1.32</c:v>
                </c:pt>
              </c:numCache>
            </c:numRef>
          </c:val>
        </c:ser>
        <c:ser>
          <c:idx val="1"/>
          <c:order val="1"/>
          <c:tx>
            <c:strRef>
              <c:f>'Рентабельность '!$P$2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'Рентабельность '!$N$3:$N$5</c:f>
              <c:strCache>
                <c:ptCount val="3"/>
                <c:pt idx="0">
                  <c:v>1. Производственной деятельности</c:v>
                </c:pt>
                <c:pt idx="1">
                  <c:v>2. Продаж</c:v>
                </c:pt>
                <c:pt idx="2">
                  <c:v>3. Капитала</c:v>
                </c:pt>
              </c:strCache>
            </c:strRef>
          </c:cat>
          <c:val>
            <c:numRef>
              <c:f>'Рентабельность '!$P$3:$P$5</c:f>
              <c:numCache>
                <c:formatCode>General</c:formatCode>
                <c:ptCount val="3"/>
                <c:pt idx="0">
                  <c:v>8.0000000000000043E-2</c:v>
                </c:pt>
                <c:pt idx="1">
                  <c:v>0.05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'Рентабельность '!$Q$2</c:f>
              <c:strCache>
                <c:ptCount val="1"/>
                <c:pt idx="0">
                  <c:v>скорр</c:v>
                </c:pt>
              </c:strCache>
            </c:strRef>
          </c:tx>
          <c:cat>
            <c:strRef>
              <c:f>'Рентабельность '!$N$3:$N$5</c:f>
              <c:strCache>
                <c:ptCount val="3"/>
                <c:pt idx="0">
                  <c:v>1. Производственной деятельности</c:v>
                </c:pt>
                <c:pt idx="1">
                  <c:v>2. Продаж</c:v>
                </c:pt>
                <c:pt idx="2">
                  <c:v>3. Капитала</c:v>
                </c:pt>
              </c:strCache>
            </c:strRef>
          </c:cat>
          <c:val>
            <c:numRef>
              <c:f>'Рентабельность '!$Q$3:$Q$5</c:f>
              <c:numCache>
                <c:formatCode>General</c:formatCode>
                <c:ptCount val="3"/>
                <c:pt idx="0">
                  <c:v>8.0000000000000043E-2</c:v>
                </c:pt>
                <c:pt idx="1">
                  <c:v>0.05</c:v>
                </c:pt>
                <c:pt idx="2">
                  <c:v>0.89</c:v>
                </c:pt>
              </c:numCache>
            </c:numRef>
          </c:val>
        </c:ser>
        <c:axId val="122034816"/>
        <c:axId val="122044800"/>
      </c:barChart>
      <c:catAx>
        <c:axId val="122034816"/>
        <c:scaling>
          <c:orientation val="minMax"/>
        </c:scaling>
        <c:axPos val="b"/>
        <c:numFmt formatCode="General" sourceLinked="1"/>
        <c:tickLblPos val="nextTo"/>
        <c:crossAx val="122044800"/>
        <c:crosses val="autoZero"/>
        <c:auto val="1"/>
        <c:lblAlgn val="ctr"/>
        <c:lblOffset val="100"/>
      </c:catAx>
      <c:valAx>
        <c:axId val="122044800"/>
        <c:scaling>
          <c:orientation val="minMax"/>
        </c:scaling>
        <c:axPos val="l"/>
        <c:majorGridlines/>
        <c:numFmt formatCode="General" sourceLinked="1"/>
        <c:tickLblPos val="nextTo"/>
        <c:crossAx val="122034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2019-01-15T08:59:00Z</dcterms:created>
  <dcterms:modified xsi:type="dcterms:W3CDTF">2019-01-15T08:59:00Z</dcterms:modified>
</cp:coreProperties>
</file>