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A0" w:rsidRPr="00D84BF3" w:rsidRDefault="00975FA0" w:rsidP="00975FA0">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Модуль 3 </w:t>
      </w:r>
    </w:p>
    <w:p w:rsidR="00975FA0" w:rsidRPr="00D84BF3" w:rsidRDefault="00975FA0" w:rsidP="00975FA0">
      <w:pPr>
        <w:pStyle w:val="a4"/>
        <w:numPr>
          <w:ilvl w:val="0"/>
          <w:numId w:val="2"/>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Оценка ликвидности компании</w:t>
      </w:r>
    </w:p>
    <w:tbl>
      <w:tblPr>
        <w:tblStyle w:val="a5"/>
        <w:tblW w:w="0" w:type="auto"/>
        <w:tblLayout w:type="fixed"/>
        <w:tblLook w:val="04A0"/>
      </w:tblPr>
      <w:tblGrid>
        <w:gridCol w:w="4683"/>
        <w:gridCol w:w="851"/>
        <w:gridCol w:w="1134"/>
        <w:gridCol w:w="1417"/>
        <w:gridCol w:w="1383"/>
      </w:tblGrid>
      <w:tr w:rsidR="00975FA0" w:rsidRPr="00D84BF3" w:rsidTr="00B36D6B">
        <w:trPr>
          <w:trHeight w:val="679"/>
        </w:trPr>
        <w:tc>
          <w:tcPr>
            <w:tcW w:w="4683"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Коэффициенты ликвидности</w:t>
            </w:r>
          </w:p>
        </w:tc>
        <w:tc>
          <w:tcPr>
            <w:tcW w:w="851"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1134"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c>
          <w:tcPr>
            <w:tcW w:w="1417"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Абсолютное изменение</w:t>
            </w:r>
          </w:p>
        </w:tc>
        <w:tc>
          <w:tcPr>
            <w:tcW w:w="1383"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прироста</w:t>
            </w:r>
          </w:p>
        </w:tc>
      </w:tr>
      <w:tr w:rsidR="00975FA0" w:rsidRPr="00D84BF3" w:rsidTr="00B36D6B">
        <w:trPr>
          <w:trHeight w:val="300"/>
        </w:trPr>
        <w:tc>
          <w:tcPr>
            <w:tcW w:w="4683"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Коэффициент текущей ликвидности</w:t>
            </w:r>
          </w:p>
        </w:tc>
        <w:tc>
          <w:tcPr>
            <w:tcW w:w="851"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1,151</w:t>
            </w:r>
          </w:p>
        </w:tc>
        <w:tc>
          <w:tcPr>
            <w:tcW w:w="1134"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1,043</w:t>
            </w:r>
          </w:p>
        </w:tc>
        <w:tc>
          <w:tcPr>
            <w:tcW w:w="1417"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0,108</w:t>
            </w:r>
          </w:p>
        </w:tc>
        <w:tc>
          <w:tcPr>
            <w:tcW w:w="1383"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10,35%</w:t>
            </w:r>
          </w:p>
        </w:tc>
      </w:tr>
      <w:tr w:rsidR="00975FA0" w:rsidRPr="00D84BF3" w:rsidTr="00B36D6B">
        <w:trPr>
          <w:trHeight w:val="300"/>
        </w:trPr>
        <w:tc>
          <w:tcPr>
            <w:tcW w:w="4683"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 Коэффициент срочной ликвидности</w:t>
            </w:r>
          </w:p>
        </w:tc>
        <w:tc>
          <w:tcPr>
            <w:tcW w:w="851"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0,275</w:t>
            </w:r>
          </w:p>
        </w:tc>
        <w:tc>
          <w:tcPr>
            <w:tcW w:w="1134"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0,277</w:t>
            </w:r>
          </w:p>
        </w:tc>
        <w:tc>
          <w:tcPr>
            <w:tcW w:w="1417"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-0,002</w:t>
            </w:r>
          </w:p>
        </w:tc>
        <w:tc>
          <w:tcPr>
            <w:tcW w:w="1383"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-0,70%</w:t>
            </w:r>
          </w:p>
        </w:tc>
      </w:tr>
      <w:tr w:rsidR="00975FA0" w:rsidRPr="00D84BF3" w:rsidTr="00B36D6B">
        <w:trPr>
          <w:trHeight w:val="300"/>
        </w:trPr>
        <w:tc>
          <w:tcPr>
            <w:tcW w:w="4683"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 Коэффициент абсолютной ликвидности</w:t>
            </w:r>
          </w:p>
        </w:tc>
        <w:tc>
          <w:tcPr>
            <w:tcW w:w="851"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0,110</w:t>
            </w:r>
          </w:p>
        </w:tc>
        <w:tc>
          <w:tcPr>
            <w:tcW w:w="1134"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0,077</w:t>
            </w:r>
          </w:p>
        </w:tc>
        <w:tc>
          <w:tcPr>
            <w:tcW w:w="1417"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0,033</w:t>
            </w:r>
          </w:p>
        </w:tc>
        <w:tc>
          <w:tcPr>
            <w:tcW w:w="1383" w:type="dxa"/>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43,53%</w:t>
            </w:r>
          </w:p>
        </w:tc>
      </w:tr>
      <w:tr w:rsidR="00975FA0" w:rsidRPr="00D84BF3" w:rsidTr="00B36D6B">
        <w:trPr>
          <w:trHeight w:val="300"/>
        </w:trPr>
        <w:tc>
          <w:tcPr>
            <w:tcW w:w="4683"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4. Коэффициент покрытия потоком денежных средств</w:t>
            </w:r>
          </w:p>
        </w:tc>
        <w:tc>
          <w:tcPr>
            <w:tcW w:w="851" w:type="dxa"/>
            <w:noWrap/>
            <w:vAlign w:val="center"/>
            <w:hideMark/>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0,21</w:t>
            </w:r>
          </w:p>
        </w:tc>
        <w:tc>
          <w:tcPr>
            <w:tcW w:w="1134" w:type="dxa"/>
            <w:noWrap/>
            <w:vAlign w:val="center"/>
            <w:hideMark/>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0,15</w:t>
            </w:r>
          </w:p>
        </w:tc>
        <w:tc>
          <w:tcPr>
            <w:tcW w:w="1417" w:type="dxa"/>
            <w:noWrap/>
            <w:vAlign w:val="center"/>
            <w:hideMark/>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0,065</w:t>
            </w:r>
          </w:p>
        </w:tc>
        <w:tc>
          <w:tcPr>
            <w:tcW w:w="1383" w:type="dxa"/>
            <w:noWrap/>
            <w:vAlign w:val="center"/>
            <w:hideMark/>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44,50%</w:t>
            </w:r>
          </w:p>
        </w:tc>
      </w:tr>
    </w:tbl>
    <w:p w:rsidR="00975FA0" w:rsidRPr="00D84BF3" w:rsidRDefault="00975FA0" w:rsidP="00975FA0">
      <w:pPr>
        <w:pStyle w:val="a4"/>
        <w:spacing w:before="100" w:beforeAutospacing="1"/>
        <w:ind w:left="0"/>
        <w:rPr>
          <w:rFonts w:ascii="Times New Roman" w:hAnsi="Times New Roman" w:cs="Times New Roman"/>
          <w:sz w:val="24"/>
          <w:szCs w:val="24"/>
        </w:rPr>
      </w:pPr>
    </w:p>
    <w:p w:rsidR="00975FA0" w:rsidRPr="00D84BF3" w:rsidRDefault="00975FA0" w:rsidP="00975FA0">
      <w:pPr>
        <w:pStyle w:val="a4"/>
        <w:numPr>
          <w:ilvl w:val="0"/>
          <w:numId w:val="1"/>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Коэффициент текущей ликвидности ниже нормы (2), что говорит о том, что оборотных активов недостаточно для покрытия текущий обязательств. В Динамике коэффициент увеличивается. </w:t>
      </w:r>
    </w:p>
    <w:p w:rsidR="00975FA0" w:rsidRPr="00D84BF3" w:rsidRDefault="00975FA0" w:rsidP="00975FA0">
      <w:pPr>
        <w:pStyle w:val="a4"/>
        <w:numPr>
          <w:ilvl w:val="0"/>
          <w:numId w:val="1"/>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Коэффициент срочной ликвидности ниже нормативного значения (0,5) ,что говорит о том, что денежных средств, краткосрочных финансовых вложений и краткосрочной дебиторской задолженности не хватает для покрытия половины текущий обязательств компании. В динамике показатель снижется (негативная тенденция).</w:t>
      </w:r>
    </w:p>
    <w:p w:rsidR="00975FA0" w:rsidRPr="00D84BF3" w:rsidRDefault="00975FA0" w:rsidP="00975FA0">
      <w:pPr>
        <w:pStyle w:val="a4"/>
        <w:numPr>
          <w:ilvl w:val="0"/>
          <w:numId w:val="1"/>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Коэффициент абсолютной ликвидности в отчетном периоде равен нормативному значению (0,1), в предыдущем чуть ниже нормы. Динамика положительная.</w:t>
      </w:r>
    </w:p>
    <w:p w:rsidR="00975FA0" w:rsidRPr="00D84BF3" w:rsidRDefault="00975FA0" w:rsidP="00975FA0">
      <w:pPr>
        <w:pStyle w:val="a4"/>
        <w:numPr>
          <w:ilvl w:val="0"/>
          <w:numId w:val="1"/>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Коэффициент  покрытия потоком денежных средств  </w:t>
      </w:r>
      <w:r>
        <w:rPr>
          <w:rFonts w:ascii="Times New Roman" w:hAnsi="Times New Roman" w:cs="Times New Roman"/>
          <w:sz w:val="24"/>
          <w:szCs w:val="24"/>
        </w:rPr>
        <w:t>положительный,  в динамике растет, что говорит о достаточности генерируемого денежного потока для обеспечения платежеспособности компании.</w:t>
      </w:r>
    </w:p>
    <w:p w:rsidR="00975FA0" w:rsidRPr="00D84BF3" w:rsidRDefault="00975FA0" w:rsidP="00975FA0">
      <w:pPr>
        <w:pStyle w:val="a4"/>
        <w:spacing w:before="100" w:beforeAutospacing="1"/>
        <w:ind w:left="0"/>
        <w:rPr>
          <w:rFonts w:ascii="Times New Roman" w:hAnsi="Times New Roman" w:cs="Times New Roman"/>
          <w:sz w:val="24"/>
          <w:szCs w:val="24"/>
        </w:rPr>
      </w:pPr>
    </w:p>
    <w:p w:rsidR="00975FA0" w:rsidRPr="00D84BF3" w:rsidRDefault="00975FA0" w:rsidP="00975FA0">
      <w:pPr>
        <w:pStyle w:val="a4"/>
        <w:numPr>
          <w:ilvl w:val="0"/>
          <w:numId w:val="2"/>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 xml:space="preserve">Анализ платежеспособности и финансовой устойчивости </w:t>
      </w:r>
    </w:p>
    <w:tbl>
      <w:tblPr>
        <w:tblW w:w="8791" w:type="dxa"/>
        <w:tblInd w:w="103" w:type="dxa"/>
        <w:tblLook w:val="04A0"/>
      </w:tblPr>
      <w:tblGrid>
        <w:gridCol w:w="4256"/>
        <w:gridCol w:w="1236"/>
        <w:gridCol w:w="1236"/>
        <w:gridCol w:w="1060"/>
        <w:gridCol w:w="1235"/>
      </w:tblGrid>
      <w:tr w:rsidR="00975FA0" w:rsidRPr="00D84BF3" w:rsidTr="00B36D6B">
        <w:trPr>
          <w:trHeight w:val="300"/>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Коэффициент платежеспособности и финансовой устойчивости</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Темп роста</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Норматив</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 Коэффициент платежеспособности</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0,12</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0,11</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1,08</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больше 0,5</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2. Коэффициент текущей платежеспособности </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1,07</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1,06</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1,01</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больше 1 </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 Коэффициент финансовой независимости</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0,11</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0,10</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1,07</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больше 0,5</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4. Коэффициент финансовой зависимости </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0,89</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0,90</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0,99</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ниже 0,5</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5. Коэффициент маневренности </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-2,28</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-2,95</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0,77</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 Коэффициент обеспеченности запасов</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0,17</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0,06</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3,05</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больше 0,5</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ЭФР</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-0,86</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-15,60</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0,06</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Дифференциал</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-0,13%</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2,19%</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-0,06</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ЭР</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0,1244542</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0,1481309</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0,84</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СРСП</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0,1257152</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0,1262561</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1,00</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r w:rsidR="00975FA0" w:rsidRPr="00D84BF3" w:rsidTr="00B36D6B">
        <w:trPr>
          <w:trHeight w:val="300"/>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Плечо</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8,252716</w:t>
            </w:r>
          </w:p>
        </w:tc>
        <w:tc>
          <w:tcPr>
            <w:tcW w:w="1163"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8,9068227</w:t>
            </w:r>
          </w:p>
        </w:tc>
        <w:tc>
          <w:tcPr>
            <w:tcW w:w="1060"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0,93</w:t>
            </w:r>
          </w:p>
        </w:tc>
        <w:tc>
          <w:tcPr>
            <w:tcW w:w="1149" w:type="dxa"/>
            <w:tcBorders>
              <w:top w:val="nil"/>
              <w:left w:val="nil"/>
              <w:bottom w:val="single" w:sz="4" w:space="0" w:color="auto"/>
              <w:right w:val="single" w:sz="4" w:space="0" w:color="auto"/>
            </w:tcBorders>
            <w:shd w:val="clear" w:color="auto" w:fill="auto"/>
            <w:noWrap/>
            <w:vAlign w:val="bottom"/>
            <w:hideMark/>
          </w:tcPr>
          <w:p w:rsidR="00975FA0" w:rsidRPr="00D84BF3" w:rsidRDefault="00975FA0" w:rsidP="00B36D6B">
            <w:pPr>
              <w:spacing w:before="100" w:beforeAutospacing="1" w:after="0" w:line="240" w:lineRule="auto"/>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w:t>
            </w:r>
          </w:p>
        </w:tc>
      </w:tr>
    </w:tbl>
    <w:p w:rsidR="00975FA0" w:rsidRPr="00D84BF3" w:rsidRDefault="00975FA0" w:rsidP="00975FA0">
      <w:pPr>
        <w:pStyle w:val="a4"/>
        <w:numPr>
          <w:ilvl w:val="0"/>
          <w:numId w:val="3"/>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color w:val="000000"/>
          <w:sz w:val="24"/>
          <w:szCs w:val="24"/>
        </w:rPr>
        <w:lastRenderedPageBreak/>
        <w:t>Значение ниже нормативного свидетельствует о зависимости предприятия от внешних источников финансирования и возможной неустойчивости финансового положения.</w:t>
      </w:r>
    </w:p>
    <w:p w:rsidR="00975FA0" w:rsidRPr="00D84BF3" w:rsidRDefault="00975FA0" w:rsidP="00975FA0">
      <w:pPr>
        <w:pStyle w:val="a4"/>
        <w:numPr>
          <w:ilvl w:val="0"/>
          <w:numId w:val="3"/>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color w:val="000000"/>
          <w:sz w:val="24"/>
          <w:szCs w:val="24"/>
        </w:rPr>
        <w:t>К-т текущей платежеспособности рассчитывается как отношение положительного денежного потока от текущей деятельности к отрицательному денежному потоку</w:t>
      </w:r>
    </w:p>
    <w:p w:rsidR="00975FA0" w:rsidRPr="00D84BF3" w:rsidRDefault="00975FA0" w:rsidP="00975FA0">
      <w:pPr>
        <w:pStyle w:val="a4"/>
        <w:numPr>
          <w:ilvl w:val="0"/>
          <w:numId w:val="3"/>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К-т фин независимости ниже нормативного значения, собственного капитала не хватает для покрытия половины обязательств </w:t>
      </w:r>
    </w:p>
    <w:p w:rsidR="00975FA0" w:rsidRPr="00D84BF3" w:rsidRDefault="00975FA0" w:rsidP="00975FA0">
      <w:pPr>
        <w:pStyle w:val="a4"/>
        <w:numPr>
          <w:ilvl w:val="0"/>
          <w:numId w:val="3"/>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Коэффициент финансовой зависимости выше нормативного значения, что говорит о </w:t>
      </w:r>
      <w:r>
        <w:rPr>
          <w:rFonts w:ascii="Times New Roman" w:hAnsi="Times New Roman" w:cs="Times New Roman"/>
          <w:sz w:val="24"/>
          <w:szCs w:val="24"/>
        </w:rPr>
        <w:t>зависимости Компании от заемных средств.</w:t>
      </w:r>
    </w:p>
    <w:p w:rsidR="00975FA0" w:rsidRPr="00D84BF3" w:rsidRDefault="00975FA0" w:rsidP="00975FA0">
      <w:pPr>
        <w:pStyle w:val="a4"/>
        <w:numPr>
          <w:ilvl w:val="0"/>
          <w:numId w:val="3"/>
        </w:numPr>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Отрицательный финансовый рычаг говорит о неэффективности использования финансовых средств.</w:t>
      </w:r>
    </w:p>
    <w:p w:rsidR="00975FA0" w:rsidRDefault="00975FA0" w:rsidP="00975FA0">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Все показатели ниже нормативных, что говорит о плохой платежеспособности компании и о невозможности ее улучшения в ближайшем будущем. </w:t>
      </w:r>
    </w:p>
    <w:p w:rsidR="00975FA0" w:rsidRPr="00D84BF3" w:rsidRDefault="00975FA0" w:rsidP="00975FA0">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Налогообложение уменьшает чистую прибыль компании, однако удельный вес  налогов в финансовых результатах не высокий. При этом компания в 2017 году снизила налоговую нагрузку за счет снижения величины постоянных налоговых обязательств. Таким образом, можно сказать, что в компании  оптимизированы налоговые выплаты и структур финансирования с точки зрения налогообложения оптимальна. </w:t>
      </w:r>
    </w:p>
    <w:tbl>
      <w:tblPr>
        <w:tblStyle w:val="a5"/>
        <w:tblW w:w="5000" w:type="pct"/>
        <w:tblLook w:val="04A0"/>
      </w:tblPr>
      <w:tblGrid>
        <w:gridCol w:w="2301"/>
        <w:gridCol w:w="876"/>
        <w:gridCol w:w="876"/>
        <w:gridCol w:w="1187"/>
        <w:gridCol w:w="4331"/>
      </w:tblGrid>
      <w:tr w:rsidR="00975FA0" w:rsidRPr="00D84BF3" w:rsidTr="00B36D6B">
        <w:trPr>
          <w:trHeight w:val="300"/>
        </w:trPr>
        <w:tc>
          <w:tcPr>
            <w:tcW w:w="1218" w:type="pct"/>
            <w:hideMark/>
          </w:tcPr>
          <w:p w:rsidR="00975FA0" w:rsidRPr="00D84BF3" w:rsidRDefault="00975FA0" w:rsidP="00B36D6B">
            <w:pPr>
              <w:spacing w:before="100" w:beforeAutospacing="1"/>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Показатели</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2016</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2017</w:t>
            </w:r>
          </w:p>
        </w:tc>
        <w:tc>
          <w:tcPr>
            <w:tcW w:w="636" w:type="pct"/>
            <w:vAlign w:val="center"/>
          </w:tcPr>
          <w:p w:rsidR="00975FA0" w:rsidRPr="00D84BF3" w:rsidRDefault="00975FA0" w:rsidP="00B36D6B">
            <w:pPr>
              <w:spacing w:before="100" w:beforeAutospacing="1"/>
              <w:jc w:val="center"/>
              <w:rPr>
                <w:rFonts w:ascii="Times New Roman" w:eastAsia="Times New Roman" w:hAnsi="Times New Roman" w:cs="Times New Roman"/>
                <w:sz w:val="24"/>
                <w:szCs w:val="24"/>
                <w:lang w:eastAsia="ru-RU"/>
              </w:rPr>
            </w:pPr>
            <w:r w:rsidRPr="00D84BF3">
              <w:rPr>
                <w:rFonts w:ascii="Times New Roman" w:eastAsia="Times New Roman" w:hAnsi="Times New Roman" w:cs="Times New Roman"/>
                <w:sz w:val="24"/>
                <w:szCs w:val="24"/>
                <w:lang w:eastAsia="ru-RU"/>
              </w:rPr>
              <w:t xml:space="preserve">Темп роста </w:t>
            </w:r>
          </w:p>
        </w:tc>
        <w:tc>
          <w:tcPr>
            <w:tcW w:w="2278" w:type="pct"/>
            <w:vAlign w:val="center"/>
            <w:hideMark/>
          </w:tcPr>
          <w:p w:rsidR="00975FA0" w:rsidRPr="00D84BF3" w:rsidRDefault="00975FA0" w:rsidP="00B36D6B">
            <w:pPr>
              <w:spacing w:before="100" w:beforeAutospacing="1"/>
              <w:jc w:val="center"/>
              <w:rPr>
                <w:rFonts w:ascii="Times New Roman" w:eastAsia="Times New Roman" w:hAnsi="Times New Roman" w:cs="Times New Roman"/>
                <w:sz w:val="24"/>
                <w:szCs w:val="24"/>
                <w:lang w:eastAsia="ru-RU"/>
              </w:rPr>
            </w:pPr>
          </w:p>
        </w:tc>
      </w:tr>
      <w:tr w:rsidR="00975FA0" w:rsidRPr="00D84BF3" w:rsidTr="00B36D6B">
        <w:trPr>
          <w:trHeight w:val="915"/>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Коэффициент оборачиваемости собственного капитала</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1,85</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2,09</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1,13</w:t>
            </w:r>
          </w:p>
        </w:tc>
        <w:tc>
          <w:tcPr>
            <w:tcW w:w="2278"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Индивидуален для каждой организации; должна быть тенденция к ускорению. Характеризует эффективность использования совокупных активов фирмы для получения доходов и прибыли, или скорость оборота капитала организации.</w:t>
            </w:r>
          </w:p>
        </w:tc>
      </w:tr>
      <w:tr w:rsidR="00975FA0" w:rsidRPr="00D84BF3" w:rsidTr="00B36D6B">
        <w:trPr>
          <w:trHeight w:val="600"/>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 Коэффициент оборачиваемости оборотных активов</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2,55</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2,62</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1,03</w:t>
            </w:r>
          </w:p>
        </w:tc>
        <w:tc>
          <w:tcPr>
            <w:tcW w:w="2278"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Показывает скорость оборота мобильных средств за анализируемый период.</w:t>
            </w:r>
          </w:p>
        </w:tc>
      </w:tr>
      <w:tr w:rsidR="00975FA0" w:rsidRPr="00D84BF3" w:rsidTr="00B36D6B">
        <w:trPr>
          <w:trHeight w:val="1800"/>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Коэффициент оборачиваемости дебиторской задолженности</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13,25</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14,07</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1,06</w:t>
            </w:r>
          </w:p>
        </w:tc>
        <w:tc>
          <w:tcPr>
            <w:tcW w:w="2278"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Показывает число оборотов, совершенных дебиторской задолженностью, или сколько раз за период взыскивается дебиторская задолженность. При ускорении оборачиваемости происходит снижение значения показателя, что свидетельствует об улучшении расчетов с дебиторами.</w:t>
            </w:r>
          </w:p>
        </w:tc>
      </w:tr>
      <w:tr w:rsidR="00975FA0" w:rsidRPr="00D84BF3" w:rsidTr="00B36D6B">
        <w:trPr>
          <w:trHeight w:val="600"/>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 Коэффициент оборачиваемости запасов по себестоимости</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2,24</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2,33</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1,04</w:t>
            </w:r>
          </w:p>
        </w:tc>
        <w:tc>
          <w:tcPr>
            <w:tcW w:w="2278"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Должна быть тенденция к ускорению. Показывает скорость оборота запасов.</w:t>
            </w:r>
          </w:p>
        </w:tc>
      </w:tr>
      <w:tr w:rsidR="00975FA0" w:rsidRPr="00D84BF3" w:rsidTr="00B36D6B">
        <w:trPr>
          <w:trHeight w:val="2100"/>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lastRenderedPageBreak/>
              <w:t xml:space="preserve"> Коэффициент оборачиваемости кредиторской задолженности</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3,50</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3,57</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1,02</w:t>
            </w:r>
          </w:p>
        </w:tc>
        <w:tc>
          <w:tcPr>
            <w:tcW w:w="2278"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Оборачиваемость кредиторской задолженности должная быть меньше оборачиваемости дебиторской задолженности. Показывает скорость оборота задолженности самой фирмы. Ускорение оборачиваемости кредиторской задолженности неблагоприятно сказывается на ликвидности организации.</w:t>
            </w:r>
          </w:p>
        </w:tc>
      </w:tr>
      <w:tr w:rsidR="00975FA0" w:rsidRPr="00D84BF3" w:rsidTr="00B36D6B">
        <w:trPr>
          <w:trHeight w:val="600"/>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Продолжительность одного оборота собственного капитала</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197,42</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174,61</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0,88</w:t>
            </w:r>
          </w:p>
        </w:tc>
        <w:tc>
          <w:tcPr>
            <w:tcW w:w="2278" w:type="pct"/>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p>
        </w:tc>
      </w:tr>
      <w:tr w:rsidR="00975FA0" w:rsidRPr="00D84BF3" w:rsidTr="00B36D6B">
        <w:trPr>
          <w:trHeight w:val="600"/>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Продолжительность одного оборота оборотных активов</w:t>
            </w:r>
          </w:p>
        </w:tc>
        <w:tc>
          <w:tcPr>
            <w:tcW w:w="439" w:type="pct"/>
            <w:vAlign w:val="center"/>
            <w:hideMark/>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143,17</w:t>
            </w:r>
          </w:p>
        </w:tc>
        <w:tc>
          <w:tcPr>
            <w:tcW w:w="429" w:type="pct"/>
            <w:vAlign w:val="center"/>
            <w:hideMark/>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173</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1,2</w:t>
            </w:r>
          </w:p>
        </w:tc>
        <w:tc>
          <w:tcPr>
            <w:tcW w:w="2278" w:type="pct"/>
            <w:noWrap/>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p>
        </w:tc>
      </w:tr>
      <w:tr w:rsidR="00975FA0" w:rsidRPr="00D84BF3" w:rsidTr="00B36D6B">
        <w:trPr>
          <w:trHeight w:val="900"/>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Продолжительность одного оборота дебиторской задолженности</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27,55</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25,95</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0,94</w:t>
            </w:r>
          </w:p>
        </w:tc>
        <w:tc>
          <w:tcPr>
            <w:tcW w:w="2278"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Должна быть тенденция к снижению. Характеризует средний период, необходимый для взыскания дебиторской задолженности.</w:t>
            </w:r>
          </w:p>
        </w:tc>
      </w:tr>
      <w:tr w:rsidR="00975FA0" w:rsidRPr="00D84BF3" w:rsidTr="00B36D6B">
        <w:trPr>
          <w:trHeight w:val="600"/>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 xml:space="preserve"> Продолжительность одного оборота запасов</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163,23</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156,79</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0,96</w:t>
            </w:r>
          </w:p>
        </w:tc>
        <w:tc>
          <w:tcPr>
            <w:tcW w:w="2278"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Должна быть тенденция к снижению. Показывает, как долго денежные средства связаны в запасах.</w:t>
            </w:r>
          </w:p>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Нормативное значение для отрасли не более 45 дней</w:t>
            </w:r>
          </w:p>
        </w:tc>
      </w:tr>
      <w:tr w:rsidR="00975FA0" w:rsidRPr="00D84BF3" w:rsidTr="00B36D6B">
        <w:trPr>
          <w:trHeight w:val="984"/>
        </w:trPr>
        <w:tc>
          <w:tcPr>
            <w:tcW w:w="1218" w:type="pct"/>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Продолжительность одного оборота кредиторской задолженности</w:t>
            </w:r>
          </w:p>
        </w:tc>
        <w:tc>
          <w:tcPr>
            <w:tcW w:w="43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104,24</w:t>
            </w:r>
          </w:p>
        </w:tc>
        <w:tc>
          <w:tcPr>
            <w:tcW w:w="429"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102,31</w:t>
            </w:r>
          </w:p>
        </w:tc>
        <w:tc>
          <w:tcPr>
            <w:tcW w:w="636" w:type="pct"/>
            <w:vAlign w:val="center"/>
          </w:tcPr>
          <w:p w:rsidR="00975FA0" w:rsidRPr="00D84BF3" w:rsidRDefault="00975FA0" w:rsidP="00B36D6B">
            <w:pPr>
              <w:spacing w:before="100" w:beforeAutospacing="1"/>
              <w:jc w:val="center"/>
              <w:rPr>
                <w:rFonts w:ascii="Times New Roman" w:hAnsi="Times New Roman" w:cs="Times New Roman"/>
                <w:color w:val="000000"/>
                <w:sz w:val="24"/>
                <w:szCs w:val="24"/>
              </w:rPr>
            </w:pPr>
            <w:r w:rsidRPr="00D84BF3">
              <w:rPr>
                <w:rFonts w:ascii="Times New Roman" w:hAnsi="Times New Roman" w:cs="Times New Roman"/>
                <w:color w:val="000000"/>
                <w:sz w:val="24"/>
                <w:szCs w:val="24"/>
              </w:rPr>
              <w:t>0,98</w:t>
            </w:r>
          </w:p>
        </w:tc>
        <w:tc>
          <w:tcPr>
            <w:tcW w:w="2278" w:type="pct"/>
            <w:vAlign w:val="center"/>
            <w:hideMark/>
          </w:tcPr>
          <w:p w:rsidR="00975FA0" w:rsidRPr="00D84BF3" w:rsidRDefault="00975FA0" w:rsidP="00B36D6B">
            <w:pPr>
              <w:spacing w:before="100" w:beforeAutospacing="1"/>
              <w:jc w:val="center"/>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Показывает средний срок возврата коммерческого кредита.</w:t>
            </w:r>
          </w:p>
        </w:tc>
      </w:tr>
    </w:tbl>
    <w:p w:rsidR="00975FA0" w:rsidRDefault="00975FA0" w:rsidP="00975FA0">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 Оборачиваемость активов в среднем за анализируемый период (с 31 декабря 2016 г. по 31 декабря 2017 г.) показывает, что организация получает выручку, равную сум</w:t>
      </w:r>
      <w:r>
        <w:rPr>
          <w:rFonts w:ascii="Times New Roman" w:hAnsi="Times New Roman" w:cs="Times New Roman"/>
          <w:sz w:val="24"/>
          <w:szCs w:val="24"/>
        </w:rPr>
        <w:t>ме всех имеющихся активов за 173</w:t>
      </w:r>
      <w:r w:rsidRPr="00D84BF3">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При этом в среднем требуется 156,8 дней</w:t>
      </w:r>
      <w:r w:rsidRPr="00D84BF3">
        <w:rPr>
          <w:rFonts w:ascii="Times New Roman" w:hAnsi="Times New Roman" w:cs="Times New Roman"/>
          <w:sz w:val="24"/>
          <w:szCs w:val="24"/>
        </w:rPr>
        <w:t>, чтобы получить выручку равную среднегодовому остатку материально-производственных запасов.</w:t>
      </w:r>
    </w:p>
    <w:p w:rsidR="00975FA0" w:rsidRPr="00D84BF3" w:rsidRDefault="00975FA0" w:rsidP="00975FA0">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Продолжительность одного оборота кредиторской задолженности ниже продолжительности одного оборота дебиторской задолженности, что является хорошим показателем, так как денежные средства кредиторам (поставщикам) компания выплачивает быстрее, чем дебиторы, выплачивают ей, однако, величину дебиторской задолженности необходимо снижать. Для этого можно использовать методы скидок за ранний платеж (для юридических лиц), усовершенствование системы оплаты, взаимозачет требований. </w:t>
      </w:r>
    </w:p>
    <w:p w:rsidR="00975FA0" w:rsidRPr="00D84BF3" w:rsidRDefault="00975FA0" w:rsidP="00975FA0">
      <w:pPr>
        <w:spacing w:before="100" w:beforeAutospacing="1"/>
        <w:rPr>
          <w:rFonts w:ascii="Times New Roman" w:hAnsi="Times New Roman" w:cs="Times New Roman"/>
          <w:sz w:val="24"/>
          <w:szCs w:val="24"/>
        </w:rPr>
      </w:pPr>
      <w:r w:rsidRPr="00D84BF3">
        <w:rPr>
          <w:rFonts w:ascii="Times New Roman" w:hAnsi="Times New Roman" w:cs="Times New Roman"/>
          <w:sz w:val="24"/>
          <w:szCs w:val="24"/>
        </w:rPr>
        <w:t xml:space="preserve">В целом показатели продолжительности одного оборота выше нормативных по отрасли, поэтому необходимо улучшить эффективность использования ресурсов (запасов, качество дебиторской задолженности). В динамике показатели продолжительности оборота  снижаются, что является положительной тенденцией. </w:t>
      </w:r>
    </w:p>
    <w:p w:rsidR="00975FA0" w:rsidRPr="00D84BF3" w:rsidRDefault="00975FA0" w:rsidP="00975FA0">
      <w:pPr>
        <w:pStyle w:val="a4"/>
        <w:numPr>
          <w:ilvl w:val="0"/>
          <w:numId w:val="3"/>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lastRenderedPageBreak/>
        <w:t xml:space="preserve">Показатели рентабельности </w:t>
      </w:r>
    </w:p>
    <w:p w:rsidR="00975FA0" w:rsidRPr="00D84BF3" w:rsidRDefault="00975FA0" w:rsidP="00975FA0">
      <w:pPr>
        <w:pStyle w:val="a4"/>
        <w:spacing w:before="100" w:beforeAutospacing="1"/>
        <w:ind w:left="0"/>
        <w:rPr>
          <w:rFonts w:ascii="Times New Roman" w:hAnsi="Times New Roman" w:cs="Times New Roman"/>
          <w:sz w:val="24"/>
          <w:szCs w:val="24"/>
        </w:rPr>
      </w:pPr>
    </w:p>
    <w:tbl>
      <w:tblPr>
        <w:tblW w:w="5000" w:type="pct"/>
        <w:tblLayout w:type="fixed"/>
        <w:tblLook w:val="04A0"/>
      </w:tblPr>
      <w:tblGrid>
        <w:gridCol w:w="2093"/>
        <w:gridCol w:w="709"/>
        <w:gridCol w:w="850"/>
        <w:gridCol w:w="846"/>
        <w:gridCol w:w="856"/>
        <w:gridCol w:w="708"/>
        <w:gridCol w:w="976"/>
        <w:gridCol w:w="725"/>
        <w:gridCol w:w="993"/>
        <w:gridCol w:w="815"/>
      </w:tblGrid>
      <w:tr w:rsidR="00975FA0" w:rsidRPr="0075702F" w:rsidTr="00B36D6B">
        <w:trPr>
          <w:trHeight w:val="600"/>
        </w:trPr>
        <w:tc>
          <w:tcPr>
            <w:tcW w:w="10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 </w:t>
            </w:r>
          </w:p>
        </w:tc>
        <w:tc>
          <w:tcPr>
            <w:tcW w:w="1256" w:type="pct"/>
            <w:gridSpan w:val="3"/>
            <w:tcBorders>
              <w:top w:val="single" w:sz="4" w:space="0" w:color="auto"/>
              <w:left w:val="nil"/>
              <w:bottom w:val="single" w:sz="4" w:space="0" w:color="auto"/>
              <w:right w:val="single" w:sz="4" w:space="0" w:color="auto"/>
            </w:tcBorders>
            <w:shd w:val="clear" w:color="auto" w:fill="auto"/>
            <w:vAlign w:val="bottom"/>
            <w:hideMark/>
          </w:tcPr>
          <w:p w:rsidR="00975FA0" w:rsidRPr="0075702F" w:rsidRDefault="00975FA0" w:rsidP="00B36D6B">
            <w:pPr>
              <w:spacing w:after="0" w:line="240" w:lineRule="auto"/>
              <w:jc w:val="center"/>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Прибыль от продаж</w:t>
            </w:r>
          </w:p>
        </w:tc>
        <w:tc>
          <w:tcPr>
            <w:tcW w:w="1327" w:type="pct"/>
            <w:gridSpan w:val="3"/>
            <w:tcBorders>
              <w:top w:val="single" w:sz="4" w:space="0" w:color="auto"/>
              <w:left w:val="nil"/>
              <w:bottom w:val="single" w:sz="4" w:space="0" w:color="auto"/>
              <w:right w:val="single" w:sz="4" w:space="0" w:color="auto"/>
            </w:tcBorders>
            <w:shd w:val="clear" w:color="auto" w:fill="auto"/>
            <w:vAlign w:val="bottom"/>
            <w:hideMark/>
          </w:tcPr>
          <w:p w:rsidR="00975FA0" w:rsidRPr="0075702F" w:rsidRDefault="00975FA0" w:rsidP="00B36D6B">
            <w:pPr>
              <w:spacing w:after="0" w:line="240" w:lineRule="auto"/>
              <w:jc w:val="center"/>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Прибыль до налогообложения</w:t>
            </w:r>
          </w:p>
        </w:tc>
        <w:tc>
          <w:tcPr>
            <w:tcW w:w="1323" w:type="pct"/>
            <w:gridSpan w:val="3"/>
            <w:tcBorders>
              <w:top w:val="single" w:sz="4" w:space="0" w:color="auto"/>
              <w:left w:val="nil"/>
              <w:bottom w:val="single" w:sz="4" w:space="0" w:color="auto"/>
              <w:right w:val="single" w:sz="4" w:space="0" w:color="auto"/>
            </w:tcBorders>
            <w:shd w:val="clear" w:color="auto" w:fill="auto"/>
            <w:vAlign w:val="bottom"/>
            <w:hideMark/>
          </w:tcPr>
          <w:p w:rsidR="00975FA0" w:rsidRPr="0075702F" w:rsidRDefault="00975FA0" w:rsidP="00B36D6B">
            <w:pPr>
              <w:spacing w:after="0" w:line="240" w:lineRule="auto"/>
              <w:jc w:val="center"/>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Чистая прибыль</w:t>
            </w:r>
          </w:p>
        </w:tc>
      </w:tr>
      <w:tr w:rsidR="00975FA0" w:rsidRPr="00D84BF3" w:rsidTr="00B36D6B">
        <w:trPr>
          <w:trHeight w:val="300"/>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2016</w:t>
            </w:r>
          </w:p>
        </w:tc>
        <w:tc>
          <w:tcPr>
            <w:tcW w:w="444"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2017</w:t>
            </w:r>
          </w:p>
        </w:tc>
        <w:tc>
          <w:tcPr>
            <w:tcW w:w="442"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Темп роста</w:t>
            </w:r>
          </w:p>
        </w:tc>
        <w:tc>
          <w:tcPr>
            <w:tcW w:w="447"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2016</w:t>
            </w:r>
          </w:p>
        </w:tc>
        <w:tc>
          <w:tcPr>
            <w:tcW w:w="37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2017</w:t>
            </w:r>
          </w:p>
        </w:tc>
        <w:tc>
          <w:tcPr>
            <w:tcW w:w="51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Темп роста</w:t>
            </w:r>
          </w:p>
        </w:tc>
        <w:tc>
          <w:tcPr>
            <w:tcW w:w="379"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2016</w:t>
            </w:r>
          </w:p>
        </w:tc>
        <w:tc>
          <w:tcPr>
            <w:tcW w:w="519"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2017</w:t>
            </w:r>
          </w:p>
        </w:tc>
        <w:tc>
          <w:tcPr>
            <w:tcW w:w="426"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Темп роста</w:t>
            </w:r>
          </w:p>
        </w:tc>
      </w:tr>
      <w:tr w:rsidR="00975FA0" w:rsidRPr="00D84BF3" w:rsidTr="00B36D6B">
        <w:trPr>
          <w:trHeight w:val="600"/>
        </w:trPr>
        <w:tc>
          <w:tcPr>
            <w:tcW w:w="1093" w:type="pct"/>
            <w:tcBorders>
              <w:top w:val="nil"/>
              <w:left w:val="single" w:sz="4" w:space="0" w:color="auto"/>
              <w:bottom w:val="single" w:sz="4" w:space="0" w:color="auto"/>
              <w:right w:val="single" w:sz="4" w:space="0" w:color="auto"/>
            </w:tcBorders>
            <w:shd w:val="clear" w:color="auto" w:fill="auto"/>
            <w:vAlign w:val="bottom"/>
            <w:hideMark/>
          </w:tcPr>
          <w:p w:rsidR="00975FA0" w:rsidRPr="0075702F" w:rsidRDefault="00975FA0" w:rsidP="00B36D6B">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П</w:t>
            </w:r>
            <w:r w:rsidRPr="0075702F">
              <w:rPr>
                <w:rFonts w:ascii="Times New Roman" w:eastAsia="Times New Roman" w:hAnsi="Times New Roman" w:cs="Times New Roman"/>
                <w:color w:val="000000"/>
                <w:sz w:val="24"/>
                <w:szCs w:val="24"/>
                <w:lang w:eastAsia="ru-RU"/>
              </w:rPr>
              <w:t>роизводственной деятельности</w:t>
            </w:r>
          </w:p>
        </w:tc>
        <w:tc>
          <w:tcPr>
            <w:tcW w:w="37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0,21</w:t>
            </w:r>
          </w:p>
        </w:tc>
        <w:tc>
          <w:tcPr>
            <w:tcW w:w="444"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0,15</w:t>
            </w:r>
          </w:p>
        </w:tc>
        <w:tc>
          <w:tcPr>
            <w:tcW w:w="442"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70,4%</w:t>
            </w:r>
          </w:p>
        </w:tc>
        <w:tc>
          <w:tcPr>
            <w:tcW w:w="447"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0,13</w:t>
            </w:r>
          </w:p>
        </w:tc>
        <w:tc>
          <w:tcPr>
            <w:tcW w:w="37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0,09</w:t>
            </w:r>
          </w:p>
        </w:tc>
        <w:tc>
          <w:tcPr>
            <w:tcW w:w="51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66,7%</w:t>
            </w:r>
          </w:p>
        </w:tc>
        <w:tc>
          <w:tcPr>
            <w:tcW w:w="379"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0,11</w:t>
            </w:r>
          </w:p>
        </w:tc>
        <w:tc>
          <w:tcPr>
            <w:tcW w:w="519"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0,08</w:t>
            </w:r>
          </w:p>
        </w:tc>
        <w:tc>
          <w:tcPr>
            <w:tcW w:w="426"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71,2%</w:t>
            </w:r>
          </w:p>
        </w:tc>
      </w:tr>
      <w:tr w:rsidR="00975FA0" w:rsidRPr="00D84BF3" w:rsidTr="00B36D6B">
        <w:trPr>
          <w:trHeight w:val="300"/>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 Продаж</w:t>
            </w:r>
          </w:p>
        </w:tc>
        <w:tc>
          <w:tcPr>
            <w:tcW w:w="37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0,13</w:t>
            </w:r>
          </w:p>
        </w:tc>
        <w:tc>
          <w:tcPr>
            <w:tcW w:w="444"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0,10</w:t>
            </w:r>
          </w:p>
        </w:tc>
        <w:tc>
          <w:tcPr>
            <w:tcW w:w="442"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73,8%</w:t>
            </w:r>
          </w:p>
        </w:tc>
        <w:tc>
          <w:tcPr>
            <w:tcW w:w="447"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0,08</w:t>
            </w:r>
          </w:p>
        </w:tc>
        <w:tc>
          <w:tcPr>
            <w:tcW w:w="37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0,10</w:t>
            </w:r>
          </w:p>
        </w:tc>
        <w:tc>
          <w:tcPr>
            <w:tcW w:w="51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114,6%</w:t>
            </w:r>
          </w:p>
        </w:tc>
        <w:tc>
          <w:tcPr>
            <w:tcW w:w="379"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0,07</w:t>
            </w:r>
          </w:p>
        </w:tc>
        <w:tc>
          <w:tcPr>
            <w:tcW w:w="519"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0,05</w:t>
            </w:r>
          </w:p>
        </w:tc>
        <w:tc>
          <w:tcPr>
            <w:tcW w:w="426"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74,6%</w:t>
            </w:r>
          </w:p>
        </w:tc>
      </w:tr>
      <w:tr w:rsidR="00975FA0" w:rsidRPr="00D84BF3" w:rsidTr="00B36D6B">
        <w:trPr>
          <w:trHeight w:val="300"/>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3. Капитала</w:t>
            </w:r>
          </w:p>
        </w:tc>
        <w:tc>
          <w:tcPr>
            <w:tcW w:w="37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2,58</w:t>
            </w:r>
          </w:p>
        </w:tc>
        <w:tc>
          <w:tcPr>
            <w:tcW w:w="444"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1,94</w:t>
            </w:r>
          </w:p>
        </w:tc>
        <w:tc>
          <w:tcPr>
            <w:tcW w:w="442"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75,2%</w:t>
            </w:r>
          </w:p>
        </w:tc>
        <w:tc>
          <w:tcPr>
            <w:tcW w:w="447"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1,67</w:t>
            </w:r>
          </w:p>
        </w:tc>
        <w:tc>
          <w:tcPr>
            <w:tcW w:w="37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1,19</w:t>
            </w:r>
          </w:p>
        </w:tc>
        <w:tc>
          <w:tcPr>
            <w:tcW w:w="510"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71,2%</w:t>
            </w:r>
          </w:p>
        </w:tc>
        <w:tc>
          <w:tcPr>
            <w:tcW w:w="379"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1,32</w:t>
            </w:r>
          </w:p>
        </w:tc>
        <w:tc>
          <w:tcPr>
            <w:tcW w:w="519"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1,00</w:t>
            </w:r>
          </w:p>
        </w:tc>
        <w:tc>
          <w:tcPr>
            <w:tcW w:w="426" w:type="pct"/>
            <w:tcBorders>
              <w:top w:val="nil"/>
              <w:left w:val="nil"/>
              <w:bottom w:val="single" w:sz="4" w:space="0" w:color="auto"/>
              <w:right w:val="single" w:sz="4" w:space="0" w:color="auto"/>
            </w:tcBorders>
            <w:shd w:val="clear" w:color="auto" w:fill="auto"/>
            <w:noWrap/>
            <w:vAlign w:val="bottom"/>
            <w:hideMark/>
          </w:tcPr>
          <w:p w:rsidR="00975FA0" w:rsidRPr="0075702F" w:rsidRDefault="00975FA0" w:rsidP="00B36D6B">
            <w:pPr>
              <w:spacing w:after="0" w:line="240" w:lineRule="auto"/>
              <w:jc w:val="right"/>
              <w:rPr>
                <w:rFonts w:ascii="Times New Roman" w:eastAsia="Times New Roman" w:hAnsi="Times New Roman" w:cs="Times New Roman"/>
                <w:color w:val="000000"/>
                <w:sz w:val="24"/>
                <w:szCs w:val="24"/>
                <w:lang w:eastAsia="ru-RU"/>
              </w:rPr>
            </w:pPr>
            <w:r w:rsidRPr="0075702F">
              <w:rPr>
                <w:rFonts w:ascii="Times New Roman" w:eastAsia="Times New Roman" w:hAnsi="Times New Roman" w:cs="Times New Roman"/>
                <w:color w:val="000000"/>
                <w:sz w:val="24"/>
                <w:szCs w:val="24"/>
                <w:lang w:eastAsia="ru-RU"/>
              </w:rPr>
              <w:t>76,0%</w:t>
            </w:r>
          </w:p>
        </w:tc>
      </w:tr>
    </w:tbl>
    <w:p w:rsidR="00975FA0" w:rsidRPr="00D84BF3" w:rsidRDefault="00975FA0" w:rsidP="00975FA0">
      <w:pPr>
        <w:pStyle w:val="a4"/>
        <w:spacing w:before="100" w:beforeAutospacing="1"/>
        <w:ind w:left="0"/>
        <w:rPr>
          <w:rFonts w:ascii="Times New Roman" w:hAnsi="Times New Roman" w:cs="Times New Roman"/>
          <w:sz w:val="24"/>
          <w:szCs w:val="24"/>
        </w:rPr>
      </w:pPr>
    </w:p>
    <w:p w:rsidR="00975FA0" w:rsidRPr="00D84BF3" w:rsidRDefault="00975FA0" w:rsidP="00975FA0">
      <w:pPr>
        <w:pStyle w:val="a4"/>
        <w:spacing w:before="100" w:beforeAutospacing="1"/>
        <w:ind w:left="0"/>
        <w:rPr>
          <w:rFonts w:ascii="Times New Roman" w:hAnsi="Times New Roman" w:cs="Times New Roman"/>
          <w:sz w:val="24"/>
          <w:szCs w:val="24"/>
        </w:rPr>
      </w:pPr>
    </w:p>
    <w:tbl>
      <w:tblPr>
        <w:tblStyle w:val="a5"/>
        <w:tblW w:w="6487" w:type="dxa"/>
        <w:tblLook w:val="04A0"/>
      </w:tblPr>
      <w:tblGrid>
        <w:gridCol w:w="3028"/>
        <w:gridCol w:w="1076"/>
        <w:gridCol w:w="1196"/>
        <w:gridCol w:w="1375"/>
      </w:tblGrid>
      <w:tr w:rsidR="00975FA0" w:rsidRPr="00D84BF3" w:rsidTr="00B36D6B">
        <w:trPr>
          <w:trHeight w:val="315"/>
        </w:trPr>
        <w:tc>
          <w:tcPr>
            <w:tcW w:w="3028"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p>
        </w:tc>
        <w:tc>
          <w:tcPr>
            <w:tcW w:w="98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2016</w:t>
            </w:r>
          </w:p>
        </w:tc>
        <w:tc>
          <w:tcPr>
            <w:tcW w:w="1098"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2017</w:t>
            </w:r>
          </w:p>
        </w:tc>
        <w:tc>
          <w:tcPr>
            <w:tcW w:w="1375"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Изменение</w:t>
            </w:r>
          </w:p>
        </w:tc>
      </w:tr>
      <w:tr w:rsidR="00975FA0" w:rsidRPr="00D84BF3" w:rsidTr="00B36D6B">
        <w:trPr>
          <w:trHeight w:val="315"/>
        </w:trPr>
        <w:tc>
          <w:tcPr>
            <w:tcW w:w="3028"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ROA</w:t>
            </w:r>
            <w:r>
              <w:rPr>
                <w:rFonts w:ascii="Times New Roman" w:eastAsia="Times New Roman" w:hAnsi="Times New Roman" w:cs="Times New Roman"/>
                <w:color w:val="000000"/>
                <w:sz w:val="24"/>
                <w:szCs w:val="24"/>
                <w:lang w:eastAsia="ru-RU"/>
              </w:rPr>
              <w:t xml:space="preserve"> (рентабельность активов)</w:t>
            </w:r>
          </w:p>
        </w:tc>
        <w:tc>
          <w:tcPr>
            <w:tcW w:w="98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11,72%</w:t>
            </w:r>
          </w:p>
        </w:tc>
        <w:tc>
          <w:tcPr>
            <w:tcW w:w="1098"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10,85%</w:t>
            </w:r>
          </w:p>
        </w:tc>
        <w:tc>
          <w:tcPr>
            <w:tcW w:w="1375"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-0,00874</w:t>
            </w:r>
          </w:p>
        </w:tc>
      </w:tr>
      <w:tr w:rsidR="00975FA0" w:rsidRPr="00D84BF3" w:rsidTr="00B36D6B">
        <w:trPr>
          <w:trHeight w:val="300"/>
        </w:trPr>
        <w:tc>
          <w:tcPr>
            <w:tcW w:w="3028"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P/N</w:t>
            </w:r>
          </w:p>
        </w:tc>
        <w:tc>
          <w:tcPr>
            <w:tcW w:w="98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6,69%</w:t>
            </w:r>
          </w:p>
        </w:tc>
        <w:tc>
          <w:tcPr>
            <w:tcW w:w="1098"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5,00%</w:t>
            </w:r>
          </w:p>
        </w:tc>
        <w:tc>
          <w:tcPr>
            <w:tcW w:w="1375"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-0,01697</w:t>
            </w:r>
          </w:p>
        </w:tc>
      </w:tr>
      <w:tr w:rsidR="00975FA0" w:rsidRPr="00D84BF3" w:rsidTr="00B36D6B">
        <w:trPr>
          <w:trHeight w:val="315"/>
        </w:trPr>
        <w:tc>
          <w:tcPr>
            <w:tcW w:w="3028"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N/K</w:t>
            </w:r>
          </w:p>
        </w:tc>
        <w:tc>
          <w:tcPr>
            <w:tcW w:w="98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175,17%</w:t>
            </w:r>
          </w:p>
        </w:tc>
        <w:tc>
          <w:tcPr>
            <w:tcW w:w="1098"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209,49%</w:t>
            </w:r>
          </w:p>
        </w:tc>
        <w:tc>
          <w:tcPr>
            <w:tcW w:w="1375"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0,343229</w:t>
            </w:r>
          </w:p>
        </w:tc>
      </w:tr>
      <w:tr w:rsidR="00975FA0" w:rsidRPr="00D84BF3" w:rsidTr="00B36D6B">
        <w:trPr>
          <w:trHeight w:val="315"/>
        </w:trPr>
        <w:tc>
          <w:tcPr>
            <w:tcW w:w="3028"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w:t>
            </w:r>
            <w:r>
              <w:rPr>
                <w:rFonts w:ascii="Times New Roman" w:eastAsia="Times New Roman" w:hAnsi="Times New Roman" w:cs="Times New Roman"/>
                <w:color w:val="000000"/>
                <w:sz w:val="24"/>
                <w:szCs w:val="24"/>
                <w:lang w:eastAsia="ru-RU"/>
              </w:rPr>
              <w:t xml:space="preserve"> (рентабельность капитала)</w:t>
            </w:r>
          </w:p>
        </w:tc>
        <w:tc>
          <w:tcPr>
            <w:tcW w:w="98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116,15%</w:t>
            </w:r>
          </w:p>
        </w:tc>
        <w:tc>
          <w:tcPr>
            <w:tcW w:w="1098"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135,35%</w:t>
            </w:r>
          </w:p>
        </w:tc>
        <w:tc>
          <w:tcPr>
            <w:tcW w:w="1375"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0,19206</w:t>
            </w:r>
          </w:p>
        </w:tc>
      </w:tr>
      <w:tr w:rsidR="00975FA0" w:rsidRPr="00D84BF3" w:rsidTr="00B36D6B">
        <w:trPr>
          <w:trHeight w:val="300"/>
        </w:trPr>
        <w:tc>
          <w:tcPr>
            <w:tcW w:w="3028"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P/N</w:t>
            </w:r>
          </w:p>
        </w:tc>
        <w:tc>
          <w:tcPr>
            <w:tcW w:w="98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6,69%</w:t>
            </w:r>
          </w:p>
        </w:tc>
        <w:tc>
          <w:tcPr>
            <w:tcW w:w="1098"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5,00%</w:t>
            </w:r>
          </w:p>
        </w:tc>
        <w:tc>
          <w:tcPr>
            <w:tcW w:w="1375"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-0,01697</w:t>
            </w:r>
          </w:p>
        </w:tc>
      </w:tr>
      <w:tr w:rsidR="00975FA0" w:rsidRPr="00D84BF3" w:rsidTr="00B36D6B">
        <w:trPr>
          <w:trHeight w:val="300"/>
        </w:trPr>
        <w:tc>
          <w:tcPr>
            <w:tcW w:w="3028"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N/K</w:t>
            </w:r>
          </w:p>
        </w:tc>
        <w:tc>
          <w:tcPr>
            <w:tcW w:w="98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175,17%</w:t>
            </w:r>
          </w:p>
        </w:tc>
        <w:tc>
          <w:tcPr>
            <w:tcW w:w="1098"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209,49%</w:t>
            </w:r>
          </w:p>
        </w:tc>
        <w:tc>
          <w:tcPr>
            <w:tcW w:w="1375"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0,343229</w:t>
            </w:r>
          </w:p>
        </w:tc>
      </w:tr>
      <w:tr w:rsidR="00975FA0" w:rsidRPr="00D84BF3" w:rsidTr="00B36D6B">
        <w:trPr>
          <w:trHeight w:val="315"/>
        </w:trPr>
        <w:tc>
          <w:tcPr>
            <w:tcW w:w="3028"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K/E</w:t>
            </w:r>
          </w:p>
        </w:tc>
        <w:tc>
          <w:tcPr>
            <w:tcW w:w="98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990,68%</w:t>
            </w:r>
          </w:p>
        </w:tc>
        <w:tc>
          <w:tcPr>
            <w:tcW w:w="1098"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1293,29%</w:t>
            </w:r>
          </w:p>
        </w:tc>
        <w:tc>
          <w:tcPr>
            <w:tcW w:w="1375"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3,026084</w:t>
            </w:r>
          </w:p>
        </w:tc>
      </w:tr>
    </w:tbl>
    <w:p w:rsidR="00975FA0" w:rsidRPr="00D84BF3" w:rsidRDefault="00975FA0" w:rsidP="00975FA0">
      <w:pPr>
        <w:pStyle w:val="a4"/>
        <w:spacing w:before="100" w:beforeAutospacing="1"/>
        <w:ind w:left="0"/>
        <w:rPr>
          <w:rFonts w:ascii="Times New Roman" w:hAnsi="Times New Roman" w:cs="Times New Roman"/>
          <w:sz w:val="24"/>
          <w:szCs w:val="24"/>
        </w:rPr>
      </w:pPr>
    </w:p>
    <w:p w:rsidR="00975FA0" w:rsidRPr="00D84BF3" w:rsidRDefault="00975FA0" w:rsidP="00975FA0">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Влияние каждого на результат:</w:t>
      </w:r>
    </w:p>
    <w:tbl>
      <w:tblPr>
        <w:tblStyle w:val="a5"/>
        <w:tblW w:w="2223" w:type="dxa"/>
        <w:tblLook w:val="04A0"/>
      </w:tblPr>
      <w:tblGrid>
        <w:gridCol w:w="1382"/>
        <w:gridCol w:w="1196"/>
      </w:tblGrid>
      <w:tr w:rsidR="00975FA0" w:rsidRPr="00D84BF3" w:rsidTr="00B36D6B">
        <w:trPr>
          <w:trHeight w:val="300"/>
        </w:trPr>
        <w:tc>
          <w:tcPr>
            <w:tcW w:w="1027"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^ROA (P/N)</w:t>
            </w:r>
          </w:p>
        </w:tc>
        <w:tc>
          <w:tcPr>
            <w:tcW w:w="119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-3,3%</w:t>
            </w:r>
          </w:p>
        </w:tc>
      </w:tr>
      <w:tr w:rsidR="00975FA0" w:rsidRPr="00D84BF3" w:rsidTr="00B36D6B">
        <w:trPr>
          <w:trHeight w:val="300"/>
        </w:trPr>
        <w:tc>
          <w:tcPr>
            <w:tcW w:w="1027"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^ROA (N/K)</w:t>
            </w:r>
          </w:p>
        </w:tc>
        <w:tc>
          <w:tcPr>
            <w:tcW w:w="119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2,0%</w:t>
            </w:r>
          </w:p>
        </w:tc>
      </w:tr>
      <w:tr w:rsidR="00975FA0" w:rsidRPr="00D84BF3" w:rsidTr="00B36D6B">
        <w:trPr>
          <w:trHeight w:val="300"/>
        </w:trPr>
        <w:tc>
          <w:tcPr>
            <w:tcW w:w="1027"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w:t>
            </w:r>
          </w:p>
        </w:tc>
        <w:tc>
          <w:tcPr>
            <w:tcW w:w="119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19,2%</w:t>
            </w:r>
          </w:p>
        </w:tc>
      </w:tr>
      <w:tr w:rsidR="00975FA0" w:rsidRPr="00D84BF3" w:rsidTr="00B36D6B">
        <w:trPr>
          <w:trHeight w:val="300"/>
        </w:trPr>
        <w:tc>
          <w:tcPr>
            <w:tcW w:w="1027"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^ROE(P/N)</w:t>
            </w:r>
          </w:p>
        </w:tc>
        <w:tc>
          <w:tcPr>
            <w:tcW w:w="119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-29,5%</w:t>
            </w:r>
          </w:p>
        </w:tc>
      </w:tr>
      <w:tr w:rsidR="00975FA0" w:rsidRPr="00D84BF3" w:rsidTr="00B36D6B">
        <w:trPr>
          <w:trHeight w:val="300"/>
        </w:trPr>
        <w:tc>
          <w:tcPr>
            <w:tcW w:w="1027"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^ROE(N/K)</w:t>
            </w:r>
          </w:p>
        </w:tc>
        <w:tc>
          <w:tcPr>
            <w:tcW w:w="119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17,0%</w:t>
            </w:r>
          </w:p>
        </w:tc>
      </w:tr>
      <w:tr w:rsidR="00975FA0" w:rsidRPr="00D84BF3" w:rsidTr="00B36D6B">
        <w:trPr>
          <w:trHeight w:val="300"/>
        </w:trPr>
        <w:tc>
          <w:tcPr>
            <w:tcW w:w="1027" w:type="dxa"/>
            <w:noWrap/>
            <w:hideMark/>
          </w:tcPr>
          <w:p w:rsidR="00975FA0" w:rsidRPr="00D84BF3" w:rsidRDefault="00975FA0" w:rsidP="00B36D6B">
            <w:pPr>
              <w:spacing w:before="100" w:beforeAutospacing="1"/>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^ROE(K/E)</w:t>
            </w:r>
          </w:p>
        </w:tc>
        <w:tc>
          <w:tcPr>
            <w:tcW w:w="1196" w:type="dxa"/>
            <w:noWrap/>
            <w:hideMark/>
          </w:tcPr>
          <w:p w:rsidR="00975FA0" w:rsidRPr="00D84BF3" w:rsidRDefault="00975FA0" w:rsidP="00B36D6B">
            <w:pPr>
              <w:spacing w:before="100" w:beforeAutospacing="1"/>
              <w:jc w:val="right"/>
              <w:rPr>
                <w:rFonts w:ascii="Times New Roman" w:eastAsia="Times New Roman" w:hAnsi="Times New Roman" w:cs="Times New Roman"/>
                <w:color w:val="000000"/>
                <w:sz w:val="24"/>
                <w:szCs w:val="24"/>
                <w:lang w:eastAsia="ru-RU"/>
              </w:rPr>
            </w:pPr>
            <w:r w:rsidRPr="00D84BF3">
              <w:rPr>
                <w:rFonts w:ascii="Times New Roman" w:eastAsia="Times New Roman" w:hAnsi="Times New Roman" w:cs="Times New Roman"/>
                <w:color w:val="000000"/>
                <w:sz w:val="24"/>
                <w:szCs w:val="24"/>
                <w:lang w:eastAsia="ru-RU"/>
              </w:rPr>
              <w:t>31,7%</w:t>
            </w:r>
          </w:p>
        </w:tc>
      </w:tr>
    </w:tbl>
    <w:p w:rsidR="00975FA0" w:rsidRPr="00D84BF3" w:rsidRDefault="00975FA0" w:rsidP="00975FA0">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Большее влияние на изменение рентабельности активов оказывает рентабельность продаж</w:t>
      </w:r>
      <w:r>
        <w:rPr>
          <w:rFonts w:ascii="Times New Roman" w:hAnsi="Times New Roman" w:cs="Times New Roman"/>
          <w:sz w:val="24"/>
          <w:szCs w:val="24"/>
        </w:rPr>
        <w:t xml:space="preserve"> (влияние обратное)</w:t>
      </w:r>
      <w:r w:rsidRPr="00D84BF3">
        <w:rPr>
          <w:rFonts w:ascii="Times New Roman" w:hAnsi="Times New Roman" w:cs="Times New Roman"/>
          <w:sz w:val="24"/>
          <w:szCs w:val="24"/>
        </w:rPr>
        <w:t>.</w:t>
      </w:r>
      <w:r>
        <w:rPr>
          <w:rFonts w:ascii="Times New Roman" w:hAnsi="Times New Roman" w:cs="Times New Roman"/>
          <w:sz w:val="24"/>
          <w:szCs w:val="24"/>
        </w:rPr>
        <w:t xml:space="preserve"> </w:t>
      </w:r>
      <w:r w:rsidRPr="00D84BF3">
        <w:rPr>
          <w:rFonts w:ascii="Times New Roman" w:hAnsi="Times New Roman" w:cs="Times New Roman"/>
          <w:sz w:val="24"/>
          <w:szCs w:val="24"/>
        </w:rPr>
        <w:t xml:space="preserve"> </w:t>
      </w:r>
    </w:p>
    <w:p w:rsidR="00975FA0" w:rsidRDefault="00975FA0" w:rsidP="00975FA0">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Большее влияние на рентабельность продаж оказывает финансовый леверидж (влияние прямое) и рентабельность продаж (обратная).</w:t>
      </w:r>
    </w:p>
    <w:p w:rsidR="00975FA0" w:rsidRDefault="00975FA0" w:rsidP="00975FA0">
      <w:pPr>
        <w:pStyle w:val="a4"/>
        <w:spacing w:before="100" w:beforeAutospacing="1"/>
        <w:ind w:left="0"/>
        <w:rPr>
          <w:rFonts w:ascii="Times New Roman" w:hAnsi="Times New Roman" w:cs="Times New Roman"/>
          <w:sz w:val="24"/>
          <w:szCs w:val="24"/>
        </w:rPr>
      </w:pPr>
      <w:r>
        <w:rPr>
          <w:rFonts w:ascii="Times New Roman" w:hAnsi="Times New Roman" w:cs="Times New Roman"/>
          <w:sz w:val="24"/>
          <w:szCs w:val="24"/>
        </w:rPr>
        <w:t xml:space="preserve">Таким образом, из факторного анализа рентабельности активов и собственного капитала можно сделать вывод, что компания увеличила себестоимость продукции сильнее, чем себестоимость выручки, за счет чего изменение рентабельности продаж на общую величину рентабельности активов отрицательное. Поэтому, рекомендуется снизить </w:t>
      </w:r>
      <w:r>
        <w:rPr>
          <w:rFonts w:ascii="Times New Roman" w:hAnsi="Times New Roman" w:cs="Times New Roman"/>
          <w:sz w:val="24"/>
          <w:szCs w:val="24"/>
        </w:rPr>
        <w:lastRenderedPageBreak/>
        <w:t>себестоимости продукции.  Положительное влияние финансового левериджа говорит об оптимизации финансирования деятельности компании .</w:t>
      </w:r>
    </w:p>
    <w:p w:rsidR="00975FA0" w:rsidRPr="00D84BF3" w:rsidRDefault="00975FA0" w:rsidP="00975FA0">
      <w:pPr>
        <w:pStyle w:val="a4"/>
        <w:spacing w:before="100" w:beforeAutospacing="1"/>
        <w:ind w:left="0"/>
        <w:rPr>
          <w:rFonts w:ascii="Times New Roman" w:hAnsi="Times New Roman" w:cs="Times New Roman"/>
          <w:sz w:val="24"/>
          <w:szCs w:val="24"/>
        </w:rPr>
      </w:pPr>
      <w:r>
        <w:rPr>
          <w:rFonts w:ascii="Times New Roman" w:hAnsi="Times New Roman" w:cs="Times New Roman"/>
          <w:sz w:val="24"/>
          <w:szCs w:val="24"/>
        </w:rPr>
        <w:t xml:space="preserve">При соотношении динамики  показателей рентабельности и ликвидности Компании, то можно заметить, что в отчетном году компания увеличила ликвидность, снизив при этом уровень доходности, о чем говорят снижение показателей рентабельности и повышение показателей ликвидности. Данная тенденция является положительной, так как повышает финансовую устойчивость компании. </w:t>
      </w:r>
    </w:p>
    <w:p w:rsidR="00975FA0" w:rsidRPr="00D84BF3" w:rsidRDefault="00975FA0" w:rsidP="00975FA0">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noProof/>
          <w:sz w:val="24"/>
          <w:szCs w:val="24"/>
          <w:lang w:eastAsia="ru-RU"/>
        </w:rPr>
        <w:drawing>
          <wp:inline distT="0" distB="0" distL="0" distR="0">
            <wp:extent cx="4600575" cy="27432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75FA0" w:rsidRPr="00D84BF3" w:rsidRDefault="00975FA0" w:rsidP="00975FA0">
      <w:pPr>
        <w:pStyle w:val="a4"/>
        <w:spacing w:before="100" w:beforeAutospacing="1"/>
        <w:ind w:left="0"/>
        <w:rPr>
          <w:rFonts w:ascii="Times New Roman" w:hAnsi="Times New Roman" w:cs="Times New Roman"/>
          <w:sz w:val="24"/>
          <w:szCs w:val="24"/>
        </w:rPr>
      </w:pPr>
    </w:p>
    <w:p w:rsidR="00975FA0" w:rsidRPr="00D84BF3" w:rsidRDefault="00975FA0" w:rsidP="00975FA0">
      <w:pPr>
        <w:pStyle w:val="a4"/>
        <w:spacing w:before="100" w:beforeAutospacing="1"/>
        <w:ind w:left="0"/>
        <w:rPr>
          <w:rFonts w:ascii="Times New Roman" w:hAnsi="Times New Roman" w:cs="Times New Roman"/>
          <w:sz w:val="24"/>
          <w:szCs w:val="24"/>
        </w:rPr>
      </w:pPr>
    </w:p>
    <w:p w:rsidR="00975FA0" w:rsidRPr="00D84BF3" w:rsidRDefault="00975FA0" w:rsidP="00975FA0">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noProof/>
          <w:sz w:val="24"/>
          <w:szCs w:val="24"/>
          <w:lang w:eastAsia="ru-RU"/>
        </w:rPr>
        <w:drawing>
          <wp:inline distT="0" distB="0" distL="0" distR="0">
            <wp:extent cx="4619625" cy="28194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75FA0" w:rsidRPr="00D84BF3" w:rsidRDefault="00975FA0" w:rsidP="00975FA0">
      <w:pPr>
        <w:pStyle w:val="a4"/>
        <w:spacing w:before="100" w:beforeAutospacing="1"/>
        <w:ind w:left="0"/>
        <w:rPr>
          <w:rFonts w:ascii="Times New Roman" w:hAnsi="Times New Roman" w:cs="Times New Roman"/>
          <w:sz w:val="24"/>
          <w:szCs w:val="24"/>
        </w:rPr>
      </w:pPr>
    </w:p>
    <w:p w:rsidR="00975FA0" w:rsidRPr="00D84BF3" w:rsidRDefault="00975FA0" w:rsidP="00975FA0">
      <w:pPr>
        <w:pStyle w:val="a4"/>
        <w:spacing w:before="100" w:beforeAutospacing="1"/>
        <w:ind w:left="0"/>
        <w:rPr>
          <w:rFonts w:ascii="Times New Roman" w:hAnsi="Times New Roman" w:cs="Times New Roman"/>
          <w:sz w:val="24"/>
          <w:szCs w:val="24"/>
        </w:rPr>
      </w:pPr>
    </w:p>
    <w:p w:rsidR="00975FA0" w:rsidRPr="00D84BF3" w:rsidRDefault="00975FA0" w:rsidP="00975FA0">
      <w:pPr>
        <w:pStyle w:val="a4"/>
        <w:spacing w:before="100" w:beforeAutospacing="1"/>
        <w:ind w:left="0"/>
        <w:rPr>
          <w:rFonts w:ascii="Times New Roman" w:hAnsi="Times New Roman" w:cs="Times New Roman"/>
          <w:b/>
          <w:sz w:val="24"/>
          <w:szCs w:val="24"/>
        </w:rPr>
      </w:pPr>
      <w:r w:rsidRPr="00D84BF3">
        <w:rPr>
          <w:rFonts w:ascii="Times New Roman" w:hAnsi="Times New Roman" w:cs="Times New Roman"/>
          <w:b/>
          <w:sz w:val="24"/>
          <w:szCs w:val="24"/>
        </w:rPr>
        <w:t>Цели проведения анализа с различных точек зрения:</w:t>
      </w:r>
    </w:p>
    <w:p w:rsidR="00975FA0" w:rsidRPr="00D84BF3" w:rsidRDefault="00975FA0" w:rsidP="00975FA0">
      <w:pPr>
        <w:pStyle w:val="a4"/>
        <w:spacing w:before="100" w:beforeAutospacing="1"/>
        <w:ind w:left="0"/>
        <w:rPr>
          <w:rFonts w:ascii="Times New Roman" w:hAnsi="Times New Roman" w:cs="Times New Roman"/>
          <w:sz w:val="24"/>
          <w:szCs w:val="24"/>
          <w:u w:val="single"/>
        </w:rPr>
      </w:pPr>
      <w:r w:rsidRPr="00D84BF3">
        <w:rPr>
          <w:rFonts w:ascii="Times New Roman" w:hAnsi="Times New Roman" w:cs="Times New Roman"/>
          <w:sz w:val="24"/>
          <w:szCs w:val="24"/>
          <w:u w:val="single"/>
        </w:rPr>
        <w:t>С точки зрения акционеров/ собственников</w:t>
      </w:r>
    </w:p>
    <w:p w:rsidR="00975FA0" w:rsidRPr="00D84BF3" w:rsidRDefault="00975FA0" w:rsidP="00975FA0">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Акционеры желают получить наибольшую прибыль от инвестированных ими в компанию денежных средств, в соответствии с этим, они будут уделять особое внимание следующим показателям:</w:t>
      </w:r>
    </w:p>
    <w:p w:rsidR="00975FA0" w:rsidRPr="00D84BF3" w:rsidRDefault="00975FA0" w:rsidP="00975FA0">
      <w:pPr>
        <w:pStyle w:val="a4"/>
        <w:numPr>
          <w:ilvl w:val="0"/>
          <w:numId w:val="4"/>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 xml:space="preserve">Доходность акций. Так как дивиденды компания выплачивает из чистой прибыли, то собственник в первую очередь будет обращать на чистую прибыль предприятия. На </w:t>
      </w:r>
      <w:r w:rsidRPr="00D84BF3">
        <w:rPr>
          <w:rFonts w:ascii="Times New Roman" w:hAnsi="Times New Roman" w:cs="Times New Roman"/>
          <w:sz w:val="24"/>
          <w:szCs w:val="24"/>
        </w:rPr>
        <w:lastRenderedPageBreak/>
        <w:t>доходность акций влияет их количество, чем больше их выпущено, тем меньше дивидендов получит собственник.</w:t>
      </w:r>
    </w:p>
    <w:p w:rsidR="00975FA0" w:rsidRPr="00D84BF3" w:rsidRDefault="00975FA0" w:rsidP="00975FA0">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Компания в последние периоды генерирует чистую прибыль и  стабильно выплачивает дивиденды</w:t>
      </w:r>
    </w:p>
    <w:p w:rsidR="00975FA0" w:rsidRPr="00D84BF3" w:rsidRDefault="00975FA0" w:rsidP="00975FA0">
      <w:pPr>
        <w:pStyle w:val="a4"/>
        <w:numPr>
          <w:ilvl w:val="0"/>
          <w:numId w:val="4"/>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Наличие задолженности у компании и их величина. Чем больше кредитов у предприятия, тем выше риск ее банкротства, в этом случае акционер перестанет получать доход от Компании и получит лишь ликвидационную стоимость</w:t>
      </w:r>
    </w:p>
    <w:p w:rsidR="00975FA0" w:rsidRPr="00D84BF3" w:rsidRDefault="00975FA0" w:rsidP="00975FA0">
      <w:pPr>
        <w:pStyle w:val="a4"/>
        <w:numPr>
          <w:ilvl w:val="0"/>
          <w:numId w:val="4"/>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Денежные потоки фирмы  и качество активов. Откуда получает прибыль предприятие и куда направляет полученные средства (с целью оценки качества вложенных средств компанией в разные активы)</w:t>
      </w:r>
    </w:p>
    <w:p w:rsidR="00975FA0" w:rsidRPr="00D84BF3" w:rsidRDefault="00975FA0" w:rsidP="00975FA0">
      <w:pPr>
        <w:pStyle w:val="a4"/>
        <w:numPr>
          <w:ilvl w:val="0"/>
          <w:numId w:val="4"/>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Деловая репутация компании (Гудвилл) – если у компании сложилась хорошая деловая репутация, то к ней повышается доверие, а</w:t>
      </w:r>
      <w:r>
        <w:rPr>
          <w:rFonts w:ascii="Times New Roman" w:hAnsi="Times New Roman" w:cs="Times New Roman"/>
          <w:sz w:val="24"/>
          <w:szCs w:val="24"/>
        </w:rPr>
        <w:t>,</w:t>
      </w:r>
      <w:r w:rsidRPr="00D84BF3">
        <w:rPr>
          <w:rFonts w:ascii="Times New Roman" w:hAnsi="Times New Roman" w:cs="Times New Roman"/>
          <w:sz w:val="24"/>
          <w:szCs w:val="24"/>
        </w:rPr>
        <w:t xml:space="preserve"> следовательно, и стоимость ее акций возрастает.</w:t>
      </w:r>
    </w:p>
    <w:p w:rsidR="00975FA0" w:rsidRPr="00D84BF3" w:rsidRDefault="00975FA0" w:rsidP="00975FA0">
      <w:pPr>
        <w:pStyle w:val="a4"/>
        <w:spacing w:before="100" w:beforeAutospacing="1"/>
        <w:ind w:left="0"/>
        <w:rPr>
          <w:rFonts w:ascii="Times New Roman" w:hAnsi="Times New Roman" w:cs="Times New Roman"/>
          <w:sz w:val="24"/>
          <w:szCs w:val="24"/>
          <w:u w:val="single"/>
        </w:rPr>
      </w:pPr>
      <w:r w:rsidRPr="00D84BF3">
        <w:rPr>
          <w:rFonts w:ascii="Times New Roman" w:hAnsi="Times New Roman" w:cs="Times New Roman"/>
          <w:sz w:val="24"/>
          <w:szCs w:val="24"/>
          <w:u w:val="single"/>
        </w:rPr>
        <w:t>С  точки зрения кредиторов.</w:t>
      </w:r>
    </w:p>
    <w:p w:rsidR="00975FA0" w:rsidRPr="00D84BF3" w:rsidRDefault="00975FA0" w:rsidP="00975FA0">
      <w:pPr>
        <w:pStyle w:val="a4"/>
        <w:numPr>
          <w:ilvl w:val="0"/>
          <w:numId w:val="5"/>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Наличие уже имеющихся кредитов и задолженностей предприятия, их динамика,  величина по сравнению с собственным капиталом (соотношение собственных и заемных средств). Если у компании большое число кредитов, то кредитору невыгодно выдавать новые кредиты, т.к. есть риск их непогашения.</w:t>
      </w:r>
    </w:p>
    <w:p w:rsidR="00975FA0" w:rsidRPr="00D84BF3" w:rsidRDefault="00975FA0" w:rsidP="00975FA0">
      <w:pPr>
        <w:pStyle w:val="a4"/>
        <w:numPr>
          <w:ilvl w:val="0"/>
          <w:numId w:val="5"/>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Ликвидность компании. Ликвидность означает наличие у компании активов, которые можно было бы перевести в денежные средств для выплаты процентов</w:t>
      </w:r>
    </w:p>
    <w:p w:rsidR="00975FA0" w:rsidRPr="00D84BF3" w:rsidRDefault="00975FA0" w:rsidP="00975FA0">
      <w:pPr>
        <w:pStyle w:val="a4"/>
        <w:numPr>
          <w:ilvl w:val="0"/>
          <w:numId w:val="5"/>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Качество активов предп</w:t>
      </w:r>
      <w:r>
        <w:rPr>
          <w:rFonts w:ascii="Times New Roman" w:hAnsi="Times New Roman" w:cs="Times New Roman"/>
          <w:sz w:val="24"/>
          <w:szCs w:val="24"/>
        </w:rPr>
        <w:t xml:space="preserve">риятия </w:t>
      </w:r>
      <w:r w:rsidRPr="00D84BF3">
        <w:rPr>
          <w:rFonts w:ascii="Times New Roman" w:hAnsi="Times New Roman" w:cs="Times New Roman"/>
          <w:sz w:val="24"/>
          <w:szCs w:val="24"/>
        </w:rPr>
        <w:t xml:space="preserve"> </w:t>
      </w:r>
    </w:p>
    <w:p w:rsidR="00975FA0" w:rsidRPr="00D84BF3" w:rsidRDefault="00975FA0" w:rsidP="00975FA0">
      <w:pPr>
        <w:pStyle w:val="a4"/>
        <w:numPr>
          <w:ilvl w:val="0"/>
          <w:numId w:val="5"/>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Денежные потоки предприятия по всем видам деятельности. Данные величины показывают, превышает ли платежи предприятия его поступления.</w:t>
      </w:r>
    </w:p>
    <w:p w:rsidR="00975FA0" w:rsidRPr="00D84BF3" w:rsidRDefault="00975FA0" w:rsidP="00975FA0">
      <w:pPr>
        <w:pStyle w:val="a4"/>
        <w:numPr>
          <w:ilvl w:val="0"/>
          <w:numId w:val="5"/>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Прибыль предприятия, ее динамика, показывает, способно ли предприятие покрывать уже имеющиеся кредиты и проценты по ним. Если прибыль предприятия отрицательная (убыток), то кредитору не следует выдавать новый кредит</w:t>
      </w:r>
    </w:p>
    <w:p w:rsidR="00975FA0" w:rsidRPr="00D84BF3" w:rsidRDefault="00975FA0" w:rsidP="00975FA0">
      <w:pPr>
        <w:pStyle w:val="a4"/>
        <w:spacing w:before="100" w:beforeAutospacing="1"/>
        <w:ind w:left="0"/>
        <w:rPr>
          <w:rFonts w:ascii="Times New Roman" w:hAnsi="Times New Roman" w:cs="Times New Roman"/>
          <w:sz w:val="24"/>
          <w:szCs w:val="24"/>
          <w:u w:val="single"/>
        </w:rPr>
      </w:pPr>
      <w:r w:rsidRPr="00D84BF3">
        <w:rPr>
          <w:rFonts w:ascii="Times New Roman" w:hAnsi="Times New Roman" w:cs="Times New Roman"/>
          <w:sz w:val="24"/>
          <w:szCs w:val="24"/>
          <w:u w:val="single"/>
        </w:rPr>
        <w:t>С точки зрения менеджеров:</w:t>
      </w:r>
    </w:p>
    <w:p w:rsidR="00975FA0" w:rsidRPr="00D84BF3" w:rsidRDefault="00975FA0" w:rsidP="00975FA0">
      <w:pPr>
        <w:pStyle w:val="a4"/>
        <w:numPr>
          <w:ilvl w:val="0"/>
          <w:numId w:val="6"/>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Эффективность использования ресурсов, с целью их оптимизации</w:t>
      </w:r>
      <w:r>
        <w:rPr>
          <w:rFonts w:ascii="Times New Roman" w:hAnsi="Times New Roman" w:cs="Times New Roman"/>
          <w:sz w:val="24"/>
          <w:szCs w:val="24"/>
        </w:rPr>
        <w:t xml:space="preserve"> – за отчетный год компания увеличила выручку и себестоимость компании, однако себестоимость выручка более высокими темпами, что говорит о необходимости ее снижения. </w:t>
      </w:r>
    </w:p>
    <w:p w:rsidR="00975FA0" w:rsidRDefault="00975FA0" w:rsidP="00975FA0">
      <w:pPr>
        <w:pStyle w:val="a4"/>
        <w:numPr>
          <w:ilvl w:val="0"/>
          <w:numId w:val="6"/>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Рентабельность</w:t>
      </w:r>
      <w:r>
        <w:rPr>
          <w:rFonts w:ascii="Times New Roman" w:hAnsi="Times New Roman" w:cs="Times New Roman"/>
          <w:sz w:val="24"/>
          <w:szCs w:val="24"/>
        </w:rPr>
        <w:t xml:space="preserve"> деятельности компании в динамике снижается, что говорит о снижении доходности деятельности. </w:t>
      </w:r>
    </w:p>
    <w:p w:rsidR="00975FA0" w:rsidRDefault="00975FA0" w:rsidP="00975FA0">
      <w:pPr>
        <w:pStyle w:val="a4"/>
        <w:numPr>
          <w:ilvl w:val="0"/>
          <w:numId w:val="6"/>
        </w:numPr>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 xml:space="preserve">Сальдо денежных потоков </w:t>
      </w:r>
      <w:r>
        <w:rPr>
          <w:rFonts w:ascii="Times New Roman" w:hAnsi="Times New Roman" w:cs="Times New Roman"/>
          <w:sz w:val="24"/>
          <w:szCs w:val="24"/>
        </w:rPr>
        <w:t xml:space="preserve">от текущей деятельности положительной, что говорит об эффективности использовании средств. </w:t>
      </w:r>
    </w:p>
    <w:p w:rsidR="00975FA0" w:rsidRDefault="00975FA0" w:rsidP="00975FA0">
      <w:pPr>
        <w:pStyle w:val="a4"/>
        <w:spacing w:before="100" w:beforeAutospacing="1"/>
        <w:ind w:left="0"/>
        <w:rPr>
          <w:rFonts w:ascii="Times New Roman" w:hAnsi="Times New Roman" w:cs="Times New Roman"/>
          <w:sz w:val="24"/>
          <w:szCs w:val="24"/>
        </w:rPr>
      </w:pPr>
    </w:p>
    <w:p w:rsidR="00975FA0" w:rsidRPr="00D84BF3" w:rsidRDefault="00975FA0" w:rsidP="00975FA0">
      <w:pPr>
        <w:pStyle w:val="a4"/>
        <w:spacing w:before="100" w:beforeAutospacing="1"/>
        <w:ind w:left="0"/>
        <w:rPr>
          <w:rFonts w:ascii="Times New Roman" w:hAnsi="Times New Roman" w:cs="Times New Roman"/>
          <w:sz w:val="24"/>
          <w:szCs w:val="24"/>
        </w:rPr>
      </w:pPr>
      <w:r w:rsidRPr="00D84BF3">
        <w:rPr>
          <w:rFonts w:ascii="Times New Roman" w:hAnsi="Times New Roman" w:cs="Times New Roman"/>
          <w:sz w:val="24"/>
          <w:szCs w:val="24"/>
        </w:rPr>
        <w:t>Внесем  показатели, на которые будут обращать внимание при анализе менеджеры, акционеры и кредиторы в таблицу:</w:t>
      </w:r>
    </w:p>
    <w:tbl>
      <w:tblPr>
        <w:tblStyle w:val="a5"/>
        <w:tblW w:w="5000" w:type="pct"/>
        <w:tblLook w:val="04A0"/>
      </w:tblPr>
      <w:tblGrid>
        <w:gridCol w:w="3350"/>
        <w:gridCol w:w="3350"/>
        <w:gridCol w:w="2871"/>
      </w:tblGrid>
      <w:tr w:rsidR="00975FA0" w:rsidRPr="00D84BF3" w:rsidTr="00B36D6B">
        <w:tc>
          <w:tcPr>
            <w:tcW w:w="1750" w:type="pct"/>
            <w:hideMark/>
          </w:tcPr>
          <w:p w:rsidR="00975FA0" w:rsidRPr="00D84BF3" w:rsidRDefault="00975FA0" w:rsidP="00B36D6B">
            <w:pPr>
              <w:spacing w:before="100" w:beforeAutospacing="1" w:after="257"/>
              <w:jc w:val="center"/>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Менеджмент</w:t>
            </w:r>
          </w:p>
        </w:tc>
        <w:tc>
          <w:tcPr>
            <w:tcW w:w="1750" w:type="pct"/>
            <w:hideMark/>
          </w:tcPr>
          <w:p w:rsidR="00975FA0" w:rsidRPr="00D84BF3" w:rsidRDefault="00975FA0" w:rsidP="00B36D6B">
            <w:pPr>
              <w:spacing w:before="100" w:beforeAutospacing="1" w:after="257"/>
              <w:jc w:val="center"/>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Собственники бизнеса</w:t>
            </w:r>
          </w:p>
        </w:tc>
        <w:tc>
          <w:tcPr>
            <w:tcW w:w="1500" w:type="pct"/>
            <w:hideMark/>
          </w:tcPr>
          <w:p w:rsidR="00975FA0" w:rsidRPr="00D84BF3" w:rsidRDefault="00975FA0" w:rsidP="00B36D6B">
            <w:pPr>
              <w:spacing w:before="100" w:beforeAutospacing="1" w:after="257"/>
              <w:jc w:val="center"/>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Кредиторы</w:t>
            </w:r>
          </w:p>
        </w:tc>
      </w:tr>
      <w:tr w:rsidR="00975FA0" w:rsidRPr="00D84BF3" w:rsidTr="00B36D6B">
        <w:tc>
          <w:tcPr>
            <w:tcW w:w="1750" w:type="pct"/>
            <w:hideMark/>
          </w:tcPr>
          <w:p w:rsidR="00975FA0" w:rsidRPr="00D84BF3" w:rsidRDefault="00975FA0" w:rsidP="00B36D6B">
            <w:pPr>
              <w:spacing w:before="100" w:beforeAutospacing="1" w:after="257"/>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Анализ операционной деятельности</w:t>
            </w:r>
          </w:p>
        </w:tc>
        <w:tc>
          <w:tcPr>
            <w:tcW w:w="1750" w:type="pct"/>
            <w:hideMark/>
          </w:tcPr>
          <w:p w:rsidR="00975FA0" w:rsidRPr="00D84BF3" w:rsidRDefault="00975FA0" w:rsidP="00B36D6B">
            <w:pPr>
              <w:spacing w:before="100" w:beforeAutospacing="1" w:after="257"/>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Показатели рентабельности инвестиций</w:t>
            </w:r>
          </w:p>
        </w:tc>
        <w:tc>
          <w:tcPr>
            <w:tcW w:w="1500" w:type="pct"/>
            <w:hideMark/>
          </w:tcPr>
          <w:p w:rsidR="00975FA0" w:rsidRPr="00D84BF3" w:rsidRDefault="00975FA0" w:rsidP="00B36D6B">
            <w:pPr>
              <w:spacing w:before="100" w:beforeAutospacing="1" w:after="257"/>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Коэффициенты ликвидности</w:t>
            </w:r>
          </w:p>
        </w:tc>
      </w:tr>
      <w:tr w:rsidR="00975FA0" w:rsidRPr="00D84BF3" w:rsidTr="00B36D6B">
        <w:tc>
          <w:tcPr>
            <w:tcW w:w="1750" w:type="pct"/>
            <w:hideMark/>
          </w:tcPr>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Валовая прибыль и себестоимость</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 xml:space="preserve">Прибыль до налогообложения </w:t>
            </w:r>
            <w:r w:rsidRPr="00D84BF3">
              <w:rPr>
                <w:rFonts w:ascii="Times New Roman" w:eastAsia="Times New Roman" w:hAnsi="Times New Roman" w:cs="Times New Roman"/>
                <w:color w:val="000000" w:themeColor="text1"/>
                <w:sz w:val="24"/>
                <w:szCs w:val="24"/>
                <w:lang w:eastAsia="ru-RU"/>
              </w:rPr>
              <w:lastRenderedPageBreak/>
              <w:t>и чистая прибыль</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Анализ вклада различных видов деятельности.</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Величина операционного рычага.</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Общий анализ рынка (отрасли)</w:t>
            </w:r>
          </w:p>
        </w:tc>
        <w:tc>
          <w:tcPr>
            <w:tcW w:w="1750" w:type="pct"/>
            <w:hideMark/>
          </w:tcPr>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lastRenderedPageBreak/>
              <w:t>Рентабельность долгосрочных источников.</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 xml:space="preserve">Рентабельность собственного </w:t>
            </w:r>
            <w:r w:rsidRPr="00D84BF3">
              <w:rPr>
                <w:rFonts w:ascii="Times New Roman" w:eastAsia="Times New Roman" w:hAnsi="Times New Roman" w:cs="Times New Roman"/>
                <w:color w:val="000000" w:themeColor="text1"/>
                <w:sz w:val="24"/>
                <w:szCs w:val="24"/>
                <w:lang w:eastAsia="ru-RU"/>
              </w:rPr>
              <w:lastRenderedPageBreak/>
              <w:t>капитала.</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Прибыль на акцию.</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Денежный поток на акцию.</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Прирост рыночной стоимости акций.</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Дивидендная доходность</w:t>
            </w:r>
            <w:r w:rsidRPr="00D84BF3">
              <w:rPr>
                <w:rFonts w:ascii="Times New Roman" w:hAnsi="Times New Roman" w:cs="Times New Roman"/>
                <w:color w:val="000000" w:themeColor="text1"/>
                <w:sz w:val="24"/>
                <w:szCs w:val="24"/>
              </w:rPr>
              <w:t xml:space="preserve"> </w:t>
            </w:r>
            <w:r w:rsidRPr="00D84BF3">
              <w:rPr>
                <w:rFonts w:ascii="Times New Roman" w:eastAsia="Times New Roman" w:hAnsi="Times New Roman" w:cs="Times New Roman"/>
                <w:color w:val="000000" w:themeColor="text1"/>
                <w:sz w:val="24"/>
                <w:szCs w:val="24"/>
                <w:lang w:eastAsia="ru-RU"/>
              </w:rPr>
              <w:t>на акцию.</w:t>
            </w:r>
          </w:p>
        </w:tc>
        <w:tc>
          <w:tcPr>
            <w:tcW w:w="1500" w:type="pct"/>
            <w:hideMark/>
          </w:tcPr>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lastRenderedPageBreak/>
              <w:t>Коэффициент текущей ликвидности.</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 xml:space="preserve">Коэффициент быстрой </w:t>
            </w:r>
            <w:r w:rsidRPr="00D84BF3">
              <w:rPr>
                <w:rFonts w:ascii="Times New Roman" w:eastAsia="Times New Roman" w:hAnsi="Times New Roman" w:cs="Times New Roman"/>
                <w:color w:val="000000" w:themeColor="text1"/>
                <w:sz w:val="24"/>
                <w:szCs w:val="24"/>
                <w:lang w:eastAsia="ru-RU"/>
              </w:rPr>
              <w:lastRenderedPageBreak/>
              <w:t>ликвидности.</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Величина запасов и других ликвидных активов.</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Соотношение собственного и земного капитала</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Отчет о финансовых результатах компании</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Свободный денежный поток</w:t>
            </w:r>
          </w:p>
        </w:tc>
      </w:tr>
      <w:tr w:rsidR="00975FA0" w:rsidRPr="00D84BF3" w:rsidTr="00B36D6B">
        <w:tc>
          <w:tcPr>
            <w:tcW w:w="1750" w:type="pct"/>
            <w:hideMark/>
          </w:tcPr>
          <w:p w:rsidR="00975FA0" w:rsidRPr="00D84BF3" w:rsidRDefault="00975FA0" w:rsidP="00B36D6B">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lastRenderedPageBreak/>
              <w:t>Управление ресурсами</w:t>
            </w:r>
          </w:p>
        </w:tc>
        <w:tc>
          <w:tcPr>
            <w:tcW w:w="1750" w:type="pct"/>
            <w:hideMark/>
          </w:tcPr>
          <w:p w:rsidR="00975FA0" w:rsidRPr="00D84BF3" w:rsidRDefault="00975FA0" w:rsidP="00B36D6B">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Распределение прибыли</w:t>
            </w:r>
          </w:p>
        </w:tc>
        <w:tc>
          <w:tcPr>
            <w:tcW w:w="1500" w:type="pct"/>
            <w:hideMark/>
          </w:tcPr>
          <w:p w:rsidR="00975FA0" w:rsidRPr="00D84BF3" w:rsidRDefault="00975FA0" w:rsidP="00B36D6B">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Платежеспособность</w:t>
            </w:r>
          </w:p>
        </w:tc>
      </w:tr>
      <w:tr w:rsidR="00975FA0" w:rsidRPr="00D84BF3" w:rsidTr="00B36D6B">
        <w:tc>
          <w:tcPr>
            <w:tcW w:w="1750" w:type="pct"/>
            <w:hideMark/>
          </w:tcPr>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Оборачиваемость активов.</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Управление оборотным капиталом: оборачиваемость запасов; структура дебиторской задолженности (счетов к получению); структура кредиторской задолженности (счетов к оплате).</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Эффективность использования человеческого капитала.</w:t>
            </w:r>
          </w:p>
        </w:tc>
        <w:tc>
          <w:tcPr>
            <w:tcW w:w="1750" w:type="pct"/>
            <w:hideMark/>
          </w:tcPr>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Дивидендная доходность акций.</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Доля прибыли, направляемые на дивиденды и на реинвестирование.</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Покрытие дивидендов: отношение дивидендов к величине активов.</w:t>
            </w:r>
          </w:p>
        </w:tc>
        <w:tc>
          <w:tcPr>
            <w:tcW w:w="1500" w:type="pct"/>
            <w:hideMark/>
          </w:tcPr>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Отношение суммы заемных средств к активам.</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Отношение суммы заемных средств к величине капитализации.</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Отношение суммы заемных средств к собственному капиталу.</w:t>
            </w:r>
          </w:p>
        </w:tc>
      </w:tr>
      <w:tr w:rsidR="00975FA0" w:rsidRPr="00D84BF3" w:rsidTr="00B36D6B">
        <w:tc>
          <w:tcPr>
            <w:tcW w:w="1750" w:type="pct"/>
            <w:hideMark/>
          </w:tcPr>
          <w:p w:rsidR="00975FA0" w:rsidRPr="00D84BF3" w:rsidRDefault="00975FA0" w:rsidP="00B36D6B">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Показатели рентабельности бизнеса</w:t>
            </w:r>
          </w:p>
        </w:tc>
        <w:tc>
          <w:tcPr>
            <w:tcW w:w="1750" w:type="pct"/>
            <w:hideMark/>
          </w:tcPr>
          <w:p w:rsidR="00975FA0" w:rsidRPr="00D84BF3" w:rsidRDefault="00975FA0" w:rsidP="00B36D6B">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Показатели компании с точки зрения фондового рынка</w:t>
            </w:r>
          </w:p>
        </w:tc>
        <w:tc>
          <w:tcPr>
            <w:tcW w:w="1500" w:type="pct"/>
            <w:hideMark/>
          </w:tcPr>
          <w:p w:rsidR="00975FA0" w:rsidRPr="00D84BF3" w:rsidRDefault="00975FA0" w:rsidP="00B36D6B">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b/>
                <w:bCs/>
                <w:color w:val="000000" w:themeColor="text1"/>
                <w:sz w:val="24"/>
                <w:szCs w:val="24"/>
                <w:lang w:eastAsia="ru-RU"/>
              </w:rPr>
              <w:t>Обслуживание долга</w:t>
            </w:r>
          </w:p>
        </w:tc>
      </w:tr>
      <w:tr w:rsidR="00975FA0" w:rsidRPr="00D84BF3" w:rsidTr="00B36D6B">
        <w:tc>
          <w:tcPr>
            <w:tcW w:w="1750" w:type="pct"/>
            <w:hideMark/>
          </w:tcPr>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Рентабельность активов, капитала, продаж</w:t>
            </w:r>
          </w:p>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Свободный денежный поток.</w:t>
            </w:r>
          </w:p>
        </w:tc>
        <w:tc>
          <w:tcPr>
            <w:tcW w:w="1750" w:type="pct"/>
            <w:hideMark/>
          </w:tcPr>
          <w:p w:rsidR="00975FA0" w:rsidRPr="00D84BF3" w:rsidRDefault="00975FA0" w:rsidP="00B36D6B">
            <w:pPr>
              <w:spacing w:before="100" w:beforeAutospacing="1"/>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Соотношение цена/прибыль акции (P/E)                      Отношение рыночной и бухгалтерской стоимости компании (P/B).                  Рыночная стоимость компании (Cap).</w:t>
            </w:r>
          </w:p>
        </w:tc>
        <w:tc>
          <w:tcPr>
            <w:tcW w:w="1500" w:type="pct"/>
            <w:hideMark/>
          </w:tcPr>
          <w:p w:rsidR="00975FA0" w:rsidRPr="00D84BF3" w:rsidRDefault="00975FA0" w:rsidP="00B36D6B">
            <w:pPr>
              <w:spacing w:before="100" w:beforeAutospacing="1" w:after="120"/>
              <w:rPr>
                <w:rFonts w:ascii="Times New Roman" w:eastAsia="Times New Roman" w:hAnsi="Times New Roman" w:cs="Times New Roman"/>
                <w:color w:val="000000" w:themeColor="text1"/>
                <w:sz w:val="24"/>
                <w:szCs w:val="24"/>
                <w:lang w:eastAsia="ru-RU"/>
              </w:rPr>
            </w:pPr>
            <w:r w:rsidRPr="00D84BF3">
              <w:rPr>
                <w:rFonts w:ascii="Times New Roman" w:eastAsia="Times New Roman" w:hAnsi="Times New Roman" w:cs="Times New Roman"/>
                <w:color w:val="000000" w:themeColor="text1"/>
                <w:sz w:val="24"/>
                <w:szCs w:val="24"/>
                <w:lang w:eastAsia="ru-RU"/>
              </w:rPr>
              <w:t>Покрытие процентных платежей.           Покрытие основной суммы долга.           Покрытие общей величины долгового бремени.</w:t>
            </w:r>
          </w:p>
        </w:tc>
      </w:tr>
    </w:tbl>
    <w:p w:rsidR="00975FA0" w:rsidRPr="00D84BF3" w:rsidRDefault="00975FA0" w:rsidP="00975FA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С точки зрения собственников (акционеров) компания является лидером на Российском рынке товаров и услуг, стабильно генерирует прибыль и выплачивает дивиденды, таким  образом, акционерам выгодно вкладывать в развитие данной компании.</w:t>
      </w:r>
    </w:p>
    <w:p w:rsidR="00975FA0" w:rsidRPr="00D84BF3" w:rsidRDefault="00975FA0" w:rsidP="00975FA0">
      <w:pPr>
        <w:pStyle w:val="a4"/>
        <w:spacing w:before="100" w:beforeAutospacing="1"/>
        <w:ind w:left="0"/>
        <w:jc w:val="both"/>
        <w:rPr>
          <w:rFonts w:ascii="Times New Roman" w:hAnsi="Times New Roman" w:cs="Times New Roman"/>
          <w:sz w:val="24"/>
          <w:szCs w:val="24"/>
        </w:rPr>
      </w:pPr>
    </w:p>
    <w:p w:rsidR="00975FA0" w:rsidRPr="00D84BF3" w:rsidRDefault="00975FA0" w:rsidP="00975FA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С точки зрения кредиторов, у Компании низкие коэффициенты ликвидности и платежеспособности, что говорит о том, что она может не погасить текущие задолженности в срок. С другой стороны, ее денежных потоков хватает на покрытие </w:t>
      </w:r>
      <w:r w:rsidRPr="00D84BF3">
        <w:rPr>
          <w:rFonts w:ascii="Times New Roman" w:hAnsi="Times New Roman" w:cs="Times New Roman"/>
          <w:sz w:val="24"/>
          <w:szCs w:val="24"/>
        </w:rPr>
        <w:lastRenderedPageBreak/>
        <w:t xml:space="preserve">текущих процентов, а также остается свободный денежный поток,   в связи с чем, можно сказать, что компания сможет выплатить кредит через какое-то время. </w:t>
      </w:r>
    </w:p>
    <w:p w:rsidR="00975FA0" w:rsidRPr="00D84BF3" w:rsidRDefault="00975FA0" w:rsidP="00975FA0">
      <w:pPr>
        <w:pStyle w:val="a4"/>
        <w:spacing w:before="100" w:beforeAutospacing="1"/>
        <w:ind w:left="0"/>
        <w:jc w:val="both"/>
        <w:rPr>
          <w:rFonts w:ascii="Times New Roman" w:hAnsi="Times New Roman" w:cs="Times New Roman"/>
          <w:sz w:val="24"/>
          <w:szCs w:val="24"/>
        </w:rPr>
      </w:pPr>
    </w:p>
    <w:p w:rsidR="00975FA0" w:rsidRPr="00D84BF3" w:rsidRDefault="00975FA0" w:rsidP="00975FA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С точки зрения менеджера у Компании достаточно высокие коэффициенты рентабельности, однако в динамике они снижаются, что говорит о снижении эффективности использования ресурсов. Однако, данное снижение может быть связано расширением бизнеса, при котором характерно на первых этапах не приносить высокую прибыль  за счет высоких затрат  на расширение и раскрутку магазинов.</w:t>
      </w:r>
    </w:p>
    <w:p w:rsidR="00975FA0" w:rsidRPr="00D84BF3" w:rsidRDefault="00975FA0" w:rsidP="00975FA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Низкие коэффициенты ликвидности и платежеспособности делают компанию не привлекательной для дальнейших инвестиций и кредитования. </w:t>
      </w:r>
    </w:p>
    <w:p w:rsidR="00975FA0" w:rsidRPr="00D84BF3" w:rsidRDefault="00975FA0" w:rsidP="00975FA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Низкий уровень финансовой независимости и устойчивости. Так, соотношение заемного капитала и собственного капитала выше рекомендуемого значения, однако такой уровень показателя характерен для торговых площадок (превышение заемного капитала над собственным в несколько раз).</w:t>
      </w:r>
    </w:p>
    <w:p w:rsidR="00975FA0" w:rsidRPr="00D84BF3" w:rsidRDefault="00975FA0" w:rsidP="00975FA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Низкий уровень оборачиваемости по сравнению со среднеотраслевыми значениями. Для торговых сетей оборачиваемость дебиторской и кредиторской задолженностей, запасов и оборотных средств выше, чем у производственных компаний, однако, данные значения для Компании «Детский мир» достаточно низкие.</w:t>
      </w:r>
    </w:p>
    <w:p w:rsidR="00975FA0" w:rsidRPr="00D84BF3" w:rsidRDefault="00975FA0" w:rsidP="00975FA0">
      <w:pPr>
        <w:pStyle w:val="a4"/>
        <w:spacing w:before="100" w:beforeAutospacing="1"/>
        <w:ind w:left="0"/>
        <w:jc w:val="both"/>
        <w:rPr>
          <w:rFonts w:ascii="Times New Roman" w:hAnsi="Times New Roman" w:cs="Times New Roman"/>
          <w:sz w:val="24"/>
          <w:szCs w:val="24"/>
        </w:rPr>
      </w:pPr>
    </w:p>
    <w:p w:rsidR="00975FA0" w:rsidRPr="00D84BF3" w:rsidRDefault="00975FA0" w:rsidP="00975FA0">
      <w:pPr>
        <w:pStyle w:val="a4"/>
        <w:spacing w:before="100" w:beforeAutospacing="1"/>
        <w:ind w:left="0"/>
        <w:jc w:val="both"/>
        <w:rPr>
          <w:rFonts w:ascii="Times New Roman" w:hAnsi="Times New Roman" w:cs="Times New Roman"/>
          <w:sz w:val="24"/>
          <w:szCs w:val="24"/>
        </w:rPr>
      </w:pPr>
      <w:r w:rsidRPr="00D84BF3">
        <w:rPr>
          <w:rFonts w:ascii="Times New Roman" w:hAnsi="Times New Roman" w:cs="Times New Roman"/>
          <w:sz w:val="24"/>
          <w:szCs w:val="24"/>
        </w:rPr>
        <w:t xml:space="preserve">Таким образом, в целом компания стабильно развивается, на ее продукции есть спрос, о чем говорят успешные показатели по текущей деятельности, она стабильно генерирует прибыль  и способна отвечать по своим обязательствам, однако, необходимо снижать величину заемных средств организации, так как она снижает ликвидность и платежеспособность компании, что делает ее невыгодной для инвестиций и выдачи заемных средств. </w:t>
      </w:r>
    </w:p>
    <w:p w:rsidR="00B214E1" w:rsidRDefault="00B214E1"/>
    <w:sectPr w:rsidR="00B214E1" w:rsidSect="00B21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938"/>
    <w:multiLevelType w:val="hybridMultilevel"/>
    <w:tmpl w:val="6D62C9E6"/>
    <w:lvl w:ilvl="0" w:tplc="E550BD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6A5C90"/>
    <w:multiLevelType w:val="hybridMultilevel"/>
    <w:tmpl w:val="4F5605A4"/>
    <w:lvl w:ilvl="0" w:tplc="AC746C7C">
      <w:start w:val="1"/>
      <w:numFmt w:val="decimal"/>
      <w:lvlText w:val="%1."/>
      <w:lvlJc w:val="left"/>
      <w:pPr>
        <w:ind w:left="1080" w:hanging="360"/>
      </w:pPr>
      <w:rPr>
        <w:rFonts w:ascii="Arial" w:hAnsi="Arial" w:cs="Arial" w:hint="default"/>
        <w:color w:val="000000"/>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4B3E06"/>
    <w:multiLevelType w:val="hybridMultilevel"/>
    <w:tmpl w:val="A5B25140"/>
    <w:lvl w:ilvl="0" w:tplc="E7A2E69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610E310C"/>
    <w:multiLevelType w:val="hybridMultilevel"/>
    <w:tmpl w:val="38F69A9A"/>
    <w:lvl w:ilvl="0" w:tplc="45927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D26E93"/>
    <w:multiLevelType w:val="hybridMultilevel"/>
    <w:tmpl w:val="F7C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1700DB"/>
    <w:multiLevelType w:val="hybridMultilevel"/>
    <w:tmpl w:val="6BB4359A"/>
    <w:lvl w:ilvl="0" w:tplc="9996B4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defaultTabStop w:val="708"/>
  <w:characterSpacingControl w:val="doNotCompress"/>
  <w:compat/>
  <w:rsids>
    <w:rsidRoot w:val="00975FA0"/>
    <w:rsid w:val="00692023"/>
    <w:rsid w:val="007A6EC6"/>
    <w:rsid w:val="00955889"/>
    <w:rsid w:val="00964AC4"/>
    <w:rsid w:val="00975FA0"/>
    <w:rsid w:val="00B214E1"/>
    <w:rsid w:val="00B45844"/>
    <w:rsid w:val="00B82221"/>
    <w:rsid w:val="00BE74B2"/>
    <w:rsid w:val="00C44DFC"/>
    <w:rsid w:val="00CB0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A0"/>
  </w:style>
  <w:style w:type="paragraph" w:styleId="1">
    <w:name w:val="heading 1"/>
    <w:basedOn w:val="a"/>
    <w:next w:val="a"/>
    <w:link w:val="10"/>
    <w:uiPriority w:val="9"/>
    <w:qFormat/>
    <w:rsid w:val="00955889"/>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955889"/>
    <w:pPr>
      <w:keepNext/>
      <w:keepLines/>
      <w:spacing w:before="120" w:after="0" w:line="240" w:lineRule="auto"/>
      <w:ind w:firstLine="709"/>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
    <w:uiPriority w:val="1"/>
    <w:qFormat/>
    <w:rsid w:val="007A6EC6"/>
    <w:pPr>
      <w:spacing w:after="0" w:line="360" w:lineRule="auto"/>
      <w:ind w:firstLine="709"/>
    </w:pPr>
    <w:rPr>
      <w:rFonts w:ascii="Times New Roman" w:hAnsi="Times New Roman"/>
      <w:sz w:val="28"/>
    </w:rPr>
  </w:style>
  <w:style w:type="character" w:customStyle="1" w:styleId="10">
    <w:name w:val="Заголовок 1 Знак"/>
    <w:basedOn w:val="a0"/>
    <w:link w:val="1"/>
    <w:uiPriority w:val="9"/>
    <w:rsid w:val="0095588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955889"/>
    <w:rPr>
      <w:rFonts w:ascii="Times New Roman" w:eastAsiaTheme="majorEastAsia" w:hAnsi="Times New Roman" w:cstheme="majorBidi"/>
      <w:b/>
      <w:bCs/>
      <w:color w:val="000000" w:themeColor="text1"/>
      <w:sz w:val="28"/>
      <w:szCs w:val="26"/>
    </w:rPr>
  </w:style>
  <w:style w:type="paragraph" w:styleId="a4">
    <w:name w:val="List Paragraph"/>
    <w:basedOn w:val="a"/>
    <w:uiPriority w:val="34"/>
    <w:qFormat/>
    <w:rsid w:val="00975FA0"/>
    <w:pPr>
      <w:ind w:left="720"/>
      <w:contextualSpacing/>
    </w:pPr>
  </w:style>
  <w:style w:type="table" w:styleId="a5">
    <w:name w:val="Table Grid"/>
    <w:basedOn w:val="a1"/>
    <w:uiPriority w:val="59"/>
    <w:rsid w:val="00975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72;&#1075;&#1088;&#1091;&#1079;&#1082;&#1080;\Kaustik_rabot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72;&#1075;&#1088;&#1091;&#1079;&#1082;&#1080;\Kaustik_rabota%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Влияние</a:t>
            </a:r>
            <a:r>
              <a:rPr lang="ru-RU" baseline="0"/>
              <a:t> факторов на рентабельность СК</a:t>
            </a:r>
            <a:endParaRPr lang="ru-RU"/>
          </a:p>
        </c:rich>
      </c:tx>
      <c:layout>
        <c:manualLayout>
          <c:xMode val="edge"/>
          <c:yMode val="edge"/>
          <c:x val="0.26038188976378046"/>
          <c:y val="4.1666666666666692E-2"/>
        </c:manualLayout>
      </c:layout>
    </c:title>
    <c:plotArea>
      <c:layout/>
      <c:pieChart>
        <c:varyColors val="1"/>
        <c:ser>
          <c:idx val="0"/>
          <c:order val="0"/>
          <c:dLbls>
            <c:showPercent val="1"/>
            <c:showLeaderLines val="1"/>
          </c:dLbls>
          <c:cat>
            <c:strRef>
              <c:f>'Рентабельность '!$D$17:$D$18</c:f>
              <c:strCache>
                <c:ptCount val="2"/>
                <c:pt idx="0">
                  <c:v>^ROA (P/N)</c:v>
                </c:pt>
                <c:pt idx="1">
                  <c:v>^ROA (N/K)</c:v>
                </c:pt>
              </c:strCache>
            </c:strRef>
          </c:cat>
          <c:val>
            <c:numRef>
              <c:f>'Рентабельность '!$E$17:$E$18</c:f>
              <c:numCache>
                <c:formatCode>General</c:formatCode>
                <c:ptCount val="2"/>
                <c:pt idx="0">
                  <c:v>-3.2641257685819089E-2</c:v>
                </c:pt>
                <c:pt idx="1">
                  <c:v>2.0059732070701962E-2</c:v>
                </c:pt>
              </c:numCache>
            </c:numRef>
          </c:val>
        </c:ser>
        <c:dLbls>
          <c:showPercent val="1"/>
        </c:dLbls>
        <c:firstSliceAng val="0"/>
      </c:pie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Влияние факторов на рентабельность совокупного капитала</a:t>
            </a:r>
          </a:p>
        </c:rich>
      </c:tx>
      <c:layout>
        <c:manualLayout>
          <c:xMode val="edge"/>
          <c:yMode val="edge"/>
          <c:x val="0.23961811023622098"/>
          <c:y val="4.1666666666666664E-2"/>
        </c:manualLayout>
      </c:layout>
    </c:title>
    <c:plotArea>
      <c:layout/>
      <c:pieChart>
        <c:varyColors val="1"/>
        <c:ser>
          <c:idx val="0"/>
          <c:order val="0"/>
          <c:dLbls>
            <c:showPercent val="1"/>
            <c:showLeaderLines val="1"/>
          </c:dLbls>
          <c:cat>
            <c:strRef>
              <c:f>'Рентабельность '!$D$20:$D$22</c:f>
              <c:strCache>
                <c:ptCount val="3"/>
                <c:pt idx="0">
                  <c:v>^ROE(P/N)</c:v>
                </c:pt>
                <c:pt idx="1">
                  <c:v>^ROE(N/K)</c:v>
                </c:pt>
                <c:pt idx="2">
                  <c:v>^ROE(K/E)</c:v>
                </c:pt>
              </c:strCache>
            </c:strRef>
          </c:cat>
          <c:val>
            <c:numRef>
              <c:f>'Рентабельность '!$E$20:$E$22</c:f>
              <c:numCache>
                <c:formatCode>General</c:formatCode>
                <c:ptCount val="3"/>
                <c:pt idx="0">
                  <c:v>-0.29451676496881618</c:v>
                </c:pt>
                <c:pt idx="1">
                  <c:v>0.16987382090631875</c:v>
                </c:pt>
                <c:pt idx="2">
                  <c:v>0.31670283050422388</c:v>
                </c:pt>
              </c:numCache>
            </c:numRef>
          </c:val>
        </c:ser>
        <c:dLbls>
          <c:showPercent val="1"/>
        </c:dLbls>
        <c:firstSliceAng val="0"/>
      </c:pie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12273</Characters>
  <Application>Microsoft Office Word</Application>
  <DocSecurity>0</DocSecurity>
  <Lines>102</Lines>
  <Paragraphs>28</Paragraphs>
  <ScaleCrop>false</ScaleCrop>
  <Company>Reanimator Extreme Edition</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2019-01-15T08:59:00Z</dcterms:created>
  <dcterms:modified xsi:type="dcterms:W3CDTF">2019-01-15T08:59:00Z</dcterms:modified>
</cp:coreProperties>
</file>