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6842"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EA3E2B" w:rsidRPr="00FB6842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«НОВОСИБИРСКИЙ ГОСУДАРСТВЕННЫЙ ТЕХНИЧЕСКИЙ УНИВЕРСИТЕТ»</w:t>
      </w:r>
    </w:p>
    <w:p w:rsidR="00EA3E2B" w:rsidRDefault="00EA3E2B" w:rsidP="00EA3E2B">
      <w:pPr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ФАКУЛЬТЕТ БИЗНЕСА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Экономической информатики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Pr="004B68F8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D27E6F">
        <w:rPr>
          <w:rFonts w:ascii="Times New Roman" w:hAnsi="Times New Roman" w:cs="Times New Roman"/>
          <w:b/>
          <w:sz w:val="28"/>
        </w:rPr>
        <w:t>ОТЧЕТ О ВЫПОЛНЕНИИ ЛАБОРАТОРНОЙ РАБОТЫ №</w:t>
      </w:r>
      <w:r>
        <w:rPr>
          <w:rFonts w:ascii="Times New Roman" w:hAnsi="Times New Roman" w:cs="Times New Roman"/>
          <w:b/>
          <w:sz w:val="28"/>
        </w:rPr>
        <w:t xml:space="preserve">  2</w:t>
      </w:r>
    </w:p>
    <w:p w:rsidR="00EA3E2B" w:rsidRP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B68F8">
        <w:rPr>
          <w:rFonts w:ascii="Times New Roman" w:hAnsi="Times New Roman" w:cs="Times New Roman"/>
          <w:sz w:val="28"/>
        </w:rPr>
        <w:t>Тема:</w:t>
      </w:r>
      <w:r w:rsidRPr="004B68F8">
        <w:t xml:space="preserve"> </w:t>
      </w:r>
      <w:r w:rsidRPr="00EA3E2B">
        <w:rPr>
          <w:rFonts w:ascii="Times New Roman" w:hAnsi="Times New Roman" w:cs="Times New Roman"/>
          <w:bCs/>
          <w:sz w:val="28"/>
          <w:u w:val="single"/>
        </w:rPr>
        <w:t>Оценка готовности региона к информационному обществу</w:t>
      </w:r>
    </w:p>
    <w:p w:rsidR="00EA3E2B" w:rsidRPr="004B68F8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Дисциплина «</w:t>
      </w:r>
      <w:r w:rsidR="00E71F63" w:rsidRPr="006965D4">
        <w:rPr>
          <w:rFonts w:ascii="Times New Roman" w:hAnsi="Times New Roman" w:cs="Times New Roman"/>
          <w:sz w:val="28"/>
          <w:u w:val="single"/>
        </w:rPr>
        <w:t>Развитие информационного общества</w:t>
      </w:r>
      <w:r>
        <w:rPr>
          <w:rFonts w:ascii="Times New Roman" w:hAnsi="Times New Roman" w:cs="Times New Roman"/>
          <w:sz w:val="28"/>
        </w:rPr>
        <w:t>»</w:t>
      </w: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42"/>
        <w:gridCol w:w="2354"/>
        <w:gridCol w:w="283"/>
        <w:gridCol w:w="1205"/>
        <w:gridCol w:w="660"/>
        <w:gridCol w:w="284"/>
        <w:gridCol w:w="2835"/>
      </w:tblGrid>
      <w:tr w:rsidR="00EA3E2B" w:rsidTr="00E71F63">
        <w:tc>
          <w:tcPr>
            <w:tcW w:w="2410" w:type="dxa"/>
            <w:gridSpan w:val="2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4D">
              <w:rPr>
                <w:rFonts w:ascii="Times New Roman" w:hAnsi="Times New Roman" w:cs="Times New Roman"/>
                <w:b/>
                <w:sz w:val="28"/>
              </w:rPr>
              <w:t>Выполнил:</w:t>
            </w:r>
          </w:p>
        </w:tc>
        <w:tc>
          <w:tcPr>
            <w:tcW w:w="2354" w:type="dxa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83" w:type="dxa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49" w:type="dxa"/>
            <w:gridSpan w:val="3"/>
          </w:tcPr>
          <w:p w:rsidR="00EA3E2B" w:rsidRPr="009E464D" w:rsidRDefault="00EA3E2B" w:rsidP="008B050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E464D">
              <w:rPr>
                <w:rFonts w:ascii="Times New Roman" w:hAnsi="Times New Roman" w:cs="Times New Roman"/>
                <w:b/>
                <w:sz w:val="28"/>
              </w:rPr>
              <w:t>Проверил:</w:t>
            </w:r>
          </w:p>
        </w:tc>
        <w:tc>
          <w:tcPr>
            <w:tcW w:w="2835" w:type="dxa"/>
          </w:tcPr>
          <w:p w:rsidR="00EA3E2B" w:rsidRPr="00266619" w:rsidRDefault="00EA3E2B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c>
          <w:tcPr>
            <w:tcW w:w="2410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Студент</w:t>
            </w: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E71F63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71F63" w:rsidRPr="00266619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Смирнов Т.К..</w:t>
            </w:r>
          </w:p>
        </w:tc>
        <w:tc>
          <w:tcPr>
            <w:tcW w:w="283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1F63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Фамилия И.О.</w:t>
            </w:r>
          </w:p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83599B">
              <w:rPr>
                <w:rFonts w:ascii="Times New Roman" w:hAnsi="Times New Roman" w:cs="Times New Roman"/>
                <w:i/>
                <w:sz w:val="24"/>
              </w:rPr>
              <w:t>уч</w:t>
            </w:r>
            <w:proofErr w:type="gramStart"/>
            <w:r w:rsidRPr="0083599B">
              <w:rPr>
                <w:rFonts w:ascii="Times New Roman" w:hAnsi="Times New Roman" w:cs="Times New Roman"/>
                <w:i/>
                <w:sz w:val="24"/>
              </w:rPr>
              <w:t>.с</w:t>
            </w:r>
            <w:proofErr w:type="gramEnd"/>
            <w:r w:rsidRPr="0083599B">
              <w:rPr>
                <w:rFonts w:ascii="Times New Roman" w:hAnsi="Times New Roman" w:cs="Times New Roman"/>
                <w:i/>
                <w:sz w:val="24"/>
              </w:rPr>
              <w:t>тепень</w:t>
            </w:r>
            <w:proofErr w:type="spellEnd"/>
            <w:r w:rsidRPr="0083599B"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proofErr w:type="spellStart"/>
            <w:r w:rsidRPr="0083599B">
              <w:rPr>
                <w:rFonts w:ascii="Times New Roman" w:hAnsi="Times New Roman" w:cs="Times New Roman"/>
                <w:i/>
                <w:sz w:val="24"/>
              </w:rPr>
              <w:t>цч.звание</w:t>
            </w:r>
            <w:proofErr w:type="spellEnd"/>
          </w:p>
        </w:tc>
      </w:tr>
      <w:tr w:rsidR="00E71F63" w:rsidTr="00E71F63">
        <w:tc>
          <w:tcPr>
            <w:tcW w:w="2410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Факультет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71F63" w:rsidRPr="00266619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rPr>
          <w:trHeight w:val="247"/>
        </w:trPr>
        <w:tc>
          <w:tcPr>
            <w:tcW w:w="2410" w:type="dxa"/>
            <w:gridSpan w:val="2"/>
            <w:vMerge w:val="restart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(специальность) подготовки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</w:tcBorders>
          </w:tcPr>
          <w:p w:rsidR="00E71F63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</w:p>
          <w:p w:rsidR="00E71F63" w:rsidRPr="00266619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38.03.05 Бизнес-информатика</w:t>
            </w:r>
          </w:p>
        </w:tc>
        <w:tc>
          <w:tcPr>
            <w:tcW w:w="283" w:type="dxa"/>
            <w:vMerge w:val="restart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</w:t>
            </w:r>
          </w:p>
        </w:tc>
        <w:tc>
          <w:tcPr>
            <w:tcW w:w="944" w:type="dxa"/>
            <w:gridSpan w:val="2"/>
            <w:tcBorders>
              <w:bottom w:val="single" w:sz="4" w:space="0" w:color="auto"/>
            </w:tcBorders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5" w:type="dxa"/>
            <w:vMerge w:val="restart"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rPr>
          <w:trHeight w:val="245"/>
        </w:trPr>
        <w:tc>
          <w:tcPr>
            <w:tcW w:w="2410" w:type="dxa"/>
            <w:gridSpan w:val="2"/>
            <w:vMerge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  <w:vMerge/>
            <w:vAlign w:val="bottom"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  <w:vMerge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rPr>
          <w:trHeight w:val="245"/>
        </w:trPr>
        <w:tc>
          <w:tcPr>
            <w:tcW w:w="2410" w:type="dxa"/>
            <w:gridSpan w:val="2"/>
            <w:vMerge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  <w:vMerge/>
            <w:tcBorders>
              <w:bottom w:val="single" w:sz="4" w:space="0" w:color="auto"/>
            </w:tcBorders>
            <w:vAlign w:val="bottom"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  <w:vMerge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4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vMerge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c>
          <w:tcPr>
            <w:tcW w:w="2410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Группа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71F63" w:rsidRPr="00052908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ДЭ-710</w:t>
            </w:r>
          </w:p>
        </w:tc>
        <w:tc>
          <w:tcPr>
            <w:tcW w:w="283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05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Оценка</w:t>
            </w:r>
          </w:p>
        </w:tc>
        <w:tc>
          <w:tcPr>
            <w:tcW w:w="3779" w:type="dxa"/>
            <w:gridSpan w:val="3"/>
            <w:tcBorders>
              <w:bottom w:val="single" w:sz="4" w:space="0" w:color="auto"/>
            </w:tcBorders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71F63" w:rsidTr="00E71F63">
        <w:tc>
          <w:tcPr>
            <w:tcW w:w="2410" w:type="dxa"/>
            <w:gridSpan w:val="2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Шифр: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:rsidR="00E71F63" w:rsidRPr="005E7288" w:rsidRDefault="00E71F63" w:rsidP="007E19E3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052908">
              <w:rPr>
                <w:rFonts w:ascii="Times New Roman" w:hAnsi="Times New Roman" w:cs="Times New Roman"/>
                <w:i/>
                <w:sz w:val="28"/>
              </w:rPr>
              <w:t>142898013</w:t>
            </w:r>
          </w:p>
        </w:tc>
        <w:tc>
          <w:tcPr>
            <w:tcW w:w="283" w:type="dxa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E71F63" w:rsidRDefault="00E71F63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71F63" w:rsidRPr="00266619" w:rsidRDefault="00E71F63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A3E2B" w:rsidTr="00E71F63">
        <w:tc>
          <w:tcPr>
            <w:tcW w:w="4764" w:type="dxa"/>
            <w:gridSpan w:val="3"/>
            <w:tcBorders>
              <w:bottom w:val="single" w:sz="4" w:space="0" w:color="auto"/>
            </w:tcBorders>
          </w:tcPr>
          <w:p w:rsidR="00EA3E2B" w:rsidRPr="00266619" w:rsidRDefault="00EA3E2B" w:rsidP="008B05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4" w:type="dxa"/>
            <w:gridSpan w:val="4"/>
            <w:tcBorders>
              <w:bottom w:val="single" w:sz="4" w:space="0" w:color="auto"/>
            </w:tcBorders>
          </w:tcPr>
          <w:p w:rsidR="00EA3E2B" w:rsidRPr="00266619" w:rsidRDefault="00EA3E2B" w:rsidP="008B050C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EA3E2B" w:rsidTr="00E71F63">
        <w:tc>
          <w:tcPr>
            <w:tcW w:w="4764" w:type="dxa"/>
            <w:gridSpan w:val="3"/>
            <w:tcBorders>
              <w:top w:val="single" w:sz="4" w:space="0" w:color="auto"/>
            </w:tcBorders>
          </w:tcPr>
          <w:p w:rsidR="00EA3E2B" w:rsidRPr="002B551E" w:rsidRDefault="00EA3E2B" w:rsidP="008B050C">
            <w:pPr>
              <w:jc w:val="center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2B551E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84" w:type="dxa"/>
            <w:gridSpan w:val="4"/>
          </w:tcPr>
          <w:p w:rsidR="00EA3E2B" w:rsidRDefault="00EA3E2B" w:rsidP="008B05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B551E">
              <w:rPr>
                <w:rFonts w:ascii="Times New Roman" w:hAnsi="Times New Roman" w:cs="Times New Roman"/>
                <w:sz w:val="24"/>
                <w:vertAlign w:val="superscript"/>
              </w:rPr>
              <w:t>подпись</w:t>
            </w:r>
          </w:p>
        </w:tc>
      </w:tr>
      <w:tr w:rsidR="00EA3E2B" w:rsidTr="00E71F63">
        <w:tc>
          <w:tcPr>
            <w:tcW w:w="1668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сдачи: </w:t>
            </w:r>
          </w:p>
        </w:tc>
        <w:tc>
          <w:tcPr>
            <w:tcW w:w="3096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«__»__________2019 г.</w:t>
            </w:r>
          </w:p>
        </w:tc>
        <w:tc>
          <w:tcPr>
            <w:tcW w:w="283" w:type="dxa"/>
            <w:tcBorders>
              <w:left w:val="nil"/>
            </w:tcBorders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65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защиты:</w:t>
            </w:r>
          </w:p>
        </w:tc>
        <w:tc>
          <w:tcPr>
            <w:tcW w:w="3119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«__»__________2019 г.</w:t>
            </w:r>
          </w:p>
        </w:tc>
      </w:tr>
      <w:tr w:rsidR="00EA3E2B" w:rsidTr="00E71F63">
        <w:tc>
          <w:tcPr>
            <w:tcW w:w="2410" w:type="dxa"/>
            <w:gridSpan w:val="2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54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gridSpan w:val="3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A3E2B" w:rsidRDefault="00EA3E2B" w:rsidP="008B050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A3E2B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6AC2" w:rsidRDefault="00EA3E2B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Новосибирск, 2019</w:t>
      </w:r>
      <w:r w:rsidR="00966AC2">
        <w:rPr>
          <w:rFonts w:ascii="Times New Roman" w:hAnsi="Times New Roman" w:cs="Times New Roman"/>
          <w:sz w:val="28"/>
        </w:rPr>
        <w:br w:type="page"/>
      </w:r>
    </w:p>
    <w:p w:rsidR="00EA3E2B" w:rsidRPr="005A05FC" w:rsidRDefault="00966AC2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5A05FC" w:rsidRDefault="005A05FC" w:rsidP="005A05FC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A32345" w:rsidRPr="00A32345" w:rsidRDefault="00A32345" w:rsidP="00A323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ВВЕДЕНИЕ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Общие сведения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Индекс готовности регионов к информационному обществу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Международные рейтинги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Рейтинг регионов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Анализ данных</w:t>
      </w:r>
    </w:p>
    <w:p w:rsidR="00A32345" w:rsidRP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Профиль региона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Сильные и слабые стороны региона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Тенденция развития</w:t>
      </w:r>
    </w:p>
    <w:p w:rsid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Сравнение двух регионов</w:t>
      </w:r>
      <w:r w:rsidRPr="00A32345">
        <w:rPr>
          <w:rFonts w:ascii="Times New Roman" w:hAnsi="Times New Roman" w:cs="Times New Roman"/>
          <w:sz w:val="28"/>
        </w:rPr>
        <w:tab/>
      </w:r>
      <w:bookmarkStart w:id="0" w:name="_GoBack"/>
      <w:bookmarkEnd w:id="0"/>
    </w:p>
    <w:p w:rsidR="00A32345" w:rsidRPr="00A32345" w:rsidRDefault="00A32345" w:rsidP="00A32345">
      <w:pPr>
        <w:pStyle w:val="a5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Информационное неравенство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Открытое правительство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pStyle w:val="a5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Целевые программы региона по разв</w:t>
      </w:r>
      <w:r w:rsidRPr="00A32345">
        <w:rPr>
          <w:rFonts w:ascii="Times New Roman" w:hAnsi="Times New Roman" w:cs="Times New Roman"/>
          <w:sz w:val="28"/>
        </w:rPr>
        <w:t>итию информационного общества</w:t>
      </w:r>
      <w:r w:rsidRPr="00A32345">
        <w:rPr>
          <w:rFonts w:ascii="Times New Roman" w:hAnsi="Times New Roman" w:cs="Times New Roman"/>
          <w:sz w:val="28"/>
        </w:rPr>
        <w:tab/>
      </w:r>
    </w:p>
    <w:p w:rsidR="00A32345" w:rsidRPr="00A32345" w:rsidRDefault="00A32345" w:rsidP="00A323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>
        <w:rPr>
          <w:rFonts w:ascii="Times New Roman" w:hAnsi="Times New Roman" w:cs="Times New Roman"/>
          <w:sz w:val="28"/>
        </w:rPr>
        <w:tab/>
      </w:r>
    </w:p>
    <w:p w:rsidR="00966AC2" w:rsidRPr="006F7511" w:rsidRDefault="00A32345" w:rsidP="00A3234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32345">
        <w:rPr>
          <w:rFonts w:ascii="Times New Roman" w:hAnsi="Times New Roman" w:cs="Times New Roman"/>
          <w:sz w:val="28"/>
        </w:rPr>
        <w:t>СПИСОК ИСПОЛЬЗО</w:t>
      </w:r>
      <w:r>
        <w:rPr>
          <w:rFonts w:ascii="Times New Roman" w:hAnsi="Times New Roman" w:cs="Times New Roman"/>
          <w:sz w:val="28"/>
        </w:rPr>
        <w:t>ВАННЫХ ИСТОЧНИКОВ</w:t>
      </w:r>
      <w:r>
        <w:rPr>
          <w:rFonts w:ascii="Times New Roman" w:hAnsi="Times New Roman" w:cs="Times New Roman"/>
          <w:sz w:val="28"/>
        </w:rPr>
        <w:tab/>
      </w:r>
      <w:r w:rsidR="00966AC2" w:rsidRPr="006F7511"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EA3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9666A3" w:rsidRDefault="009666A3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666A3" w:rsidRPr="009666A3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информационного общества (ИРИО) - независимая исследовательская и сервисная организация, созданная 7 сентября 1998 г. по инициативе известных специалистов в сфере информационных технологий, телекоммуникаций и информационной политики, объединенных идеей развития информационного общества в России.</w:t>
      </w:r>
    </w:p>
    <w:p w:rsidR="009666A3" w:rsidRPr="009666A3" w:rsidRDefault="009710C7" w:rsidP="009710C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общество - </w:t>
      </w:r>
      <w:r w:rsidR="009666A3"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общество талантливых, успешно реализующих себя людей, а не роботов; информационно-коммуникационные технологии - полезный, хорошо настраиваемый в умелых руках инструмент, а не цель и не панацея.</w:t>
      </w:r>
    </w:p>
    <w:p w:rsidR="009666A3" w:rsidRPr="009666A3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710C7" w:rsidRPr="00966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Миссия ИРИО: </w:t>
      </w: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помогать правильному выбору целей и путей развития. 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предлагает</w:t>
      </w: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продуманные и в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звешенные решения, так как несет</w:t>
      </w: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перед партнерами и клиентами за последствия сделанного выбора.</w:t>
      </w:r>
    </w:p>
    <w:p w:rsidR="009666A3" w:rsidRPr="009666A3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Уставными целями Института являются:</w:t>
      </w:r>
    </w:p>
    <w:p w:rsidR="009666A3" w:rsidRPr="009666A3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информационного общества в России, интеграция России в глобальное информационное общество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взаимодействия между субъектами информационного общества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добросовестной конкуренции на коммуникационном и информационном рынке, а также для развития информационных ресурсов, технологий, инфраструктуры и услуг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A3" w:rsidRPr="009666A3" w:rsidRDefault="009710C7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также ставит</w:t>
      </w:r>
      <w:r w:rsidR="009666A3"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целью 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егда быть впереди. Это требует</w:t>
      </w:r>
      <w:r w:rsidR="009666A3"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быть в курсе нового и лучшего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совершенствоваться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нечто конкурентоспособное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710C7" w:rsidRDefault="009710C7" w:rsidP="009710C7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66A3" w:rsidRP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Института являются: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и разработки в сфере развития информационного общества и экономики знаний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и экспертиза проектов законов и иных нормативных актов, направленных на развитие информационного общества и экономики знаний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политическое, социально-экономическое и научно-техническое прогнозирование по проблемам информационного общества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экспертиза, разработка и реализация, программ и проектов, направленных на развитие информационного общества и экономики знаний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знаний, в том числе создание и распространение печатной, электронной, аудио- и видеоинформации по проблемам информационного общества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международному сотрудничеству в процессе формирования информационного общества и экономики знаний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A3" w:rsidRPr="009666A3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работе 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ИРИО</w:t>
      </w: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придерживае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нескольких основных принципов:</w:t>
      </w:r>
    </w:p>
    <w:p w:rsidR="009666A3" w:rsidRPr="009666A3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новаторский и творческий подход к решению любой задачи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традициям и пристрастиям наших клиентов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6A3" w:rsidRPr="009666A3" w:rsidRDefault="009666A3" w:rsidP="009710C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ставка на партнерство внутри компании и во внешнем мире</w:t>
      </w:r>
      <w:r w:rsidR="009710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6A3" w:rsidRDefault="009666A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6A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ИРИО - динамично и устойчиво развивающаяся компания, завоевавшая на рынке репутацию надежно и профессионально работающей команды единомышленников.</w:t>
      </w:r>
    </w:p>
    <w:p w:rsidR="000B2F43" w:rsidRDefault="000B2F43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лабораторной работы: п</w:t>
      </w:r>
      <w:r w:rsidRPr="000B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отчет по оценке уровня готовности региона к информационному обществу.</w:t>
      </w:r>
    </w:p>
    <w:p w:rsidR="00EC3719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C37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достижения поставленной цели необходимо решить следующие задачи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EC3719" w:rsidRPr="00EC3719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7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структуру Института развития информационного общества;</w:t>
      </w:r>
    </w:p>
    <w:p w:rsidR="00EC3719" w:rsidRPr="00EC3719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понятие </w:t>
      </w:r>
      <w:r w:rsidRPr="00EC3719">
        <w:rPr>
          <w:rFonts w:ascii="Times New Roman" w:hAnsi="Times New Roman" w:cs="Times New Roman"/>
          <w:sz w:val="28"/>
        </w:rPr>
        <w:t>Индекса готовности регионов к информационному обществу;</w:t>
      </w:r>
    </w:p>
    <w:p w:rsidR="00EC3719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C3719">
        <w:rPr>
          <w:rFonts w:ascii="Times New Roman" w:hAnsi="Times New Roman" w:cs="Times New Roman"/>
          <w:sz w:val="28"/>
        </w:rPr>
        <w:t>проанализировать Индекс готовности регионов к информационному обществу на примере Хабаровского края;</w:t>
      </w:r>
    </w:p>
    <w:p w:rsidR="00EC3719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сравнить показатели Хабаровского края с аналогичными показателями соседних регионов;</w:t>
      </w:r>
    </w:p>
    <w:p w:rsidR="00014778" w:rsidRDefault="00014778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рассмотреть понятие информационного неравенства регионов;</w:t>
      </w:r>
    </w:p>
    <w:p w:rsidR="00EC3719" w:rsidRPr="00EC3719" w:rsidRDefault="00EC3719" w:rsidP="00EC3719">
      <w:pPr>
        <w:pStyle w:val="a5"/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проанализировать целевую программу развития  информационного общества в Хабаровском крае.</w:t>
      </w:r>
    </w:p>
    <w:p w:rsidR="00EC3719" w:rsidRPr="00EC3719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19" w:rsidRPr="00EC3719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19" w:rsidRPr="00EC3719" w:rsidRDefault="00EC3719" w:rsidP="00EC371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719" w:rsidRPr="009666A3" w:rsidRDefault="00EC3719" w:rsidP="009710C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C2" w:rsidRDefault="00966AC2" w:rsidP="00EA3E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6609D7">
      <w:pPr>
        <w:pStyle w:val="a5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Общие сведения</w:t>
      </w:r>
    </w:p>
    <w:p w:rsidR="00966AC2" w:rsidRPr="00162A1C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1.1 </w:t>
      </w:r>
      <w:r w:rsidR="00966AC2" w:rsidRPr="00162A1C">
        <w:rPr>
          <w:rFonts w:ascii="Times New Roman" w:hAnsi="Times New Roman" w:cs="Times New Roman"/>
          <w:b/>
          <w:sz w:val="28"/>
        </w:rPr>
        <w:t>Индекс готовности регионов к информационному обществу</w:t>
      </w:r>
    </w:p>
    <w:p w:rsidR="00162A1C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A3D7C" w:rsidRPr="00966AC2" w:rsidRDefault="00162A1C" w:rsidP="0016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A1C">
        <w:rPr>
          <w:rFonts w:ascii="Times New Roman" w:hAnsi="Times New Roman" w:cs="Times New Roman"/>
          <w:sz w:val="28"/>
        </w:rPr>
        <w:t>Композитный Индекс готовности регионов России к информационному обществу публикуется Институтом развития информационного общества с 2005 года. Индекс представляет собой измеритель степени подготовленности регионов к широкомасштабному использованию ИКТ для социально-экономического развития. Он рассчитывается на основе показателей, характеризующих факторы развития информационного общества (человеческий капитал, экономическую среду и ИКТ-инфраструктуру), а также использование ИКТ в шести областях (государственное и муниципальное управление, образование, здравоохранение, бизнес, культура, домохозяйства). Для расчета Индекса и его составляющих используются 77 показателей, в число которых входят основные показатели доступа и использования ИКТ, рекомендуемые международными организациями. Индекс позволяет измерить различия между субъектами Российской Федерации по интегральным показателям информационного развития.</w:t>
      </w:r>
    </w:p>
    <w:p w:rsidR="00162A1C" w:rsidRDefault="00162A1C" w:rsidP="00162A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62A1C">
        <w:rPr>
          <w:rFonts w:ascii="Times New Roman" w:hAnsi="Times New Roman" w:cs="Times New Roman"/>
          <w:sz w:val="28"/>
        </w:rPr>
        <w:t>Со времени своего появления Индекс стал важным информационно-аналитическим инструментом для выработки, проведения и корректировки политики развития информационного общества на региональном уровне. Индекс дает возможность оценить текущую ситуацию, выявить наиболее проблемные зоны с точки зрения информационного неравенства регионов и определить зоны отставания и препятствия на пути развития информационного общества в субъектах РФ. Органы власти субъектов Российской Федерации используют данные Индекса для сравнительной оценки ситуации в регионе в сфере использования ИКТ и формулировки целей дальнейшего развития.</w:t>
      </w:r>
    </w:p>
    <w:p w:rsidR="006E02C0" w:rsidRPr="006E02C0" w:rsidRDefault="006E02C0" w:rsidP="006E0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2C0">
        <w:rPr>
          <w:rFonts w:ascii="Times New Roman" w:hAnsi="Times New Roman" w:cs="Times New Roman"/>
          <w:sz w:val="28"/>
        </w:rPr>
        <w:t xml:space="preserve">Методология построения Индекса основана на концептуальной схеме оценки «электронной готовности». Индекс российских регионов строится на показателях, характеризующих три ключевых фактора электронного развития (человеческий капитал, экономическая среда, ИКТ-инфраструктура) и </w:t>
      </w:r>
      <w:r w:rsidRPr="006E02C0">
        <w:rPr>
          <w:rFonts w:ascii="Times New Roman" w:hAnsi="Times New Roman" w:cs="Times New Roman"/>
          <w:sz w:val="28"/>
        </w:rPr>
        <w:lastRenderedPageBreak/>
        <w:t>показателях доступа и использования ИКТ в шести сферах деятельности – в государственном и муниципальном управлении, бизнесе, образовании, здравоохранении, культуре, а также использование ИКТ домохозяйствами и населением (см. рисунок 1).</w:t>
      </w:r>
    </w:p>
    <w:p w:rsidR="006E02C0" w:rsidRPr="006E02C0" w:rsidRDefault="006E02C0" w:rsidP="006E0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02C0">
        <w:rPr>
          <w:rFonts w:ascii="Times New Roman" w:hAnsi="Times New Roman" w:cs="Times New Roman"/>
          <w:sz w:val="28"/>
        </w:rPr>
        <w:t>Инде</w:t>
      </w:r>
      <w:proofErr w:type="gramStart"/>
      <w:r w:rsidRPr="006E02C0">
        <w:rPr>
          <w:rFonts w:ascii="Times New Roman" w:hAnsi="Times New Roman" w:cs="Times New Roman"/>
          <w:sz w:val="28"/>
        </w:rPr>
        <w:t>кс стр</w:t>
      </w:r>
      <w:proofErr w:type="gramEnd"/>
      <w:r w:rsidRPr="006E02C0">
        <w:rPr>
          <w:rFonts w:ascii="Times New Roman" w:hAnsi="Times New Roman" w:cs="Times New Roman"/>
          <w:sz w:val="28"/>
        </w:rPr>
        <w:t>оится на основе агрегирования значений показателей, причем агрегирование происходит на нескольких уровнях, позволяя строить рейтинги регионов по отдельным направлениям и факторам развития информационного общества с различной степенью детализации.</w:t>
      </w:r>
    </w:p>
    <w:p w:rsidR="00162A1C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162A1C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162A1C" w:rsidSect="00942BF6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E02C0" w:rsidRDefault="006E02C0" w:rsidP="006E02C0">
      <w:pPr>
        <w:keepNext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1EC200F" wp14:editId="1A96B3F9">
            <wp:extent cx="6667500" cy="5724525"/>
            <wp:effectExtent l="0" t="0" r="0" b="9525"/>
            <wp:docPr id="1" name="Рисунок 1" descr="Ð Ð¸ÑÑÐ½Ð¾Ðº 1. Ð¡ÑÑÑÐºÑÑÑÐ° Ð¸Ð½Ð´ÐµÐºÑÐ° Ð³Ð¾ÑÐ¾Ð²Ð½Ð¾ÑÑÐ¸ ÑÐµÐ³Ð¸Ð¾Ð½Ð¾Ð² Ðº Ð¸Ð½ÑÐ¾ÑÐ¼Ð°ÑÐ¸Ð¾Ð½Ð½Ð¾Ð¼Ñ Ð¾Ð±ÑÐµÑÑÐ²Ñ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 Ð¸ÑÑÐ½Ð¾Ðº 1. Ð¡ÑÑÑÐºÑÑÑÐ° Ð¸Ð½Ð´ÐµÐºÑÐ° Ð³Ð¾ÑÐ¾Ð²Ð½Ð¾ÑÑÐ¸ ÑÐµÐ³Ð¸Ð¾Ð½Ð¾Ð² Ðº Ð¸Ð½ÑÐ¾ÑÐ¼Ð°ÑÐ¸Ð¾Ð½Ð½Ð¾Ð¼Ñ Ð¾Ð±ÑÐµÑÑÐ²Ñ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2C0" w:rsidRPr="006E02C0" w:rsidRDefault="006E02C0" w:rsidP="006E02C0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6E02C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Структура индекса готовности регионов к информационному обществу</w:t>
      </w:r>
    </w:p>
    <w:p w:rsidR="00162A1C" w:rsidRDefault="00162A1C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  <w:sectPr w:rsidR="00162A1C" w:rsidSect="00162A1C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66AC2" w:rsidRPr="00162A1C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1.2 </w:t>
      </w:r>
      <w:r w:rsidR="00EC3719">
        <w:rPr>
          <w:rFonts w:ascii="Times New Roman" w:hAnsi="Times New Roman" w:cs="Times New Roman"/>
          <w:b/>
          <w:sz w:val="28"/>
        </w:rPr>
        <w:t>Международные рейтинги</w:t>
      </w:r>
    </w:p>
    <w:p w:rsidR="00A0669B" w:rsidRDefault="00A0669B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0669B" w:rsidRPr="00890E05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69B">
        <w:rPr>
          <w:rFonts w:ascii="Times New Roman" w:hAnsi="Times New Roman" w:cs="Times New Roman"/>
          <w:bCs/>
          <w:sz w:val="28"/>
        </w:rPr>
        <w:t>Индекс</w:t>
      </w:r>
      <w:r w:rsidRPr="00890E05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сетевой</w:t>
      </w:r>
      <w:r w:rsidRPr="00890E05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готовности</w:t>
      </w:r>
      <w:r w:rsidRPr="00890E05">
        <w:rPr>
          <w:rFonts w:ascii="Times New Roman" w:hAnsi="Times New Roman" w:cs="Times New Roman"/>
          <w:bCs/>
          <w:sz w:val="28"/>
        </w:rPr>
        <w:t xml:space="preserve"> (</w:t>
      </w:r>
      <w:r w:rsidRPr="00A0669B">
        <w:rPr>
          <w:rFonts w:ascii="Times New Roman" w:hAnsi="Times New Roman" w:cs="Times New Roman"/>
          <w:bCs/>
          <w:sz w:val="28"/>
          <w:lang w:val="en-US"/>
        </w:rPr>
        <w:t>Networked</w:t>
      </w:r>
      <w:r w:rsidRPr="00890E05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Readiness</w:t>
      </w:r>
      <w:r w:rsidRPr="00890E05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Index</w:t>
      </w:r>
      <w:r w:rsidRPr="00890E05">
        <w:rPr>
          <w:rFonts w:ascii="Times New Roman" w:hAnsi="Times New Roman" w:cs="Times New Roman"/>
          <w:bCs/>
          <w:sz w:val="28"/>
        </w:rPr>
        <w:t xml:space="preserve"> - </w:t>
      </w:r>
      <w:r w:rsidRPr="00A0669B">
        <w:rPr>
          <w:rFonts w:ascii="Times New Roman" w:hAnsi="Times New Roman" w:cs="Times New Roman"/>
          <w:bCs/>
          <w:sz w:val="28"/>
          <w:lang w:val="en-US"/>
        </w:rPr>
        <w:t>NRI</w:t>
      </w:r>
      <w:r w:rsidRPr="00890E05">
        <w:rPr>
          <w:rFonts w:ascii="Times New Roman" w:hAnsi="Times New Roman" w:cs="Times New Roman"/>
          <w:bCs/>
          <w:sz w:val="28"/>
        </w:rPr>
        <w:t>)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0669B">
        <w:rPr>
          <w:rFonts w:ascii="Times New Roman" w:hAnsi="Times New Roman" w:cs="Times New Roman"/>
          <w:sz w:val="28"/>
        </w:rPr>
        <w:t xml:space="preserve">Ежегодно издается Всемирным экономическим форумом и международной школой бизнеса INSEAD начиная с 2002 г. Индекс строится на основе 4 </w:t>
      </w:r>
      <w:proofErr w:type="spellStart"/>
      <w:r w:rsidRPr="00A0669B">
        <w:rPr>
          <w:rFonts w:ascii="Times New Roman" w:hAnsi="Times New Roman" w:cs="Times New Roman"/>
          <w:sz w:val="28"/>
        </w:rPr>
        <w:t>подындексов</w:t>
      </w:r>
      <w:proofErr w:type="spellEnd"/>
      <w:r w:rsidRPr="00A0669B">
        <w:rPr>
          <w:rFonts w:ascii="Times New Roman" w:hAnsi="Times New Roman" w:cs="Times New Roman"/>
          <w:sz w:val="28"/>
        </w:rPr>
        <w:t>, имеющих по 2-3 составляющих, которые, в свою очередь, рассчитываются на основе отдельных показателей: среда (политическая и регуляторная среда, деловая и инновационная среда); готовность (инфраструктура, доступность, навыки); использование (населением, бизнесом и государством);</w:t>
      </w:r>
      <w:proofErr w:type="gramEnd"/>
      <w:r w:rsidRPr="00A0669B">
        <w:rPr>
          <w:rFonts w:ascii="Times New Roman" w:hAnsi="Times New Roman" w:cs="Times New Roman"/>
          <w:sz w:val="28"/>
        </w:rPr>
        <w:t xml:space="preserve"> воздействие (экономическое и социальное). Всего для расчета Индекса 2015 года использовалось 53 показателя. Часть показателей основана на международной статистике, а часть получена на основе экспертного опроса менеджеров предприятий в оцениваемых странах.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входило в целевые показатели первых вариантов государственной программы "Информационное общество (2011-2020 годы)".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69B">
        <w:rPr>
          <w:rFonts w:ascii="Times New Roman" w:hAnsi="Times New Roman" w:cs="Times New Roman"/>
          <w:bCs/>
          <w:sz w:val="28"/>
        </w:rPr>
        <w:t>Индекс развития электронного правительства ООН (E-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Government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Development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Index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- EGDI)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69B">
        <w:rPr>
          <w:rFonts w:ascii="Times New Roman" w:hAnsi="Times New Roman" w:cs="Times New Roman"/>
          <w:sz w:val="28"/>
        </w:rPr>
        <w:t xml:space="preserve">Раз в два года публикуется Департаментом  по экономическим и социальным вопросам ООН, впервые подготовлен в 2001 году. Индекс включает три </w:t>
      </w:r>
      <w:proofErr w:type="spellStart"/>
      <w:r w:rsidRPr="00A0669B">
        <w:rPr>
          <w:rFonts w:ascii="Times New Roman" w:hAnsi="Times New Roman" w:cs="Times New Roman"/>
          <w:sz w:val="28"/>
        </w:rPr>
        <w:t>подындекса</w:t>
      </w:r>
      <w:proofErr w:type="spellEnd"/>
      <w:r w:rsidRPr="00A0669B">
        <w:rPr>
          <w:rFonts w:ascii="Times New Roman" w:hAnsi="Times New Roman" w:cs="Times New Roman"/>
          <w:sz w:val="28"/>
        </w:rPr>
        <w:t xml:space="preserve">, характеризующих состояние человеческого капитала, </w:t>
      </w:r>
      <w:proofErr w:type="gramStart"/>
      <w:r w:rsidRPr="00A0669B">
        <w:rPr>
          <w:rFonts w:ascii="Times New Roman" w:hAnsi="Times New Roman" w:cs="Times New Roman"/>
          <w:sz w:val="28"/>
        </w:rPr>
        <w:t>ИКТ-инфраструктуры</w:t>
      </w:r>
      <w:proofErr w:type="gramEnd"/>
      <w:r w:rsidRPr="00A0669B">
        <w:rPr>
          <w:rFonts w:ascii="Times New Roman" w:hAnsi="Times New Roman" w:cs="Times New Roman"/>
          <w:sz w:val="28"/>
        </w:rPr>
        <w:t xml:space="preserve"> и веб-присутствия органов государственной власти. Первые два основываются на официальных статистических данных, а </w:t>
      </w:r>
      <w:proofErr w:type="gramStart"/>
      <w:r w:rsidRPr="00A0669B">
        <w:rPr>
          <w:rFonts w:ascii="Times New Roman" w:hAnsi="Times New Roman" w:cs="Times New Roman"/>
          <w:sz w:val="28"/>
        </w:rPr>
        <w:t>последний</w:t>
      </w:r>
      <w:proofErr w:type="gramEnd"/>
      <w:r w:rsidRPr="00A0669B">
        <w:rPr>
          <w:rFonts w:ascii="Times New Roman" w:hAnsi="Times New Roman" w:cs="Times New Roman"/>
          <w:sz w:val="28"/>
        </w:rPr>
        <w:t xml:space="preserve"> строится на основе результатов обследования веб-сайтов правительства (и портала </w:t>
      </w:r>
      <w:proofErr w:type="spellStart"/>
      <w:r w:rsidRPr="00A0669B">
        <w:rPr>
          <w:rFonts w:ascii="Times New Roman" w:hAnsi="Times New Roman" w:cs="Times New Roman"/>
          <w:sz w:val="28"/>
        </w:rPr>
        <w:t>госуслуг</w:t>
      </w:r>
      <w:proofErr w:type="spellEnd"/>
      <w:r w:rsidRPr="00A0669B">
        <w:rPr>
          <w:rFonts w:ascii="Times New Roman" w:hAnsi="Times New Roman" w:cs="Times New Roman"/>
          <w:sz w:val="28"/>
        </w:rPr>
        <w:t xml:space="preserve">) и шести министерств - финансов, здравоохранения, образования, труда, социального обеспечения, экологии. Обследование веб-сайтов проводится в рамках подготовки Индекса, они оцениваются с точки зрения информационного наполнения, функциональности, </w:t>
      </w:r>
      <w:r w:rsidRPr="00A0669B">
        <w:rPr>
          <w:rFonts w:ascii="Times New Roman" w:hAnsi="Times New Roman" w:cs="Times New Roman"/>
          <w:sz w:val="28"/>
        </w:rPr>
        <w:lastRenderedPageBreak/>
        <w:t>а также их использования для предоставления государственных услуг в электронной форме и вовлечение граждан в процессы управления.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обсуждаемого с конца 2015 года нового варианта государственной программы "Информационное общество (2011-2020 годы)".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A0669B">
        <w:rPr>
          <w:rFonts w:ascii="Times New Roman" w:hAnsi="Times New Roman" w:cs="Times New Roman"/>
          <w:bCs/>
          <w:sz w:val="28"/>
        </w:rPr>
        <w:t>Индекс</w:t>
      </w:r>
      <w:r w:rsidRPr="00A0669B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развития</w:t>
      </w:r>
      <w:r w:rsidRPr="00A0669B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ИКТ</w:t>
      </w:r>
      <w:r w:rsidRPr="00A0669B">
        <w:rPr>
          <w:rFonts w:ascii="Times New Roman" w:hAnsi="Times New Roman" w:cs="Times New Roman"/>
          <w:bCs/>
          <w:sz w:val="28"/>
          <w:lang w:val="en-US"/>
        </w:rPr>
        <w:t xml:space="preserve"> (ICT Development Index - IDI)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69B">
        <w:rPr>
          <w:rFonts w:ascii="Times New Roman" w:hAnsi="Times New Roman" w:cs="Times New Roman"/>
          <w:sz w:val="28"/>
        </w:rPr>
        <w:t xml:space="preserve">Ежегодно (начиная с 2009 года) </w:t>
      </w:r>
      <w:proofErr w:type="spellStart"/>
      <w:r w:rsidRPr="00A0669B">
        <w:rPr>
          <w:rFonts w:ascii="Times New Roman" w:hAnsi="Times New Roman" w:cs="Times New Roman"/>
          <w:sz w:val="28"/>
        </w:rPr>
        <w:t>публикуетсяя</w:t>
      </w:r>
      <w:proofErr w:type="spellEnd"/>
      <w:r w:rsidRPr="00A0669B">
        <w:rPr>
          <w:rFonts w:ascii="Times New Roman" w:hAnsi="Times New Roman" w:cs="Times New Roman"/>
          <w:sz w:val="28"/>
        </w:rPr>
        <w:t xml:space="preserve"> Международным  союзом электросвязи. Разработка Индекса была рекомендована Всемирной встречей на высшем уровне по вопросам развития информационного общества. Индекс строится на основе трех </w:t>
      </w:r>
      <w:proofErr w:type="spellStart"/>
      <w:r w:rsidRPr="00A0669B">
        <w:rPr>
          <w:rFonts w:ascii="Times New Roman" w:hAnsi="Times New Roman" w:cs="Times New Roman"/>
          <w:sz w:val="28"/>
        </w:rPr>
        <w:t>подындексов</w:t>
      </w:r>
      <w:proofErr w:type="spellEnd"/>
      <w:r w:rsidRPr="00A0669B">
        <w:rPr>
          <w:rFonts w:ascii="Times New Roman" w:hAnsi="Times New Roman" w:cs="Times New Roman"/>
          <w:sz w:val="28"/>
        </w:rPr>
        <w:t xml:space="preserve"> - доступ </w:t>
      </w:r>
      <w:proofErr w:type="gramStart"/>
      <w:r w:rsidRPr="00A0669B">
        <w:rPr>
          <w:rFonts w:ascii="Times New Roman" w:hAnsi="Times New Roman" w:cs="Times New Roman"/>
          <w:sz w:val="28"/>
        </w:rPr>
        <w:t>к</w:t>
      </w:r>
      <w:proofErr w:type="gramEnd"/>
      <w:r w:rsidRPr="00A0669B">
        <w:rPr>
          <w:rFonts w:ascii="Times New Roman" w:hAnsi="Times New Roman" w:cs="Times New Roman"/>
          <w:sz w:val="28"/>
        </w:rPr>
        <w:t xml:space="preserve"> ИКТ, использование ИКТ и ИКТ-навыки. </w:t>
      </w:r>
    </w:p>
    <w:p w:rsidR="00A0669B" w:rsidRPr="00A0669B" w:rsidRDefault="00A0669B" w:rsidP="00A06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0669B">
        <w:rPr>
          <w:rFonts w:ascii="Times New Roman" w:hAnsi="Times New Roman" w:cs="Times New Roman"/>
          <w:sz w:val="28"/>
        </w:rPr>
        <w:t>Для расчета Индекса используется 11 показателей, характеризующих проникновение фиксированной телефонной связи, мобильной сотовой связи, широкополосного мобильного и фиксированного интернета; доступ к компьютерам и интернету домохозяйств; пропускную способность международных каналов доступа к интернету; уровень грамотности взрослого населения и вовлеченность в образование молодежи. Место России в рейтинге стран по этому Индексу входит в число контрольных показателей Стратегии развития информационного общества в Российской Федерации и государственной программы "Информационное общество (2011-2020 годы)".</w:t>
      </w:r>
    </w:p>
    <w:p w:rsidR="00966AC2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6609D7">
      <w:pPr>
        <w:pStyle w:val="a5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Рейтинг регионов</w:t>
      </w:r>
    </w:p>
    <w:p w:rsidR="000134C0" w:rsidRPr="002B780E" w:rsidRDefault="000134C0" w:rsidP="00966AC2">
      <w:pPr>
        <w:spacing w:after="0" w:line="360" w:lineRule="auto"/>
        <w:jc w:val="both"/>
        <w:rPr>
          <w:rFonts w:ascii="Times New Roman" w:hAnsi="Times New Roman" w:cs="Times New Roman"/>
          <w:i/>
          <w:sz w:val="28"/>
        </w:rPr>
      </w:pPr>
    </w:p>
    <w:p w:rsidR="005502F7" w:rsidRDefault="005502F7" w:rsidP="005502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</w:t>
      </w:r>
      <w:r w:rsidRPr="00162A1C">
        <w:rPr>
          <w:rFonts w:ascii="Times New Roman" w:hAnsi="Times New Roman" w:cs="Times New Roman"/>
          <w:sz w:val="28"/>
        </w:rPr>
        <w:t>Индекс готовности</w:t>
      </w:r>
      <w:r>
        <w:rPr>
          <w:rFonts w:ascii="Times New Roman" w:hAnsi="Times New Roman" w:cs="Times New Roman"/>
          <w:sz w:val="28"/>
        </w:rPr>
        <w:t xml:space="preserve"> регионов к информационному обществу на примере Хабаровского края.  Проанализируем Индекс Хабаровского края за период 2011 – 2014 гг. в разрезе Российской Федерации и Федерального округа. В таблице 1 представлена динамика изменения индекса; более наглядно это представлено на рисунке 2. </w:t>
      </w:r>
    </w:p>
    <w:p w:rsidR="000134C0" w:rsidRDefault="000134C0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485250" w:rsidRPr="00485250" w:rsidRDefault="00485250" w:rsidP="00485250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90AE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1</w: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Динамика Индекса хабаровского края</w:t>
      </w:r>
    </w:p>
    <w:tbl>
      <w:tblPr>
        <w:tblW w:w="6880" w:type="dxa"/>
        <w:tblLook w:val="04A0" w:firstRow="1" w:lastRow="0" w:firstColumn="1" w:lastColumn="0" w:noHBand="0" w:noVBand="1"/>
      </w:tblPr>
      <w:tblGrid>
        <w:gridCol w:w="1540"/>
        <w:gridCol w:w="2560"/>
        <w:gridCol w:w="1360"/>
        <w:gridCol w:w="1420"/>
      </w:tblGrid>
      <w:tr w:rsidR="000134C0" w:rsidRPr="000134C0" w:rsidTr="00485250">
        <w:trPr>
          <w:trHeight w:val="3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индекса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</w:t>
            </w:r>
            <w:r w:rsidR="005502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инг</w:t>
            </w:r>
          </w:p>
        </w:tc>
      </w:tr>
      <w:tr w:rsidR="000134C0" w:rsidRPr="000134C0" w:rsidTr="00485250">
        <w:trPr>
          <w:trHeight w:val="345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</w:t>
            </w:r>
          </w:p>
        </w:tc>
      </w:tr>
      <w:tr w:rsidR="000134C0" w:rsidRPr="000134C0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2011-2012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34C0" w:rsidRPr="000134C0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2012-2013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134C0" w:rsidRPr="000134C0" w:rsidTr="00485250">
        <w:trPr>
          <w:trHeight w:val="37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4C0" w:rsidRPr="000134C0" w:rsidRDefault="000134C0" w:rsidP="00013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4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0134C0" w:rsidRDefault="000134C0" w:rsidP="000134C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9942CC" w:rsidRDefault="002A6C5D" w:rsidP="009942CC">
      <w:pPr>
        <w:keepNext/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35ACE8A" wp14:editId="6C310921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134C0" w:rsidRPr="009942CC" w:rsidRDefault="009942CC" w:rsidP="009942CC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Динамика рейтинга Индекса Хабаровского края</w:t>
      </w:r>
    </w:p>
    <w:p w:rsidR="00966AC2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6609D7">
      <w:pPr>
        <w:pStyle w:val="a5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Анализ данных</w:t>
      </w:r>
    </w:p>
    <w:p w:rsidR="00966AC2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 </w:t>
      </w:r>
      <w:r w:rsidR="00966AC2" w:rsidRPr="009942CC">
        <w:rPr>
          <w:rFonts w:ascii="Times New Roman" w:hAnsi="Times New Roman" w:cs="Times New Roman"/>
          <w:b/>
          <w:sz w:val="28"/>
        </w:rPr>
        <w:t>Профиль региона</w:t>
      </w:r>
    </w:p>
    <w:p w:rsidR="009942CC" w:rsidRDefault="009942CC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942CC" w:rsidRPr="009942CC" w:rsidRDefault="009942CC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942CC">
        <w:rPr>
          <w:rFonts w:ascii="Times New Roman" w:hAnsi="Times New Roman" w:cs="Times New Roman"/>
          <w:sz w:val="28"/>
        </w:rPr>
        <w:t xml:space="preserve">Индекс </w:t>
      </w:r>
      <w:r>
        <w:rPr>
          <w:rFonts w:ascii="Times New Roman" w:hAnsi="Times New Roman" w:cs="Times New Roman"/>
          <w:sz w:val="28"/>
        </w:rPr>
        <w:t xml:space="preserve">готовности Хабаровского края к информационному обществу включает в себя: </w:t>
      </w:r>
      <w:r w:rsidRPr="009942CC">
        <w:rPr>
          <w:rFonts w:ascii="Times New Roman" w:hAnsi="Times New Roman" w:cs="Times New Roman"/>
          <w:bCs/>
          <w:sz w:val="28"/>
        </w:rPr>
        <w:t>Индекс-компонент факторов электронного развития</w:t>
      </w:r>
      <w:r>
        <w:rPr>
          <w:rFonts w:ascii="Times New Roman" w:hAnsi="Times New Roman" w:cs="Times New Roman"/>
          <w:bCs/>
          <w:sz w:val="28"/>
        </w:rPr>
        <w:t xml:space="preserve"> (ИКТ-инфраструктура, человеческий капитал, экономическую среду), </w:t>
      </w:r>
      <w:r w:rsidRPr="009942CC">
        <w:rPr>
          <w:rFonts w:ascii="Times New Roman" w:hAnsi="Times New Roman" w:cs="Times New Roman"/>
          <w:bCs/>
          <w:sz w:val="28"/>
        </w:rPr>
        <w:t>Индекс-компонент использования ИКТ для развития</w:t>
      </w:r>
      <w:r>
        <w:rPr>
          <w:rFonts w:ascii="Times New Roman" w:hAnsi="Times New Roman" w:cs="Times New Roman"/>
          <w:bCs/>
          <w:sz w:val="28"/>
        </w:rPr>
        <w:t xml:space="preserve"> (</w:t>
      </w:r>
      <w:r w:rsidRPr="009942CC">
        <w:rPr>
          <w:rFonts w:ascii="Times New Roman" w:hAnsi="Times New Roman" w:cs="Times New Roman"/>
          <w:bCs/>
          <w:sz w:val="28"/>
        </w:rPr>
        <w:t>Использование ИКТ в домохозяйствах и населением, ИКТ в органах государственной власти и местного самоуправления, ИКТ в бизнесе, ИКТ в медицине, ИКТ в образовании, ИКТ в культуре</w:t>
      </w:r>
      <w:r>
        <w:rPr>
          <w:rFonts w:ascii="Times New Roman" w:hAnsi="Times New Roman" w:cs="Times New Roman"/>
          <w:bCs/>
          <w:sz w:val="28"/>
        </w:rPr>
        <w:t>). Наглядно профиль региона представлен на рисунке 3.</w:t>
      </w:r>
    </w:p>
    <w:p w:rsidR="009942CC" w:rsidRDefault="009942CC" w:rsidP="009942CC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5F2D6454" wp14:editId="6B6ED476">
            <wp:extent cx="6120130" cy="4375492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7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2CC" w:rsidRPr="009942CC" w:rsidRDefault="009942CC" w:rsidP="009942CC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9942C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Профиль Хабаровского края</w:t>
      </w:r>
    </w:p>
    <w:p w:rsidR="009942CC" w:rsidRDefault="009942CC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A05FC" w:rsidRDefault="005A05FC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90E05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3.2 </w:t>
      </w:r>
      <w:r w:rsidR="00890E05" w:rsidRPr="00890E05">
        <w:rPr>
          <w:rFonts w:ascii="Times New Roman" w:hAnsi="Times New Roman" w:cs="Times New Roman"/>
          <w:b/>
          <w:sz w:val="28"/>
        </w:rPr>
        <w:t>Сильные и слабые стороны региона</w:t>
      </w:r>
    </w:p>
    <w:p w:rsidR="00014778" w:rsidRDefault="00014778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890E05" w:rsidRDefault="00890E05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890E05">
        <w:rPr>
          <w:rFonts w:ascii="Times New Roman" w:hAnsi="Times New Roman" w:cs="Times New Roman"/>
          <w:sz w:val="28"/>
        </w:rPr>
        <w:t xml:space="preserve"> сильным </w:t>
      </w:r>
      <w:r>
        <w:rPr>
          <w:rFonts w:ascii="Times New Roman" w:hAnsi="Times New Roman" w:cs="Times New Roman"/>
          <w:sz w:val="28"/>
        </w:rPr>
        <w:t xml:space="preserve">сторонам Хабаровского края можно отнести высокую долю школ, имеющих электронную библиотеку, высокую долю предприятий, имеющих ЛВС, высокую долю </w:t>
      </w:r>
      <w:r w:rsidRPr="00890E05">
        <w:rPr>
          <w:rFonts w:ascii="Times New Roman" w:hAnsi="Times New Roman" w:cs="Times New Roman"/>
          <w:sz w:val="28"/>
        </w:rPr>
        <w:t xml:space="preserve">организаций, использующих интернет для получения информации о </w:t>
      </w:r>
      <w:r>
        <w:rPr>
          <w:rFonts w:ascii="Times New Roman" w:hAnsi="Times New Roman" w:cs="Times New Roman"/>
          <w:sz w:val="28"/>
        </w:rPr>
        <w:t>деятельности органов управления.</w:t>
      </w:r>
    </w:p>
    <w:p w:rsidR="00890E05" w:rsidRPr="00890E05" w:rsidRDefault="00890E05" w:rsidP="00890E0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 слабым сторонам относятся: низкая д</w:t>
      </w:r>
      <w:r w:rsidRPr="00890E05">
        <w:rPr>
          <w:rFonts w:ascii="Times New Roman" w:hAnsi="Times New Roman" w:cs="Times New Roman"/>
          <w:sz w:val="28"/>
        </w:rPr>
        <w:t>оля ОМС, имеющих доступ к интернету со скоростью 10 Мбит/сек и выше</w:t>
      </w:r>
      <w:r>
        <w:rPr>
          <w:rFonts w:ascii="Times New Roman" w:hAnsi="Times New Roman" w:cs="Times New Roman"/>
          <w:sz w:val="28"/>
        </w:rPr>
        <w:t>, низкая д</w:t>
      </w:r>
      <w:r w:rsidRPr="00890E05">
        <w:rPr>
          <w:rFonts w:ascii="Times New Roman" w:hAnsi="Times New Roman" w:cs="Times New Roman"/>
          <w:sz w:val="28"/>
        </w:rPr>
        <w:t>оля ОГВ, использующих автоматический обмен данными с информационными системами других организаций</w:t>
      </w:r>
      <w:r>
        <w:rPr>
          <w:rFonts w:ascii="Times New Roman" w:hAnsi="Times New Roman" w:cs="Times New Roman"/>
          <w:sz w:val="28"/>
        </w:rPr>
        <w:t xml:space="preserve"> (рисунок 4).</w:t>
      </w:r>
    </w:p>
    <w:p w:rsidR="00890E05" w:rsidRDefault="00890E05" w:rsidP="00890E05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3CC71A8E" wp14:editId="3D528471">
            <wp:extent cx="6120130" cy="432432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E05" w:rsidRPr="00890E05" w:rsidRDefault="00890E05" w:rsidP="00890E05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4</w:t>
      </w: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890E0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Сильные и слабые стороны региона</w:t>
      </w:r>
    </w:p>
    <w:p w:rsidR="00890E05" w:rsidRDefault="00890E05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5A05FC" w:rsidRDefault="005A05FC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90E05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3.3 </w:t>
      </w:r>
      <w:r w:rsidR="00890E05" w:rsidRPr="00890E05">
        <w:rPr>
          <w:rFonts w:ascii="Times New Roman" w:hAnsi="Times New Roman" w:cs="Times New Roman"/>
          <w:b/>
          <w:sz w:val="28"/>
        </w:rPr>
        <w:t>Тенденция развития</w:t>
      </w:r>
    </w:p>
    <w:p w:rsidR="00014778" w:rsidRDefault="00014778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41278" w:rsidRPr="00D41278" w:rsidRDefault="00D41278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D41278">
        <w:rPr>
          <w:rFonts w:ascii="Times New Roman" w:hAnsi="Times New Roman" w:cs="Times New Roman"/>
          <w:sz w:val="28"/>
        </w:rPr>
        <w:t>Рассмотрим индекс готовности Хабаровского края к информационному обществу в сравнении с Амурской областью и Приморским краем</w:t>
      </w:r>
      <w:r w:rsidR="00C6215B">
        <w:rPr>
          <w:rFonts w:ascii="Times New Roman" w:hAnsi="Times New Roman" w:cs="Times New Roman"/>
          <w:sz w:val="28"/>
        </w:rPr>
        <w:t xml:space="preserve"> (рисунок 5). Как видно из данных графика, значение Индекса Хабаровского края (0,502-0,515)  превышает аналогичный показатель Амурской области (0,366-0,406) и Приморского края (0,431-0,446) за весь рассматриваемый период (2011-2014 гг.)</w:t>
      </w:r>
    </w:p>
    <w:p w:rsidR="00C6215B" w:rsidRDefault="00C6215B" w:rsidP="00C6215B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428416C4" wp14:editId="606A3B50">
            <wp:extent cx="6120130" cy="3199345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9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15B" w:rsidRPr="00C6215B" w:rsidRDefault="00C6215B" w:rsidP="00C6215B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5</w:t>
      </w: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6215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Сравнение Индекса Хабаровского края с соседними регионами</w:t>
      </w:r>
    </w:p>
    <w:p w:rsidR="00C6215B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890E05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890E05" w:rsidRPr="00890E05">
        <w:rPr>
          <w:rFonts w:ascii="Times New Roman" w:hAnsi="Times New Roman" w:cs="Times New Roman"/>
          <w:b/>
          <w:sz w:val="28"/>
        </w:rPr>
        <w:t>Сравнение двух регионов</w:t>
      </w:r>
    </w:p>
    <w:p w:rsidR="00C6215B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6215B" w:rsidRDefault="00C6215B" w:rsidP="00C621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Сравним</w:t>
      </w:r>
      <w:r w:rsidRPr="00C6215B">
        <w:rPr>
          <w:rFonts w:ascii="Times New Roman" w:hAnsi="Times New Roman" w:cs="Times New Roman"/>
          <w:sz w:val="28"/>
        </w:rPr>
        <w:t xml:space="preserve"> Хаба</w:t>
      </w:r>
      <w:r>
        <w:rPr>
          <w:rFonts w:ascii="Times New Roman" w:hAnsi="Times New Roman" w:cs="Times New Roman"/>
          <w:sz w:val="28"/>
        </w:rPr>
        <w:t xml:space="preserve">ровский край и Приморский край </w:t>
      </w:r>
      <w:r w:rsidR="00E6227E">
        <w:rPr>
          <w:rFonts w:ascii="Times New Roman" w:hAnsi="Times New Roman" w:cs="Times New Roman"/>
          <w:sz w:val="28"/>
        </w:rPr>
        <w:t xml:space="preserve">по </w:t>
      </w:r>
      <w:r w:rsidR="00E6227E" w:rsidRPr="00E6227E">
        <w:rPr>
          <w:rFonts w:ascii="Times New Roman" w:hAnsi="Times New Roman" w:cs="Times New Roman"/>
          <w:sz w:val="28"/>
        </w:rPr>
        <w:t>Индекс</w:t>
      </w:r>
      <w:r w:rsidR="00E6227E">
        <w:rPr>
          <w:rFonts w:ascii="Times New Roman" w:hAnsi="Times New Roman" w:cs="Times New Roman"/>
          <w:sz w:val="28"/>
        </w:rPr>
        <w:t>у</w:t>
      </w:r>
      <w:r w:rsidR="00E6227E" w:rsidRPr="00E6227E">
        <w:rPr>
          <w:rFonts w:ascii="Times New Roman" w:hAnsi="Times New Roman" w:cs="Times New Roman"/>
          <w:sz w:val="28"/>
        </w:rPr>
        <w:t xml:space="preserve"> готовности регионов к ИО </w:t>
      </w:r>
      <w:r w:rsidR="00E6227E">
        <w:rPr>
          <w:rFonts w:ascii="Times New Roman" w:hAnsi="Times New Roman" w:cs="Times New Roman"/>
          <w:sz w:val="28"/>
        </w:rPr>
        <w:t>и двум индексам-компонентам (</w:t>
      </w:r>
      <w:r w:rsidR="00E6227E" w:rsidRPr="00E6227E">
        <w:rPr>
          <w:rFonts w:ascii="Times New Roman" w:hAnsi="Times New Roman" w:cs="Times New Roman"/>
          <w:sz w:val="28"/>
        </w:rPr>
        <w:t>факторов электронного развития</w:t>
      </w:r>
      <w:r w:rsidR="00E6227E">
        <w:rPr>
          <w:rFonts w:ascii="Times New Roman" w:hAnsi="Times New Roman" w:cs="Times New Roman"/>
          <w:sz w:val="28"/>
        </w:rPr>
        <w:t xml:space="preserve">  и </w:t>
      </w:r>
      <w:r w:rsidR="00E6227E" w:rsidRPr="00E6227E">
        <w:rPr>
          <w:rFonts w:ascii="Times New Roman" w:hAnsi="Times New Roman" w:cs="Times New Roman"/>
          <w:sz w:val="28"/>
        </w:rPr>
        <w:t>использования ИКТ для развития)</w:t>
      </w:r>
      <w:r w:rsidR="00E6227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 периоды </w:t>
      </w:r>
      <w:r w:rsidRPr="00C6215B">
        <w:rPr>
          <w:rFonts w:ascii="Times New Roman" w:hAnsi="Times New Roman" w:cs="Times New Roman"/>
          <w:sz w:val="28"/>
        </w:rPr>
        <w:t>2013-2014</w:t>
      </w:r>
      <w:r w:rsidR="00E6227E">
        <w:rPr>
          <w:rFonts w:ascii="Times New Roman" w:hAnsi="Times New Roman" w:cs="Times New Roman"/>
          <w:sz w:val="28"/>
        </w:rPr>
        <w:t xml:space="preserve"> гг. (таблица 2).</w:t>
      </w:r>
      <w:r w:rsidR="00A2607A">
        <w:rPr>
          <w:rFonts w:ascii="Times New Roman" w:hAnsi="Times New Roman" w:cs="Times New Roman"/>
          <w:sz w:val="28"/>
        </w:rPr>
        <w:t xml:space="preserve"> Как видно из данных таблицы, показатели Хабаровского края превышают аналогичные показатели Приморского края на протяжении всего рассматриваемого периода, при этом наблюдается тенденция к их увеличению, </w:t>
      </w:r>
      <w:r w:rsidR="00A2607A">
        <w:rPr>
          <w:rFonts w:ascii="Times New Roman" w:hAnsi="Times New Roman" w:cs="Times New Roman"/>
          <w:sz w:val="28"/>
        </w:rPr>
        <w:lastRenderedPageBreak/>
        <w:t xml:space="preserve">что положительно характеризует регион с точки зрения готовности к </w:t>
      </w:r>
      <w:r w:rsidR="004B7739">
        <w:rPr>
          <w:rFonts w:ascii="Times New Roman" w:hAnsi="Times New Roman" w:cs="Times New Roman"/>
          <w:sz w:val="28"/>
        </w:rPr>
        <w:t>информационному обществу.</w:t>
      </w:r>
    </w:p>
    <w:p w:rsidR="00C6215B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485250" w:rsidRPr="00485250" w:rsidRDefault="00485250" w:rsidP="00485250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C90AEA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2</w:t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8525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Сравнение Индексов готовности регионов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1256"/>
        <w:gridCol w:w="1256"/>
        <w:gridCol w:w="1256"/>
        <w:gridCol w:w="1256"/>
        <w:gridCol w:w="1256"/>
        <w:gridCol w:w="1256"/>
      </w:tblGrid>
      <w:tr w:rsidR="00804C3F" w:rsidRPr="00804C3F" w:rsidTr="00825864">
        <w:trPr>
          <w:jc w:val="center"/>
        </w:trPr>
        <w:tc>
          <w:tcPr>
            <w:tcW w:w="1942" w:type="dxa"/>
            <w:vMerge w:val="restart"/>
            <w:vAlign w:val="center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0" w:type="auto"/>
            <w:gridSpan w:val="3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</w:tr>
      <w:tr w:rsidR="00804C3F" w:rsidRPr="00804C3F" w:rsidTr="00825864">
        <w:trPr>
          <w:jc w:val="center"/>
        </w:trPr>
        <w:tc>
          <w:tcPr>
            <w:tcW w:w="1942" w:type="dxa"/>
            <w:vMerge/>
          </w:tcPr>
          <w:p w:rsidR="00804C3F" w:rsidRPr="00804C3F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</w:tcPr>
          <w:p w:rsidR="00804C3F" w:rsidRPr="00804C3F" w:rsidRDefault="00804C3F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804C3F" w:rsidRPr="00804C3F" w:rsidTr="00825864">
        <w:trPr>
          <w:jc w:val="center"/>
        </w:trPr>
        <w:tc>
          <w:tcPr>
            <w:tcW w:w="1942" w:type="dxa"/>
          </w:tcPr>
          <w:p w:rsidR="00804C3F" w:rsidRPr="00804C3F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Индекс готовности регионов к ИО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0,517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0,515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0,431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0,446</w:t>
            </w:r>
          </w:p>
        </w:tc>
      </w:tr>
      <w:tr w:rsidR="00804C3F" w:rsidRPr="00804C3F" w:rsidTr="00825864">
        <w:trPr>
          <w:jc w:val="center"/>
        </w:trPr>
        <w:tc>
          <w:tcPr>
            <w:tcW w:w="1942" w:type="dxa"/>
          </w:tcPr>
          <w:p w:rsidR="00804C3F" w:rsidRPr="00804C3F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Индекс-компонент факторов электронного развития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0,436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0,446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0,403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0,415</w:t>
            </w:r>
          </w:p>
        </w:tc>
      </w:tr>
      <w:tr w:rsidR="00804C3F" w:rsidRPr="00804C3F" w:rsidTr="00825864">
        <w:trPr>
          <w:jc w:val="center"/>
        </w:trPr>
        <w:tc>
          <w:tcPr>
            <w:tcW w:w="1942" w:type="dxa"/>
          </w:tcPr>
          <w:p w:rsidR="00804C3F" w:rsidRPr="00804C3F" w:rsidRDefault="00804C3F" w:rsidP="00804C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C3F">
              <w:rPr>
                <w:rFonts w:ascii="Times New Roman" w:hAnsi="Times New Roman" w:cs="Times New Roman"/>
                <w:sz w:val="24"/>
                <w:szCs w:val="24"/>
              </w:rPr>
              <w:t>Индекс-компонент использования ИКТ для развития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0,526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0,557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0,539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0,445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  <w:tc>
          <w:tcPr>
            <w:tcW w:w="0" w:type="auto"/>
            <w:vAlign w:val="center"/>
          </w:tcPr>
          <w:p w:rsidR="00804C3F" w:rsidRPr="00804C3F" w:rsidRDefault="001625C4" w:rsidP="00825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0,462</w:t>
            </w:r>
          </w:p>
        </w:tc>
      </w:tr>
    </w:tbl>
    <w:p w:rsidR="00C6215B" w:rsidRDefault="00C6215B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966AC2" w:rsidRPr="009942CC" w:rsidRDefault="005A05FC" w:rsidP="006609D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3.5 </w:t>
      </w:r>
      <w:r w:rsidR="00966AC2" w:rsidRPr="009942CC">
        <w:rPr>
          <w:rFonts w:ascii="Times New Roman" w:hAnsi="Times New Roman" w:cs="Times New Roman"/>
          <w:b/>
          <w:sz w:val="28"/>
        </w:rPr>
        <w:t>Информационное неравенство</w:t>
      </w:r>
    </w:p>
    <w:p w:rsidR="005A05FC" w:rsidRDefault="005A05FC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</w:p>
    <w:p w:rsidR="00280A60" w:rsidRDefault="00280A60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0A60">
        <w:rPr>
          <w:rFonts w:ascii="Times New Roman" w:hAnsi="Times New Roman" w:cs="Times New Roman"/>
          <w:bCs/>
          <w:sz w:val="28"/>
        </w:rPr>
        <w:t>Информационное неравенство регионов (разрыв)</w:t>
      </w:r>
      <w:r w:rsidRPr="00280A60">
        <w:rPr>
          <w:rFonts w:ascii="Times New Roman" w:hAnsi="Times New Roman" w:cs="Times New Roman"/>
          <w:sz w:val="28"/>
        </w:rPr>
        <w:t> </w:t>
      </w:r>
      <w:r w:rsidRPr="00280A60">
        <w:rPr>
          <w:rFonts w:ascii="Times New Roman" w:hAnsi="Times New Roman" w:cs="Times New Roman"/>
          <w:bCs/>
          <w:sz w:val="28"/>
        </w:rPr>
        <w:t>представляет собой ситуацию, когда у какой-либо группы людей отсутствует возможность доступа к современным информационным технологиям</w:t>
      </w:r>
      <w:r w:rsidRPr="00280A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280A60">
        <w:rPr>
          <w:rFonts w:ascii="Times New Roman" w:hAnsi="Times New Roman" w:cs="Times New Roman"/>
          <w:sz w:val="28"/>
        </w:rPr>
        <w:t>рассчитывается как отношение максимального значения показателя/индекса у субъектов РФ к наименьшему ненулевому его значению</w:t>
      </w:r>
      <w:r>
        <w:rPr>
          <w:rFonts w:ascii="Times New Roman" w:hAnsi="Times New Roman" w:cs="Times New Roman"/>
          <w:sz w:val="28"/>
        </w:rPr>
        <w:t>.</w:t>
      </w:r>
    </w:p>
    <w:p w:rsidR="00280A60" w:rsidRDefault="00280A60" w:rsidP="00280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Введя некоторые условные обозначения, формулу расчёта информационного неравенства регионов (разрыва) можно представить следующим образом</w:t>
      </w:r>
      <w:r w:rsidRPr="00280A60">
        <w:rPr>
          <w:rFonts w:ascii="Times New Roman" w:hAnsi="Times New Roman" w:cs="Times New Roman"/>
          <w:sz w:val="28"/>
        </w:rPr>
        <w:t xml:space="preserve"> (1)</w:t>
      </w:r>
      <w:r>
        <w:rPr>
          <w:rFonts w:ascii="Times New Roman" w:hAnsi="Times New Roman" w:cs="Times New Roman"/>
          <w:sz w:val="28"/>
        </w:rPr>
        <w:t>:</w:t>
      </w:r>
    </w:p>
    <w:p w:rsidR="00280A60" w:rsidRDefault="00A32345" w:rsidP="00DC2843">
      <w:pPr>
        <w:tabs>
          <w:tab w:val="right" w:pos="9639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</w:rPr>
              <m:t>I</m:t>
            </m:r>
          </m:e>
          <m:sub>
            <m:r>
              <w:rPr>
                <w:rFonts w:ascii="Cambria Math" w:hAnsi="Cambria Math" w:cs="Times New Roman"/>
                <w:sz w:val="32"/>
              </w:rPr>
              <m:t>R</m:t>
            </m:r>
          </m:sub>
        </m:sSub>
        <m:r>
          <w:rPr>
            <w:rFonts w:ascii="Cambria Math" w:hAnsi="Cambria Math" w:cs="Times New Roman"/>
            <w:sz w:val="32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32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max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32"/>
                  </w:rPr>
                  <m:t>min</m:t>
                </m:r>
              </m:sub>
            </m:sSub>
          </m:den>
        </m:f>
      </m:oMath>
      <w:r w:rsidR="00280A60" w:rsidRPr="00280A60">
        <w:rPr>
          <w:rFonts w:ascii="Times New Roman" w:hAnsi="Times New Roman" w:cs="Times New Roman"/>
          <w:sz w:val="28"/>
        </w:rPr>
        <w:t xml:space="preserve"> </w:t>
      </w:r>
      <w:r w:rsidR="00280A60">
        <w:rPr>
          <w:rFonts w:ascii="Times New Roman" w:hAnsi="Times New Roman" w:cs="Times New Roman"/>
          <w:sz w:val="28"/>
        </w:rPr>
        <w:t xml:space="preserve">, </w:t>
      </w:r>
      <w:r w:rsidR="00280A60">
        <w:rPr>
          <w:rFonts w:ascii="Times New Roman" w:hAnsi="Times New Roman" w:cs="Times New Roman"/>
          <w:sz w:val="28"/>
        </w:rPr>
        <w:tab/>
        <w:t>(1)</w:t>
      </w:r>
    </w:p>
    <w:p w:rsidR="00280A60" w:rsidRDefault="00280A60" w:rsidP="00280A60">
      <w:pPr>
        <w:tabs>
          <w:tab w:val="left" w:pos="851"/>
          <w:tab w:val="right" w:pos="963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где  </w:t>
      </w:r>
      <w:r w:rsidR="00D67258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en-US"/>
        </w:rPr>
        <w:t>I</w:t>
      </w:r>
      <w:r w:rsidRPr="00280A60">
        <w:rPr>
          <w:rFonts w:ascii="Times New Roman" w:hAnsi="Times New Roman" w:cs="Times New Roman"/>
          <w:sz w:val="28"/>
          <w:vertAlign w:val="subscript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bCs/>
          <w:sz w:val="28"/>
        </w:rPr>
        <w:t>и</w:t>
      </w:r>
      <w:r w:rsidRPr="00280A60">
        <w:rPr>
          <w:rFonts w:ascii="Times New Roman" w:hAnsi="Times New Roman" w:cs="Times New Roman"/>
          <w:bCs/>
          <w:sz w:val="28"/>
        </w:rPr>
        <w:t xml:space="preserve">нформационное неравенство регионов </w:t>
      </w:r>
      <w:r>
        <w:rPr>
          <w:rFonts w:ascii="Times New Roman" w:hAnsi="Times New Roman" w:cs="Times New Roman"/>
          <w:bCs/>
          <w:sz w:val="28"/>
        </w:rPr>
        <w:t>(разрыв),</w:t>
      </w:r>
    </w:p>
    <w:p w:rsidR="00280A60" w:rsidRDefault="00D67258" w:rsidP="00D67258">
      <w:pPr>
        <w:tabs>
          <w:tab w:val="left" w:pos="851"/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 w:rsidR="00280A60">
        <w:rPr>
          <w:rFonts w:ascii="Times New Roman" w:hAnsi="Times New Roman" w:cs="Times New Roman"/>
          <w:sz w:val="28"/>
          <w:lang w:val="en-US"/>
        </w:rPr>
        <w:t>I</w:t>
      </w:r>
      <w:r w:rsidR="00280A60" w:rsidRPr="00280A60">
        <w:rPr>
          <w:rFonts w:ascii="Times New Roman" w:hAnsi="Times New Roman" w:cs="Times New Roman"/>
          <w:sz w:val="28"/>
          <w:vertAlign w:val="subscript"/>
          <w:lang w:val="en-US"/>
        </w:rPr>
        <w:t>max</w:t>
      </w:r>
      <w:proofErr w:type="gramEnd"/>
      <w:r w:rsidR="00280A60">
        <w:rPr>
          <w:rFonts w:ascii="Times New Roman" w:hAnsi="Times New Roman" w:cs="Times New Roman"/>
          <w:sz w:val="28"/>
        </w:rPr>
        <w:t xml:space="preserve"> – максимальное значение индекса,</w:t>
      </w:r>
    </w:p>
    <w:p w:rsidR="00B84709" w:rsidRDefault="00D67258" w:rsidP="00D67258">
      <w:pPr>
        <w:tabs>
          <w:tab w:val="left" w:pos="851"/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 w:rsidR="00280A60">
        <w:rPr>
          <w:rFonts w:ascii="Times New Roman" w:hAnsi="Times New Roman" w:cs="Times New Roman"/>
          <w:sz w:val="28"/>
          <w:lang w:val="en-US"/>
        </w:rPr>
        <w:t>I</w:t>
      </w:r>
      <w:r w:rsidR="00280A60" w:rsidRPr="00280A60">
        <w:rPr>
          <w:rFonts w:ascii="Times New Roman" w:hAnsi="Times New Roman" w:cs="Times New Roman"/>
          <w:sz w:val="28"/>
          <w:vertAlign w:val="subscript"/>
          <w:lang w:val="en-US"/>
        </w:rPr>
        <w:t>min</w:t>
      </w:r>
      <w:proofErr w:type="spellEnd"/>
      <w:r w:rsidR="00280A60">
        <w:rPr>
          <w:rFonts w:ascii="Times New Roman" w:hAnsi="Times New Roman" w:cs="Times New Roman"/>
          <w:sz w:val="28"/>
        </w:rPr>
        <w:t xml:space="preserve"> - </w:t>
      </w:r>
      <w:r w:rsidR="00280A60" w:rsidRPr="00280A60">
        <w:rPr>
          <w:rFonts w:ascii="Times New Roman" w:hAnsi="Times New Roman" w:cs="Times New Roman"/>
          <w:sz w:val="28"/>
        </w:rPr>
        <w:t>наименьше</w:t>
      </w:r>
      <w:r w:rsidR="00280A60">
        <w:rPr>
          <w:rFonts w:ascii="Times New Roman" w:hAnsi="Times New Roman" w:cs="Times New Roman"/>
          <w:sz w:val="28"/>
        </w:rPr>
        <w:t>е ненулевое значение индекса</w:t>
      </w:r>
      <w:r w:rsidR="00280A60" w:rsidRPr="00280A60">
        <w:rPr>
          <w:rFonts w:ascii="Times New Roman" w:hAnsi="Times New Roman" w:cs="Times New Roman"/>
          <w:sz w:val="28"/>
        </w:rPr>
        <w:t xml:space="preserve"> </w:t>
      </w:r>
    </w:p>
    <w:p w:rsidR="00966AC2" w:rsidRDefault="00672A4C" w:rsidP="00B84709">
      <w:pPr>
        <w:tabs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Представим данные об информационном неравенстве регионов за 2011-2014 гг. в виде таблице (таблица 3).</w:t>
      </w:r>
    </w:p>
    <w:p w:rsidR="00C90AEA" w:rsidRPr="00C90AEA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Таблица 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3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Информационное неравенство регионов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3"/>
        <w:gridCol w:w="876"/>
        <w:gridCol w:w="885"/>
        <w:gridCol w:w="946"/>
        <w:gridCol w:w="876"/>
        <w:gridCol w:w="885"/>
        <w:gridCol w:w="946"/>
        <w:gridCol w:w="876"/>
        <w:gridCol w:w="885"/>
        <w:gridCol w:w="946"/>
      </w:tblGrid>
      <w:tr w:rsidR="00672A4C" w:rsidRPr="00672A4C" w:rsidTr="00C90AEA">
        <w:tc>
          <w:tcPr>
            <w:tcW w:w="1732" w:type="dxa"/>
            <w:vMerge w:val="restart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0" w:type="auto"/>
            <w:gridSpan w:val="3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0" w:type="auto"/>
            <w:gridSpan w:val="3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672A4C" w:rsidRPr="00672A4C" w:rsidTr="00C90AEA">
        <w:tc>
          <w:tcPr>
            <w:tcW w:w="1732" w:type="dxa"/>
            <w:vMerge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Min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по РФ</w:t>
            </w:r>
          </w:p>
        </w:tc>
        <w:tc>
          <w:tcPr>
            <w:tcW w:w="0" w:type="auto"/>
            <w:vAlign w:val="center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Разрыв</w:t>
            </w:r>
          </w:p>
        </w:tc>
      </w:tr>
      <w:tr w:rsidR="00672A4C" w:rsidRPr="00672A4C" w:rsidTr="00C90AEA">
        <w:tc>
          <w:tcPr>
            <w:tcW w:w="1732" w:type="dxa"/>
          </w:tcPr>
          <w:p w:rsidR="00672A4C" w:rsidRPr="00672A4C" w:rsidRDefault="00672A4C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A4C">
              <w:rPr>
                <w:rFonts w:ascii="Times New Roman" w:hAnsi="Times New Roman" w:cs="Times New Roman"/>
                <w:sz w:val="24"/>
                <w:szCs w:val="24"/>
              </w:rPr>
              <w:t>Индекс готовности регионов России к ИО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0696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2539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0,696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0,693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</w:t>
            </w:r>
          </w:p>
        </w:tc>
      </w:tr>
      <w:tr w:rsidR="00672A4C" w:rsidRPr="00672A4C" w:rsidTr="00C90AEA">
        <w:tc>
          <w:tcPr>
            <w:tcW w:w="1732" w:type="dxa"/>
          </w:tcPr>
          <w:p w:rsidR="00672A4C" w:rsidRPr="00C60EC2" w:rsidRDefault="00C60EC2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C2">
              <w:rPr>
                <w:rFonts w:ascii="Times New Roman" w:hAnsi="Times New Roman" w:cs="Times New Roman"/>
                <w:bCs/>
                <w:sz w:val="24"/>
                <w:szCs w:val="24"/>
              </w:rPr>
              <w:t>Индекс-компонент факторов электронного развития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0,224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0,786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3515</w:t>
            </w:r>
          </w:p>
        </w:tc>
        <w:tc>
          <w:tcPr>
            <w:tcW w:w="0" w:type="auto"/>
          </w:tcPr>
          <w:p w:rsid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  <w:p w:rsidR="00C60EC2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0,742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3097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0,234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0,753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3212</w:t>
            </w:r>
          </w:p>
        </w:tc>
      </w:tr>
      <w:tr w:rsidR="00672A4C" w:rsidRPr="00672A4C" w:rsidTr="00C90AEA">
        <w:tc>
          <w:tcPr>
            <w:tcW w:w="1732" w:type="dxa"/>
          </w:tcPr>
          <w:p w:rsidR="00672A4C" w:rsidRPr="00C60EC2" w:rsidRDefault="00C60EC2" w:rsidP="00672A4C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EC2">
              <w:rPr>
                <w:rFonts w:ascii="Times New Roman" w:hAnsi="Times New Roman" w:cs="Times New Roman"/>
                <w:bCs/>
                <w:sz w:val="24"/>
                <w:szCs w:val="24"/>
              </w:rPr>
              <w:t>Индекс-компонент использования ИКТ для развития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0,293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0,651</w:t>
            </w:r>
          </w:p>
        </w:tc>
        <w:tc>
          <w:tcPr>
            <w:tcW w:w="0" w:type="auto"/>
          </w:tcPr>
          <w:p w:rsid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</w:p>
          <w:p w:rsidR="00C60EC2" w:rsidRPr="00672A4C" w:rsidRDefault="00C60EC2" w:rsidP="00C60EC2">
            <w:pPr>
              <w:tabs>
                <w:tab w:val="right" w:pos="96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0,317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0,674</w:t>
            </w:r>
          </w:p>
        </w:tc>
        <w:tc>
          <w:tcPr>
            <w:tcW w:w="0" w:type="auto"/>
          </w:tcPr>
          <w:p w:rsidR="00672A4C" w:rsidRPr="00672A4C" w:rsidRDefault="00C60EC2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0,663</w:t>
            </w:r>
          </w:p>
        </w:tc>
        <w:tc>
          <w:tcPr>
            <w:tcW w:w="0" w:type="auto"/>
          </w:tcPr>
          <w:p w:rsidR="00672A4C" w:rsidRPr="00672A4C" w:rsidRDefault="00672A4C" w:rsidP="00672A4C">
            <w:pPr>
              <w:tabs>
                <w:tab w:val="right" w:pos="96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</w:tbl>
    <w:p w:rsidR="00672A4C" w:rsidRPr="00280A60" w:rsidRDefault="00672A4C" w:rsidP="00B84709">
      <w:pPr>
        <w:tabs>
          <w:tab w:val="righ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2A4C" w:rsidRDefault="007462D1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Более наглядно динамика информационного неравенства предста</w:t>
      </w:r>
      <w:r w:rsidR="00576A61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лена на рисунке </w:t>
      </w:r>
      <w:r w:rsidR="00576A61">
        <w:rPr>
          <w:rFonts w:ascii="Times New Roman" w:hAnsi="Times New Roman" w:cs="Times New Roman"/>
          <w:sz w:val="28"/>
        </w:rPr>
        <w:t>6.</w:t>
      </w:r>
    </w:p>
    <w:p w:rsidR="00576A61" w:rsidRDefault="00576A61" w:rsidP="00576A61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1287B9A6" wp14:editId="7BE9E194">
            <wp:extent cx="6120130" cy="32637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A61" w:rsidRPr="00576A61" w:rsidRDefault="00576A61" w:rsidP="00576A61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433911">
        <w:rPr>
          <w:rFonts w:ascii="Times New Roman" w:hAnsi="Times New Roman" w:cs="Times New Roman"/>
          <w:b w:val="0"/>
          <w:noProof/>
          <w:color w:val="auto"/>
          <w:sz w:val="24"/>
          <w:szCs w:val="24"/>
        </w:rPr>
        <w:t>6</w:t>
      </w: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576A6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Динамика информационного неравенства регионов</w:t>
      </w:r>
    </w:p>
    <w:p w:rsidR="00576A61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6A61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76A61" w:rsidRDefault="00576A61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BD1E34" w:rsidRDefault="00BD1E34" w:rsidP="00966AC2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966AC2" w:rsidRPr="005A05FC" w:rsidRDefault="00966AC2" w:rsidP="006609D7">
      <w:pPr>
        <w:pStyle w:val="a5"/>
        <w:numPr>
          <w:ilvl w:val="1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Открытое правительство</w:t>
      </w:r>
    </w:p>
    <w:p w:rsidR="00BD1E34" w:rsidRDefault="00BD1E34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B3E26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B3E26">
        <w:rPr>
          <w:rFonts w:ascii="Times New Roman" w:hAnsi="Times New Roman" w:cs="Times New Roman"/>
          <w:bCs/>
          <w:sz w:val="28"/>
        </w:rPr>
        <w:t>Открытое правительство – это то, как правительство может работать с обществом и отдельными гражданами по совместному производству общественных ценностей</w:t>
      </w:r>
      <w:r>
        <w:rPr>
          <w:rFonts w:ascii="Times New Roman" w:hAnsi="Times New Roman" w:cs="Times New Roman"/>
          <w:bCs/>
          <w:sz w:val="28"/>
        </w:rPr>
        <w:t>.</w:t>
      </w:r>
    </w:p>
    <w:p w:rsidR="008B3E26" w:rsidRPr="008B3E26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Индекс представляет собой измеритель использования инструментов открытого правительства органами исполнительной власти субъектов РФ.</w:t>
      </w:r>
    </w:p>
    <w:p w:rsidR="008B3E26" w:rsidRPr="008B3E26" w:rsidRDefault="008B3E26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Индекс рассчитывается на основе показателей, характеризующих четыре направления открытого правительства:</w:t>
      </w:r>
    </w:p>
    <w:p w:rsidR="008B3E26" w:rsidRPr="008B3E26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сервисы социальных сетей (использование социальных сетей для взаимодействия с гражданами);</w:t>
      </w:r>
    </w:p>
    <w:p w:rsidR="008B3E26" w:rsidRPr="008B3E26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открытые правительственные данные (доступность, легальность и возможность получить в машиночитаемом виде открытые данные);</w:t>
      </w:r>
    </w:p>
    <w:p w:rsidR="008B3E26" w:rsidRPr="008B3E26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онлайновое сотрудничество с гражданами (использование онлайновых инструментов для сотрудничества с гражданами при выработке, реализации и оценки результатов политики органов власти субъектов РФ);</w:t>
      </w:r>
    </w:p>
    <w:p w:rsidR="008B3E26" w:rsidRDefault="008B3E26" w:rsidP="008B3E26">
      <w:pPr>
        <w:numPr>
          <w:ilvl w:val="0"/>
          <w:numId w:val="9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t>интегрированные/сетевые сервисы (оценка по методолог</w:t>
      </w:r>
      <w:proofErr w:type="gramStart"/>
      <w:r w:rsidRPr="008B3E26">
        <w:rPr>
          <w:rFonts w:ascii="Times New Roman" w:hAnsi="Times New Roman" w:cs="Times New Roman"/>
          <w:sz w:val="28"/>
        </w:rPr>
        <w:t>ии ОО</w:t>
      </w:r>
      <w:proofErr w:type="gramEnd"/>
      <w:r w:rsidRPr="008B3E26">
        <w:rPr>
          <w:rFonts w:ascii="Times New Roman" w:hAnsi="Times New Roman" w:cs="Times New Roman"/>
          <w:sz w:val="28"/>
        </w:rPr>
        <w:t>Н использования органами власти различных инструментов для получения обратной связи от граждан - опросов, досок объявлений, чатов, дискуссионных форумов и т.д.).</w:t>
      </w:r>
    </w:p>
    <w:p w:rsidR="008B3E26" w:rsidRDefault="0051171E" w:rsidP="00511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таблице 4 представлены з</w:t>
      </w:r>
      <w:r w:rsidRPr="0051171E">
        <w:rPr>
          <w:rFonts w:ascii="Times New Roman" w:hAnsi="Times New Roman" w:cs="Times New Roman"/>
          <w:sz w:val="28"/>
        </w:rPr>
        <w:t xml:space="preserve">начения </w:t>
      </w:r>
      <w:proofErr w:type="gramStart"/>
      <w:r w:rsidRPr="0051171E">
        <w:rPr>
          <w:rFonts w:ascii="Times New Roman" w:hAnsi="Times New Roman" w:cs="Times New Roman"/>
          <w:sz w:val="28"/>
        </w:rPr>
        <w:t>показателей</w:t>
      </w:r>
      <w:r>
        <w:rPr>
          <w:rFonts w:ascii="Times New Roman" w:hAnsi="Times New Roman" w:cs="Times New Roman"/>
          <w:sz w:val="28"/>
        </w:rPr>
        <w:t xml:space="preserve"> индекса </w:t>
      </w:r>
      <w:r w:rsidRPr="0051171E">
        <w:rPr>
          <w:rFonts w:ascii="Times New Roman" w:hAnsi="Times New Roman" w:cs="Times New Roman"/>
          <w:sz w:val="28"/>
        </w:rPr>
        <w:t>открытости правительства регионов</w:t>
      </w:r>
      <w:proofErr w:type="gramEnd"/>
      <w:r w:rsidRPr="0051171E">
        <w:rPr>
          <w:rFonts w:ascii="Times New Roman" w:hAnsi="Times New Roman" w:cs="Times New Roman"/>
          <w:sz w:val="28"/>
        </w:rPr>
        <w:t xml:space="preserve"> России</w:t>
      </w:r>
      <w:r>
        <w:rPr>
          <w:rFonts w:ascii="Times New Roman" w:hAnsi="Times New Roman" w:cs="Times New Roman"/>
          <w:sz w:val="28"/>
        </w:rPr>
        <w:t xml:space="preserve">, которые </w:t>
      </w:r>
      <w:r w:rsidRPr="0051171E">
        <w:rPr>
          <w:rFonts w:ascii="Times New Roman" w:hAnsi="Times New Roman" w:cs="Times New Roman"/>
          <w:sz w:val="28"/>
        </w:rPr>
        <w:t xml:space="preserve">определялись на основе обследования официальных правительственных и 6 ведомственных веб-сайтов (образование, здравоохранение, труд и занятость, социальная защита, финансы) субъектов РФ. Обследование проводилось в апреле 2012 года. </w:t>
      </w:r>
    </w:p>
    <w:p w:rsidR="00C90AEA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90AEA" w:rsidRPr="00C90AEA" w:rsidRDefault="00C90AEA" w:rsidP="00C90AEA">
      <w:pPr>
        <w:pStyle w:val="a8"/>
        <w:spacing w:after="0"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Таблица 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Таблица \* ARABIC </w:instrTex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C90AE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Индекс открытости Правительства регионов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559"/>
        <w:gridCol w:w="1731"/>
        <w:gridCol w:w="1671"/>
        <w:gridCol w:w="1524"/>
      </w:tblGrid>
      <w:tr w:rsidR="008B050C" w:rsidRPr="008B050C" w:rsidTr="00AC09A2">
        <w:trPr>
          <w:tblHeader/>
        </w:trPr>
        <w:tc>
          <w:tcPr>
            <w:tcW w:w="817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Место</w:t>
            </w:r>
          </w:p>
        </w:tc>
        <w:tc>
          <w:tcPr>
            <w:tcW w:w="1418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Субъект РФ</w:t>
            </w:r>
          </w:p>
        </w:tc>
        <w:tc>
          <w:tcPr>
            <w:tcW w:w="1134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Использование социальных сетей</w:t>
            </w:r>
          </w:p>
        </w:tc>
        <w:tc>
          <w:tcPr>
            <w:tcW w:w="1731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Открытые правительственные данные</w:t>
            </w:r>
          </w:p>
        </w:tc>
        <w:tc>
          <w:tcPr>
            <w:tcW w:w="1671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Сотрудничество ИОГВ с гражданами</w:t>
            </w:r>
          </w:p>
        </w:tc>
        <w:tc>
          <w:tcPr>
            <w:tcW w:w="1524" w:type="dxa"/>
            <w:vAlign w:val="center"/>
          </w:tcPr>
          <w:p w:rsidR="00354F23" w:rsidRPr="008B050C" w:rsidRDefault="00354F23" w:rsidP="008B050C">
            <w:pPr>
              <w:pStyle w:val="a4"/>
              <w:spacing w:before="0" w:beforeAutospacing="0" w:after="0" w:afterAutospacing="0"/>
              <w:jc w:val="center"/>
              <w:rPr>
                <w:b/>
                <w:color w:val="000002"/>
                <w:sz w:val="20"/>
                <w:szCs w:val="20"/>
              </w:rPr>
            </w:pPr>
            <w:r w:rsidRPr="008B050C">
              <w:rPr>
                <w:rStyle w:val="ab"/>
                <w:rFonts w:eastAsiaTheme="majorEastAsia"/>
                <w:b w:val="0"/>
                <w:color w:val="000002"/>
                <w:sz w:val="20"/>
                <w:szCs w:val="20"/>
              </w:rPr>
              <w:t>Сетевое/ интегрированное присутствие</w:t>
            </w:r>
          </w:p>
        </w:tc>
      </w:tr>
      <w:tr w:rsidR="008B050C" w:rsidRPr="008B050C" w:rsidTr="00C90AEA">
        <w:trPr>
          <w:trHeight w:val="545"/>
        </w:trPr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Ульяновская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0,3067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29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Москва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0,2211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Пензенская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0,2103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Бурятия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0,2069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Ивановская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0,2012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Калужская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0,1933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Белгородская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0,1916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Карелия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0,1910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Новгородская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Новосибирская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0,1831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0,1791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Владимирская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0,1786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Воронежская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0,1769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Пермский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0,1746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Оренбургская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0,1723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Вологодская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0,1706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Тюменская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0,1706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Костромская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0,1661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Астраханская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0,1650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Рязанская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0,1638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Ростовская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0,1633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Красноярский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0,1627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Кемеровская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Удмуртская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0,1599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Краснодарский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0,1576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Чувашская Республика - Чувашия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0,1570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Забайкальский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0,1542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Самарская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Смоленская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0,1531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Свердловская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0,1525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0,1508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Калмыкия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0,1474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Челябинская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0,1451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0,1429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Орловская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0,1417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Тамбовская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0,1412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Московская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0,1395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Калининградская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0,1389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Липецкая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0,1383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 xml:space="preserve">Ямало-Ненецкий автономный </w:t>
            </w:r>
            <w:r w:rsidRPr="008B050C">
              <w:rPr>
                <w:color w:val="000002"/>
                <w:sz w:val="20"/>
                <w:szCs w:val="20"/>
              </w:rPr>
              <w:lastRenderedPageBreak/>
              <w:t>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0,1378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Тульская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0,1366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Ставропольский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0,1361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Саратовская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0,1355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Хакасия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0,1349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Коми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0,1344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Сахалинская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0,1344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10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Иркутская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Тверская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0,1293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Курганская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0,1287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Ингушетия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Псковская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Тыва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0,1253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20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0,1247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Дагестан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0,1230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Санкт-Петербург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0,1219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Ханты-Мансийский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0,1196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Кировская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0,1179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Мордовия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0,1156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Магаданская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0,1100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Брянская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0,1088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Курская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0,1083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Мурманская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0,1066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21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Нижегородская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0,1054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Архангельская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0,1020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Северная Осетия - Алания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0,1009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Камчатский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Ярославская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0,1003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Ленинградская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0,0975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Алтайский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0,0958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F063DA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>
              <w:rPr>
                <w:noProof/>
                <w:color w:val="000002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B4E98" wp14:editId="66B2DE2E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313690</wp:posOffset>
                      </wp:positionV>
                      <wp:extent cx="6505575" cy="542925"/>
                      <wp:effectExtent l="0" t="0" r="28575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5575" cy="5429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0" o:spid="_x0000_s1026" style="position:absolute;margin-left:-17.55pt;margin-top:24.7pt;width:512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" filled="f" strokecolor="red" strokeweight="2pt"/>
                  </w:pict>
                </mc:Fallback>
              </mc:AlternateContent>
            </w:r>
            <w:r w:rsidR="00354F23" w:rsidRPr="008B050C">
              <w:rPr>
                <w:color w:val="000002"/>
                <w:sz w:val="20"/>
                <w:szCs w:val="20"/>
              </w:rPr>
              <w:t>73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Волгоградская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0,0924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22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74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Хабаровский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0,0924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4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75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Амурская область 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0,0918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6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76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0,0918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11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77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Омская область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0,0907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17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Марий Эл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0,0867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18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79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0,0856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2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80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Республика Алтай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0,0748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15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81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Приморский край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0,0714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9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  <w:tr w:rsidR="008B050C" w:rsidRPr="008B050C" w:rsidTr="00AC09A2">
        <w:tc>
          <w:tcPr>
            <w:tcW w:w="817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lastRenderedPageBreak/>
              <w:t>82</w:t>
            </w:r>
          </w:p>
        </w:tc>
        <w:tc>
          <w:tcPr>
            <w:tcW w:w="1418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13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0,0675</w:t>
            </w:r>
          </w:p>
        </w:tc>
        <w:tc>
          <w:tcPr>
            <w:tcW w:w="1559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5</w:t>
            </w:r>
          </w:p>
        </w:tc>
        <w:tc>
          <w:tcPr>
            <w:tcW w:w="1671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354F23" w:rsidRPr="008B050C" w:rsidRDefault="00354F23" w:rsidP="008B050C">
            <w:pPr>
              <w:pStyle w:val="a4"/>
              <w:spacing w:before="0" w:beforeAutospacing="0" w:after="168" w:afterAutospacing="0"/>
              <w:jc w:val="center"/>
              <w:rPr>
                <w:color w:val="000002"/>
                <w:sz w:val="20"/>
                <w:szCs w:val="20"/>
              </w:rPr>
            </w:pPr>
            <w:r w:rsidRPr="008B050C">
              <w:rPr>
                <w:color w:val="000002"/>
                <w:sz w:val="20"/>
                <w:szCs w:val="20"/>
              </w:rPr>
              <w:t>7</w:t>
            </w:r>
          </w:p>
        </w:tc>
      </w:tr>
    </w:tbl>
    <w:p w:rsidR="0051171E" w:rsidRPr="008B3E26" w:rsidRDefault="0051171E" w:rsidP="005117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AC2" w:rsidRPr="008B3E26" w:rsidRDefault="00966AC2" w:rsidP="008B3E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B3E26"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6609D7">
      <w:pPr>
        <w:pStyle w:val="a5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Целевые программы региона по развитию информационного общества</w:t>
      </w:r>
    </w:p>
    <w:p w:rsidR="00433911" w:rsidRDefault="00433911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966AC2" w:rsidRDefault="00433911" w:rsidP="004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о</w:t>
      </w:r>
      <w:r w:rsidRPr="00433911">
        <w:rPr>
          <w:rFonts w:ascii="Times New Roman" w:hAnsi="Times New Roman" w:cs="Times New Roman"/>
          <w:sz w:val="28"/>
        </w:rPr>
        <w:t>фициальн</w:t>
      </w:r>
      <w:r>
        <w:rPr>
          <w:rFonts w:ascii="Times New Roman" w:hAnsi="Times New Roman" w:cs="Times New Roman"/>
          <w:sz w:val="28"/>
        </w:rPr>
        <w:t>ом</w:t>
      </w:r>
      <w:r w:rsidRPr="00433911">
        <w:rPr>
          <w:rFonts w:ascii="Times New Roman" w:hAnsi="Times New Roman" w:cs="Times New Roman"/>
          <w:sz w:val="28"/>
        </w:rPr>
        <w:t xml:space="preserve"> сайт</w:t>
      </w:r>
      <w:r>
        <w:rPr>
          <w:rFonts w:ascii="Times New Roman" w:hAnsi="Times New Roman" w:cs="Times New Roman"/>
          <w:sz w:val="28"/>
        </w:rPr>
        <w:t>е</w:t>
      </w:r>
      <w:r w:rsidRPr="00433911">
        <w:rPr>
          <w:rFonts w:ascii="Times New Roman" w:hAnsi="Times New Roman" w:cs="Times New Roman"/>
          <w:sz w:val="28"/>
        </w:rPr>
        <w:t xml:space="preserve"> Правительства Хабаровского края</w:t>
      </w:r>
      <w:r>
        <w:rPr>
          <w:rFonts w:ascii="Times New Roman" w:hAnsi="Times New Roman" w:cs="Times New Roman"/>
          <w:sz w:val="28"/>
        </w:rPr>
        <w:t xml:space="preserve"> (</w:t>
      </w:r>
      <w:hyperlink r:id="rId16" w:history="1">
        <w:r w:rsidRPr="005B4EED">
          <w:rPr>
            <w:rStyle w:val="a9"/>
            <w:rFonts w:ascii="Times New Roman" w:hAnsi="Times New Roman" w:cs="Times New Roman"/>
            <w:sz w:val="28"/>
          </w:rPr>
          <w:t>https://khabkrai.ru/</w:t>
        </w:r>
      </w:hyperlink>
      <w:r>
        <w:rPr>
          <w:rFonts w:ascii="Times New Roman" w:hAnsi="Times New Roman" w:cs="Times New Roman"/>
          <w:sz w:val="28"/>
        </w:rPr>
        <w:t>) представлена информация об основных новостях политики и экономики края, открытая информация для граждан, СМИ и других заинтересованных лиц о результатах обследований, мониторингов, различных экспертиз; также имеется раздел для обращения граждан  по вопросам личного характера; анонс предстоящих важных событий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н</w:t>
      </w:r>
      <w:proofErr w:type="gramEnd"/>
      <w:r>
        <w:rPr>
          <w:rFonts w:ascii="Times New Roman" w:hAnsi="Times New Roman" w:cs="Times New Roman"/>
          <w:sz w:val="28"/>
        </w:rPr>
        <w:t>а рисунке 7 представлена главная страница сайта.</w:t>
      </w:r>
    </w:p>
    <w:p w:rsidR="00433911" w:rsidRPr="00966AC2" w:rsidRDefault="00433911" w:rsidP="004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3911" w:rsidRDefault="00433911" w:rsidP="00433911">
      <w:pPr>
        <w:keepNext/>
        <w:spacing w:after="0" w:line="360" w:lineRule="auto"/>
        <w:jc w:val="both"/>
      </w:pPr>
      <w:r>
        <w:rPr>
          <w:noProof/>
          <w:lang w:eastAsia="ru-RU"/>
        </w:rPr>
        <w:drawing>
          <wp:inline distT="0" distB="0" distL="0" distR="0" wp14:anchorId="6AB7F800" wp14:editId="2EB20DF0">
            <wp:extent cx="6120130" cy="3057854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57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911" w:rsidRPr="00433911" w:rsidRDefault="00433911" w:rsidP="00433911">
      <w:pPr>
        <w:pStyle w:val="a8"/>
        <w:spacing w:after="0" w:line="36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Рисунок </w:t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SEQ Рисунок \* ARABIC </w:instrText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4339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- Официальный сайт Правительства Хабаровского края</w:t>
      </w:r>
    </w:p>
    <w:p w:rsidR="00C9126E" w:rsidRDefault="00C9126E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9126E" w:rsidRDefault="00C9126E" w:rsidP="00C912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Хабаровского края от 02.05.2012 №139-пр была утверждена Г</w:t>
      </w:r>
      <w:r w:rsidRPr="00C9126E">
        <w:rPr>
          <w:rFonts w:ascii="Times New Roman" w:hAnsi="Times New Roman" w:cs="Times New Roman"/>
          <w:sz w:val="28"/>
        </w:rPr>
        <w:t xml:space="preserve">осударственная целевая программа </w:t>
      </w:r>
      <w:r w:rsidR="00093C14">
        <w:rPr>
          <w:rFonts w:ascii="Times New Roman" w:hAnsi="Times New Roman" w:cs="Times New Roman"/>
          <w:sz w:val="28"/>
        </w:rPr>
        <w:t>Х</w:t>
      </w:r>
      <w:r w:rsidRPr="00C9126E">
        <w:rPr>
          <w:rFonts w:ascii="Times New Roman" w:hAnsi="Times New Roman" w:cs="Times New Roman"/>
          <w:sz w:val="28"/>
        </w:rPr>
        <w:t>абаровского края</w:t>
      </w:r>
      <w:r>
        <w:rPr>
          <w:rFonts w:ascii="Times New Roman" w:hAnsi="Times New Roman" w:cs="Times New Roman"/>
          <w:sz w:val="28"/>
        </w:rPr>
        <w:t xml:space="preserve"> "Р</w:t>
      </w:r>
      <w:r w:rsidRPr="00C9126E">
        <w:rPr>
          <w:rFonts w:ascii="Times New Roman" w:hAnsi="Times New Roman" w:cs="Times New Roman"/>
          <w:sz w:val="28"/>
        </w:rPr>
        <w:t>азви</w:t>
      </w:r>
      <w:r>
        <w:rPr>
          <w:rFonts w:ascii="Times New Roman" w:hAnsi="Times New Roman" w:cs="Times New Roman"/>
          <w:sz w:val="28"/>
        </w:rPr>
        <w:t>тие информационного общества в Х</w:t>
      </w:r>
      <w:r w:rsidRPr="00C9126E">
        <w:rPr>
          <w:rFonts w:ascii="Times New Roman" w:hAnsi="Times New Roman" w:cs="Times New Roman"/>
          <w:sz w:val="28"/>
        </w:rPr>
        <w:t>абаровском</w:t>
      </w:r>
      <w:r>
        <w:rPr>
          <w:rFonts w:ascii="Times New Roman" w:hAnsi="Times New Roman" w:cs="Times New Roman"/>
          <w:sz w:val="28"/>
        </w:rPr>
        <w:t xml:space="preserve"> </w:t>
      </w:r>
      <w:r w:rsidRPr="00C9126E">
        <w:rPr>
          <w:rFonts w:ascii="Times New Roman" w:hAnsi="Times New Roman" w:cs="Times New Roman"/>
          <w:sz w:val="28"/>
        </w:rPr>
        <w:t>Крае на 2012 - 2020 годы"</w:t>
      </w:r>
      <w:r>
        <w:rPr>
          <w:rFonts w:ascii="Times New Roman" w:hAnsi="Times New Roman" w:cs="Times New Roman"/>
          <w:sz w:val="28"/>
        </w:rPr>
        <w:t>.</w:t>
      </w:r>
    </w:p>
    <w:p w:rsidR="00093C14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Основными целями Программы я</w:t>
      </w:r>
      <w:r>
        <w:rPr>
          <w:rFonts w:ascii="Times New Roman" w:hAnsi="Times New Roman" w:cs="Times New Roman"/>
          <w:sz w:val="28"/>
        </w:rPr>
        <w:t>вляются формирование единого ин</w:t>
      </w:r>
      <w:r w:rsidRPr="00093C14">
        <w:rPr>
          <w:rFonts w:ascii="Times New Roman" w:hAnsi="Times New Roman" w:cs="Times New Roman"/>
          <w:sz w:val="28"/>
        </w:rPr>
        <w:t>формационного пространства края и получение гражданами и организациями</w:t>
      </w:r>
      <w:r>
        <w:rPr>
          <w:rFonts w:ascii="Times New Roman" w:hAnsi="Times New Roman" w:cs="Times New Roman"/>
          <w:sz w:val="28"/>
        </w:rPr>
        <w:t xml:space="preserve"> </w:t>
      </w:r>
      <w:r w:rsidRPr="00093C14">
        <w:rPr>
          <w:rFonts w:ascii="Times New Roman" w:hAnsi="Times New Roman" w:cs="Times New Roman"/>
          <w:sz w:val="28"/>
        </w:rPr>
        <w:lastRenderedPageBreak/>
        <w:t>преимуществ от применения информационных и телекоммуникационных</w:t>
      </w:r>
      <w:r>
        <w:rPr>
          <w:rFonts w:ascii="Times New Roman" w:hAnsi="Times New Roman" w:cs="Times New Roman"/>
          <w:sz w:val="28"/>
        </w:rPr>
        <w:t xml:space="preserve"> </w:t>
      </w:r>
      <w:r w:rsidRPr="00093C14">
        <w:rPr>
          <w:rFonts w:ascii="Times New Roman" w:hAnsi="Times New Roman" w:cs="Times New Roman"/>
          <w:sz w:val="28"/>
        </w:rPr>
        <w:t>технологий.</w:t>
      </w:r>
    </w:p>
    <w:p w:rsidR="00093C14" w:rsidRPr="00093C14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 xml:space="preserve">Для достижения перечисленных целей </w:t>
      </w:r>
      <w:r>
        <w:rPr>
          <w:rFonts w:ascii="Times New Roman" w:hAnsi="Times New Roman" w:cs="Times New Roman"/>
          <w:sz w:val="28"/>
        </w:rPr>
        <w:t>программой предусмотрено  обеспечение выпол</w:t>
      </w:r>
      <w:r w:rsidRPr="00093C14">
        <w:rPr>
          <w:rFonts w:ascii="Times New Roman" w:hAnsi="Times New Roman" w:cs="Times New Roman"/>
          <w:sz w:val="28"/>
        </w:rPr>
        <w:t>нени</w:t>
      </w:r>
      <w:r>
        <w:rPr>
          <w:rFonts w:ascii="Times New Roman" w:hAnsi="Times New Roman" w:cs="Times New Roman"/>
          <w:sz w:val="28"/>
        </w:rPr>
        <w:t>я</w:t>
      </w:r>
      <w:r w:rsidRPr="00093C14">
        <w:rPr>
          <w:rFonts w:ascii="Times New Roman" w:hAnsi="Times New Roman" w:cs="Times New Roman"/>
          <w:sz w:val="28"/>
        </w:rPr>
        <w:t xml:space="preserve"> следующих задач:</w:t>
      </w:r>
    </w:p>
    <w:p w:rsidR="00093C14" w:rsidRP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создание и развитие систем электронного правительства для получения населением и организациями края государственных и муниципальных услуг и обеспечения информационной открытости деятельности органов исполнительной власти и местного самоуправления;</w:t>
      </w:r>
    </w:p>
    <w:p w:rsidR="00093C14" w:rsidRP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 xml:space="preserve">создание и развитие систем электронного правительства для повышения </w:t>
      </w:r>
      <w:proofErr w:type="gramStart"/>
      <w:r w:rsidRPr="00093C14">
        <w:rPr>
          <w:rFonts w:ascii="Times New Roman" w:hAnsi="Times New Roman" w:cs="Times New Roman"/>
          <w:sz w:val="28"/>
        </w:rPr>
        <w:t>эффективности деятельности органов исполнительной власти края</w:t>
      </w:r>
      <w:proofErr w:type="gramEnd"/>
      <w:r w:rsidRPr="00093C14">
        <w:rPr>
          <w:rFonts w:ascii="Times New Roman" w:hAnsi="Times New Roman" w:cs="Times New Roman"/>
          <w:sz w:val="28"/>
        </w:rPr>
        <w:t xml:space="preserve"> и местного самоуправления;</w:t>
      </w:r>
    </w:p>
    <w:p w:rsidR="00093C14" w:rsidRP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создание и развитие ведомственных информационных систем и информационных систем общего назначения органов исполнительной власти края;</w:t>
      </w:r>
    </w:p>
    <w:p w:rsidR="00093C14" w:rsidRP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обеспечение максимального охвата населенных пунктов края телекоммуникационными услугами;</w:t>
      </w:r>
    </w:p>
    <w:p w:rsidR="00093C14" w:rsidRP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обеспечение телекоммуникационного присутствия на основных автотранспортных магистралях и туристических маршрутах края;</w:t>
      </w:r>
    </w:p>
    <w:p w:rsidR="00093C14" w:rsidRDefault="00093C14" w:rsidP="00093C14">
      <w:pPr>
        <w:pStyle w:val="a5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93C14">
        <w:rPr>
          <w:rFonts w:ascii="Times New Roman" w:hAnsi="Times New Roman" w:cs="Times New Roman"/>
          <w:sz w:val="28"/>
        </w:rPr>
        <w:t>создание и развитие инфраструктуры, обеспечивающей информатизацию основных направлений деятельности архивных учреждений края.</w:t>
      </w:r>
    </w:p>
    <w:p w:rsidR="004168F5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68F5">
        <w:rPr>
          <w:rFonts w:ascii="Times New Roman" w:hAnsi="Times New Roman" w:cs="Times New Roman"/>
          <w:sz w:val="28"/>
        </w:rPr>
        <w:t>Программу предполагается реализовать в один этап в течение 2012 –2020 годов.</w:t>
      </w:r>
    </w:p>
    <w:p w:rsidR="004168F5" w:rsidRPr="004168F5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дана х</w:t>
      </w:r>
      <w:r w:rsidRPr="004168F5">
        <w:rPr>
          <w:rFonts w:ascii="Times New Roman" w:hAnsi="Times New Roman" w:cs="Times New Roman"/>
          <w:sz w:val="28"/>
        </w:rPr>
        <w:t>арактеристика текущего состояния развития информационного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4168F5">
        <w:rPr>
          <w:rFonts w:ascii="Times New Roman" w:hAnsi="Times New Roman" w:cs="Times New Roman"/>
          <w:sz w:val="28"/>
        </w:rPr>
        <w:t>общества в Хабаровском крае</w:t>
      </w:r>
      <w:r>
        <w:rPr>
          <w:rFonts w:ascii="Times New Roman" w:hAnsi="Times New Roman" w:cs="Times New Roman"/>
          <w:sz w:val="28"/>
        </w:rPr>
        <w:t xml:space="preserve">, проанализированы показатели развития информационного общества в крае, а также </w:t>
      </w:r>
      <w:proofErr w:type="gramStart"/>
      <w:r>
        <w:rPr>
          <w:rFonts w:ascii="Times New Roman" w:hAnsi="Times New Roman" w:cs="Times New Roman"/>
          <w:sz w:val="28"/>
        </w:rPr>
        <w:t>проведен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4168F5">
        <w:rPr>
          <w:rFonts w:ascii="Times New Roman" w:hAnsi="Times New Roman" w:cs="Times New Roman"/>
          <w:sz w:val="28"/>
        </w:rPr>
        <w:t>SWOT-анализ факторов развития информационного общества в крае</w:t>
      </w:r>
      <w:r>
        <w:rPr>
          <w:rFonts w:ascii="Times New Roman" w:hAnsi="Times New Roman" w:cs="Times New Roman"/>
          <w:sz w:val="28"/>
        </w:rPr>
        <w:t xml:space="preserve"> (сильные и слабые стороны).</w:t>
      </w:r>
    </w:p>
    <w:p w:rsidR="004168F5" w:rsidRPr="004168F5" w:rsidRDefault="004168F5" w:rsidP="004168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3C14" w:rsidRPr="00093C14" w:rsidRDefault="00093C14" w:rsidP="00093C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AC2" w:rsidRPr="005A05FC" w:rsidRDefault="00966AC2" w:rsidP="005A05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014778" w:rsidRDefault="00014778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014778" w:rsidRPr="00E40D1F" w:rsidRDefault="00014778" w:rsidP="000147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40D1F">
        <w:rPr>
          <w:rFonts w:ascii="Times New Roman" w:hAnsi="Times New Roman" w:cs="Times New Roman"/>
          <w:sz w:val="28"/>
          <w:szCs w:val="28"/>
        </w:rPr>
        <w:t>одводя итоги, можно сделать седлающие выводы:</w:t>
      </w:r>
    </w:p>
    <w:p w:rsidR="0001477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1F">
        <w:rPr>
          <w:rFonts w:ascii="Times New Roman" w:hAnsi="Times New Roman" w:cs="Times New Roman"/>
          <w:sz w:val="28"/>
          <w:szCs w:val="28"/>
        </w:rPr>
        <w:t>Институт развития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информационного общества </w:t>
      </w:r>
      <w:r w:rsidRPr="00E40D1F">
        <w:rPr>
          <w:rFonts w:ascii="Times New Roman" w:hAnsi="Times New Roman" w:cs="Times New Roman"/>
          <w:sz w:val="28"/>
          <w:szCs w:val="28"/>
        </w:rPr>
        <w:t xml:space="preserve"> - независимая исследовательская и сервисная организация, созданная 7 сентября 1998 г. по инициативе известных специалистов в сфере информационных технологий, телекоммуникаций и информационной политики, объединенных идеей развития информационного общества в России. </w:t>
      </w:r>
    </w:p>
    <w:p w:rsidR="0001477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1F">
        <w:rPr>
          <w:rFonts w:ascii="Times New Roman" w:hAnsi="Times New Roman" w:cs="Times New Roman"/>
          <w:sz w:val="28"/>
          <w:szCs w:val="28"/>
        </w:rPr>
        <w:t>Индекс готовности регионов России к информационному обществу представляет собой измеритель степени подготовленности регионов к широкомасштабному использованию ИКТ для социально-экономического развития. Он рассчитывается на основе показателей, характеризующих факторы развития информационного общества, а также использование ИКТ в шести областях (государственное и муниципальное управление, образование, здравоохранение, бизнес, культура, домохозяйства).</w:t>
      </w:r>
    </w:p>
    <w:p w:rsidR="00014778" w:rsidRPr="00E40D1F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D1F">
        <w:rPr>
          <w:rFonts w:ascii="Times New Roman" w:hAnsi="Times New Roman" w:cs="Times New Roman"/>
          <w:sz w:val="28"/>
          <w:szCs w:val="28"/>
        </w:rPr>
        <w:t>Инде</w:t>
      </w:r>
      <w:proofErr w:type="gramStart"/>
      <w:r w:rsidRPr="00E40D1F"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 w:rsidRPr="00E40D1F">
        <w:rPr>
          <w:rFonts w:ascii="Times New Roman" w:hAnsi="Times New Roman" w:cs="Times New Roman"/>
          <w:sz w:val="28"/>
          <w:szCs w:val="28"/>
        </w:rPr>
        <w:t>оится на основе агрегирования значений показателей, причем агрегирование происходит на нескольких уровнях, позволяя строить рейтинги регионов по отдельным направлениям и факторам развития информационного общества с различной степенью детализации.</w:t>
      </w:r>
    </w:p>
    <w:p w:rsidR="0001477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 международной практике известны следующие индексы (рейтинги): </w:t>
      </w:r>
      <w:r w:rsidRPr="00A0669B">
        <w:rPr>
          <w:rFonts w:ascii="Times New Roman" w:hAnsi="Times New Roman" w:cs="Times New Roman"/>
          <w:bCs/>
          <w:sz w:val="28"/>
        </w:rPr>
        <w:t>Индекс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сетевой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готовности</w:t>
      </w:r>
      <w:r w:rsidRPr="00E40D1F">
        <w:rPr>
          <w:rFonts w:ascii="Times New Roman" w:hAnsi="Times New Roman" w:cs="Times New Roman"/>
          <w:bCs/>
          <w:sz w:val="28"/>
        </w:rPr>
        <w:t xml:space="preserve"> (</w:t>
      </w:r>
      <w:r w:rsidRPr="00A0669B">
        <w:rPr>
          <w:rFonts w:ascii="Times New Roman" w:hAnsi="Times New Roman" w:cs="Times New Roman"/>
          <w:bCs/>
          <w:sz w:val="28"/>
          <w:lang w:val="en-US"/>
        </w:rPr>
        <w:t>Networked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Readiness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Index</w:t>
      </w:r>
      <w:r w:rsidRPr="00E40D1F">
        <w:rPr>
          <w:rFonts w:ascii="Times New Roman" w:hAnsi="Times New Roman" w:cs="Times New Roman"/>
          <w:bCs/>
          <w:sz w:val="28"/>
        </w:rPr>
        <w:t xml:space="preserve"> - </w:t>
      </w:r>
      <w:r w:rsidRPr="00A0669B">
        <w:rPr>
          <w:rFonts w:ascii="Times New Roman" w:hAnsi="Times New Roman" w:cs="Times New Roman"/>
          <w:bCs/>
          <w:sz w:val="28"/>
          <w:lang w:val="en-US"/>
        </w:rPr>
        <w:t>NRI</w:t>
      </w:r>
      <w:r w:rsidRPr="00E40D1F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A0669B">
        <w:rPr>
          <w:rFonts w:ascii="Times New Roman" w:hAnsi="Times New Roman" w:cs="Times New Roman"/>
          <w:bCs/>
          <w:sz w:val="28"/>
        </w:rPr>
        <w:t>Индекс развития электронного правительства ООН (E-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Government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Development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A0669B">
        <w:rPr>
          <w:rFonts w:ascii="Times New Roman" w:hAnsi="Times New Roman" w:cs="Times New Roman"/>
          <w:bCs/>
          <w:sz w:val="28"/>
        </w:rPr>
        <w:t>Index</w:t>
      </w:r>
      <w:proofErr w:type="spellEnd"/>
      <w:r w:rsidRPr="00A0669B">
        <w:rPr>
          <w:rFonts w:ascii="Times New Roman" w:hAnsi="Times New Roman" w:cs="Times New Roman"/>
          <w:bCs/>
          <w:sz w:val="28"/>
        </w:rPr>
        <w:t xml:space="preserve"> - EGDI)</w:t>
      </w:r>
      <w:r>
        <w:rPr>
          <w:rFonts w:ascii="Times New Roman" w:hAnsi="Times New Roman" w:cs="Times New Roman"/>
          <w:bCs/>
          <w:sz w:val="28"/>
        </w:rPr>
        <w:t xml:space="preserve">, </w:t>
      </w:r>
      <w:r w:rsidRPr="00A0669B">
        <w:rPr>
          <w:rFonts w:ascii="Times New Roman" w:hAnsi="Times New Roman" w:cs="Times New Roman"/>
          <w:bCs/>
          <w:sz w:val="28"/>
        </w:rPr>
        <w:t>Индекс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развития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</w:rPr>
        <w:t>ИКТ</w:t>
      </w:r>
      <w:r w:rsidRPr="00E40D1F">
        <w:rPr>
          <w:rFonts w:ascii="Times New Roman" w:hAnsi="Times New Roman" w:cs="Times New Roman"/>
          <w:bCs/>
          <w:sz w:val="28"/>
        </w:rPr>
        <w:t xml:space="preserve"> (</w:t>
      </w:r>
      <w:r w:rsidRPr="00A0669B">
        <w:rPr>
          <w:rFonts w:ascii="Times New Roman" w:hAnsi="Times New Roman" w:cs="Times New Roman"/>
          <w:bCs/>
          <w:sz w:val="28"/>
          <w:lang w:val="en-US"/>
        </w:rPr>
        <w:t>ICT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Development</w:t>
      </w:r>
      <w:r w:rsidRPr="00E40D1F">
        <w:rPr>
          <w:rFonts w:ascii="Times New Roman" w:hAnsi="Times New Roman" w:cs="Times New Roman"/>
          <w:bCs/>
          <w:sz w:val="28"/>
        </w:rPr>
        <w:t xml:space="preserve"> </w:t>
      </w:r>
      <w:r w:rsidRPr="00A0669B">
        <w:rPr>
          <w:rFonts w:ascii="Times New Roman" w:hAnsi="Times New Roman" w:cs="Times New Roman"/>
          <w:bCs/>
          <w:sz w:val="28"/>
          <w:lang w:val="en-US"/>
        </w:rPr>
        <w:t>Index</w:t>
      </w:r>
      <w:r w:rsidRPr="00E40D1F">
        <w:rPr>
          <w:rFonts w:ascii="Times New Roman" w:hAnsi="Times New Roman" w:cs="Times New Roman"/>
          <w:bCs/>
          <w:sz w:val="28"/>
        </w:rPr>
        <w:t xml:space="preserve"> - </w:t>
      </w:r>
      <w:r w:rsidRPr="00A0669B">
        <w:rPr>
          <w:rFonts w:ascii="Times New Roman" w:hAnsi="Times New Roman" w:cs="Times New Roman"/>
          <w:bCs/>
          <w:sz w:val="28"/>
          <w:lang w:val="en-US"/>
        </w:rPr>
        <w:t>IDI</w:t>
      </w:r>
      <w:r w:rsidRPr="00E40D1F">
        <w:rPr>
          <w:rFonts w:ascii="Times New Roman" w:hAnsi="Times New Roman" w:cs="Times New Roman"/>
          <w:bCs/>
          <w:sz w:val="28"/>
        </w:rPr>
        <w:t>)</w:t>
      </w:r>
      <w:r>
        <w:rPr>
          <w:rFonts w:ascii="Times New Roman" w:hAnsi="Times New Roman" w:cs="Times New Roman"/>
          <w:bCs/>
          <w:sz w:val="28"/>
        </w:rPr>
        <w:t>.</w:t>
      </w:r>
    </w:p>
    <w:p w:rsidR="00014778" w:rsidRPr="00A0669B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Значение И</w:t>
      </w:r>
      <w:r w:rsidRPr="00162A1C">
        <w:rPr>
          <w:rFonts w:ascii="Times New Roman" w:hAnsi="Times New Roman" w:cs="Times New Roman"/>
          <w:sz w:val="28"/>
        </w:rPr>
        <w:t>ндекс</w:t>
      </w:r>
      <w:r>
        <w:rPr>
          <w:rFonts w:ascii="Times New Roman" w:hAnsi="Times New Roman" w:cs="Times New Roman"/>
          <w:sz w:val="28"/>
        </w:rPr>
        <w:t>а</w:t>
      </w:r>
      <w:r w:rsidRPr="00162A1C">
        <w:rPr>
          <w:rFonts w:ascii="Times New Roman" w:hAnsi="Times New Roman" w:cs="Times New Roman"/>
          <w:sz w:val="28"/>
        </w:rPr>
        <w:t xml:space="preserve"> готовности</w:t>
      </w:r>
      <w:r>
        <w:rPr>
          <w:rFonts w:ascii="Times New Roman" w:hAnsi="Times New Roman" w:cs="Times New Roman"/>
          <w:sz w:val="28"/>
        </w:rPr>
        <w:t xml:space="preserve"> регионов к информационному обществу в Хабаровском крае увеличился с 0,502 в 2011 году до 0,515 в 2014 году, это положительно характеризует информационное развитие данного региона </w:t>
      </w:r>
    </w:p>
    <w:p w:rsidR="00014778" w:rsidRPr="00E40D1F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0D1F">
        <w:rPr>
          <w:rFonts w:ascii="Times New Roman" w:hAnsi="Times New Roman" w:cs="Times New Roman"/>
          <w:sz w:val="28"/>
        </w:rPr>
        <w:t>К сильным сторонам Хабаровского края можно отнести высокую долю школ, имеющих электронную библиотеку</w:t>
      </w:r>
      <w:r>
        <w:rPr>
          <w:rFonts w:ascii="Times New Roman" w:hAnsi="Times New Roman" w:cs="Times New Roman"/>
          <w:sz w:val="28"/>
        </w:rPr>
        <w:t xml:space="preserve"> (99,5%)</w:t>
      </w:r>
      <w:r w:rsidRPr="00E40D1F">
        <w:rPr>
          <w:rFonts w:ascii="Times New Roman" w:hAnsi="Times New Roman" w:cs="Times New Roman"/>
          <w:sz w:val="28"/>
        </w:rPr>
        <w:t>, высокую долю предприятий, имеющих ЛВС</w:t>
      </w:r>
      <w:r>
        <w:rPr>
          <w:rFonts w:ascii="Times New Roman" w:hAnsi="Times New Roman" w:cs="Times New Roman"/>
          <w:sz w:val="28"/>
        </w:rPr>
        <w:t xml:space="preserve"> (88,23%)</w:t>
      </w:r>
      <w:r w:rsidRPr="00E40D1F">
        <w:rPr>
          <w:rFonts w:ascii="Times New Roman" w:hAnsi="Times New Roman" w:cs="Times New Roman"/>
          <w:sz w:val="28"/>
        </w:rPr>
        <w:t>, высокую долю организаций, использующих интернет для получения информации о деятельности органов управления</w:t>
      </w:r>
      <w:r>
        <w:rPr>
          <w:rFonts w:ascii="Times New Roman" w:hAnsi="Times New Roman" w:cs="Times New Roman"/>
          <w:sz w:val="28"/>
        </w:rPr>
        <w:t xml:space="preserve"> (70,09%)</w:t>
      </w:r>
      <w:r w:rsidRPr="00E40D1F">
        <w:rPr>
          <w:rFonts w:ascii="Times New Roman" w:hAnsi="Times New Roman" w:cs="Times New Roman"/>
          <w:sz w:val="28"/>
        </w:rPr>
        <w:t>.</w:t>
      </w:r>
    </w:p>
    <w:p w:rsidR="0001477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0D1F">
        <w:rPr>
          <w:rFonts w:ascii="Times New Roman" w:hAnsi="Times New Roman" w:cs="Times New Roman"/>
          <w:sz w:val="28"/>
        </w:rPr>
        <w:lastRenderedPageBreak/>
        <w:t>К слабым сторонам относятся: низкая доля ОМС, имеющих доступ к интернету со скоростью 10 Мбит/сек и выше</w:t>
      </w:r>
      <w:r>
        <w:rPr>
          <w:rFonts w:ascii="Times New Roman" w:hAnsi="Times New Roman" w:cs="Times New Roman"/>
          <w:sz w:val="28"/>
        </w:rPr>
        <w:t xml:space="preserve"> (11,15%)</w:t>
      </w:r>
      <w:r w:rsidRPr="00E40D1F">
        <w:rPr>
          <w:rFonts w:ascii="Times New Roman" w:hAnsi="Times New Roman" w:cs="Times New Roman"/>
          <w:sz w:val="28"/>
        </w:rPr>
        <w:t>, низкая доля ОГВ, использующих автоматический обмен данными с информационными системами других организаций</w:t>
      </w:r>
      <w:r>
        <w:rPr>
          <w:rFonts w:ascii="Times New Roman" w:hAnsi="Times New Roman" w:cs="Times New Roman"/>
          <w:sz w:val="28"/>
        </w:rPr>
        <w:t xml:space="preserve"> (19,35%).</w:t>
      </w:r>
    </w:p>
    <w:p w:rsidR="0001477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Значения Индекса Хабаровского края значительно превышают неаналогичные показатели близлежащих регионов (сравнение проведено с Амурской областью и Приморским краем) на протяжении всего рассматриваемого периода 2011 – 2014 гг., при этом наблюдается тенденция к их увеличению, что положительно характеризует регион с точки зрения готовности к информационному обществу.</w:t>
      </w:r>
    </w:p>
    <w:p w:rsidR="00014778" w:rsidRDefault="00014778" w:rsidP="0001477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80A60">
        <w:rPr>
          <w:rFonts w:ascii="Times New Roman" w:hAnsi="Times New Roman" w:cs="Times New Roman"/>
          <w:bCs/>
          <w:sz w:val="28"/>
        </w:rPr>
        <w:t>Информационное неравенство регионов (разрыв)</w:t>
      </w:r>
      <w:r w:rsidRPr="00280A60">
        <w:rPr>
          <w:rFonts w:ascii="Times New Roman" w:hAnsi="Times New Roman" w:cs="Times New Roman"/>
          <w:sz w:val="28"/>
        </w:rPr>
        <w:t> </w:t>
      </w:r>
      <w:r w:rsidRPr="00280A60">
        <w:rPr>
          <w:rFonts w:ascii="Times New Roman" w:hAnsi="Times New Roman" w:cs="Times New Roman"/>
          <w:bCs/>
          <w:sz w:val="28"/>
        </w:rPr>
        <w:t>представляет собой ситуацию, когда у какой-либо группы людей отсутствует возможность доступа к современным информационным технологиям</w:t>
      </w:r>
      <w:r w:rsidRPr="00280A6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280A60">
        <w:rPr>
          <w:rFonts w:ascii="Times New Roman" w:hAnsi="Times New Roman" w:cs="Times New Roman"/>
          <w:sz w:val="28"/>
        </w:rPr>
        <w:t>рассчитывается как отношение максимального значения показателя/индекса у субъектов РФ к наименьшему ненулевому его значению</w:t>
      </w:r>
      <w:r>
        <w:rPr>
          <w:rFonts w:ascii="Times New Roman" w:hAnsi="Times New Roman" w:cs="Times New Roman"/>
          <w:sz w:val="28"/>
        </w:rPr>
        <w:t>.</w:t>
      </w:r>
    </w:p>
    <w:p w:rsidR="00014778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Официальный сайт правительства Хабаровского края содержит всю необходимую информацию о развитии региона, которая может быть полезна гражданам, СМИ и любым другим заинтересованным группам населения (организациям).</w:t>
      </w:r>
    </w:p>
    <w:p w:rsidR="00014778" w:rsidRDefault="0083476E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014778">
        <w:rPr>
          <w:rFonts w:ascii="Times New Roman" w:hAnsi="Times New Roman" w:cs="Times New Roman"/>
          <w:sz w:val="28"/>
        </w:rPr>
        <w:t xml:space="preserve"> Хабаровском крае создана и действует Программа развития информационного общества в крае на период 2012-2020 гг., основной </w:t>
      </w:r>
      <w:proofErr w:type="gramStart"/>
      <w:r w:rsidR="00014778">
        <w:rPr>
          <w:rFonts w:ascii="Times New Roman" w:hAnsi="Times New Roman" w:cs="Times New Roman"/>
          <w:sz w:val="28"/>
        </w:rPr>
        <w:t>целью</w:t>
      </w:r>
      <w:proofErr w:type="gramEnd"/>
      <w:r w:rsidR="00014778">
        <w:rPr>
          <w:rFonts w:ascii="Times New Roman" w:hAnsi="Times New Roman" w:cs="Times New Roman"/>
          <w:sz w:val="28"/>
        </w:rPr>
        <w:t xml:space="preserve"> которой </w:t>
      </w:r>
      <w:r w:rsidR="00014778" w:rsidRPr="00093C14">
        <w:rPr>
          <w:rFonts w:ascii="Times New Roman" w:hAnsi="Times New Roman" w:cs="Times New Roman"/>
          <w:sz w:val="28"/>
        </w:rPr>
        <w:t>я</w:t>
      </w:r>
      <w:r w:rsidR="00014778">
        <w:rPr>
          <w:rFonts w:ascii="Times New Roman" w:hAnsi="Times New Roman" w:cs="Times New Roman"/>
          <w:sz w:val="28"/>
        </w:rPr>
        <w:t>вляются формирование единого ин</w:t>
      </w:r>
      <w:r w:rsidR="00014778" w:rsidRPr="00093C14">
        <w:rPr>
          <w:rFonts w:ascii="Times New Roman" w:hAnsi="Times New Roman" w:cs="Times New Roman"/>
          <w:sz w:val="28"/>
        </w:rPr>
        <w:t>формационного пространства края и получение гражданами и организациями</w:t>
      </w:r>
      <w:r w:rsidR="00014778">
        <w:rPr>
          <w:rFonts w:ascii="Times New Roman" w:hAnsi="Times New Roman" w:cs="Times New Roman"/>
          <w:sz w:val="28"/>
        </w:rPr>
        <w:t xml:space="preserve"> </w:t>
      </w:r>
      <w:r w:rsidR="00014778" w:rsidRPr="00093C14">
        <w:rPr>
          <w:rFonts w:ascii="Times New Roman" w:hAnsi="Times New Roman" w:cs="Times New Roman"/>
          <w:sz w:val="28"/>
        </w:rPr>
        <w:t>преимуществ от применения информационных и телекоммуникационных</w:t>
      </w:r>
      <w:r w:rsidR="00014778">
        <w:rPr>
          <w:rFonts w:ascii="Times New Roman" w:hAnsi="Times New Roman" w:cs="Times New Roman"/>
          <w:sz w:val="28"/>
        </w:rPr>
        <w:t xml:space="preserve"> </w:t>
      </w:r>
      <w:r w:rsidR="00014778" w:rsidRPr="00093C14">
        <w:rPr>
          <w:rFonts w:ascii="Times New Roman" w:hAnsi="Times New Roman" w:cs="Times New Roman"/>
          <w:sz w:val="28"/>
        </w:rPr>
        <w:t>технологий.</w:t>
      </w:r>
    </w:p>
    <w:p w:rsidR="00014778" w:rsidRPr="00E40D1F" w:rsidRDefault="00014778" w:rsidP="000147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66AC2" w:rsidRDefault="00966AC2" w:rsidP="00966A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966AC2" w:rsidRPr="005A05FC" w:rsidRDefault="00966AC2" w:rsidP="00966A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5A05FC">
        <w:rPr>
          <w:rFonts w:ascii="Times New Roman" w:hAnsi="Times New Roman" w:cs="Times New Roman"/>
          <w:b/>
          <w:sz w:val="28"/>
        </w:rPr>
        <w:lastRenderedPageBreak/>
        <w:t>СПИСО</w:t>
      </w:r>
      <w:r w:rsidR="005A05FC">
        <w:rPr>
          <w:rFonts w:ascii="Times New Roman" w:hAnsi="Times New Roman" w:cs="Times New Roman"/>
          <w:b/>
          <w:sz w:val="28"/>
        </w:rPr>
        <w:t>К</w:t>
      </w:r>
      <w:r w:rsidRPr="005A05FC">
        <w:rPr>
          <w:rFonts w:ascii="Times New Roman" w:hAnsi="Times New Roman" w:cs="Times New Roman"/>
          <w:b/>
          <w:sz w:val="28"/>
        </w:rPr>
        <w:t xml:space="preserve"> ИСПОЛЬЗОВАННЫХ ИСТОЧНИКОВ</w:t>
      </w:r>
    </w:p>
    <w:p w:rsidR="00040E64" w:rsidRDefault="00040E64" w:rsidP="00EA3E2B">
      <w:pPr>
        <w:spacing w:line="360" w:lineRule="auto"/>
      </w:pPr>
    </w:p>
    <w:p w:rsidR="0083476E" w:rsidRDefault="00A32345" w:rsidP="0083476E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BE2A4C" w:rsidRPr="005B4EED">
          <w:rPr>
            <w:rStyle w:val="a9"/>
            <w:rFonts w:ascii="Times New Roman" w:hAnsi="Times New Roman" w:cs="Times New Roman"/>
            <w:sz w:val="28"/>
            <w:szCs w:val="28"/>
          </w:rPr>
          <w:t>http://base.garant.ru</w:t>
        </w:r>
      </w:hyperlink>
    </w:p>
    <w:p w:rsidR="0083476E" w:rsidRPr="0083476E" w:rsidRDefault="00A32345" w:rsidP="0083476E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83476E" w:rsidRPr="0083476E">
          <w:rPr>
            <w:rStyle w:val="a9"/>
            <w:rFonts w:ascii="Times New Roman" w:hAnsi="Times New Roman" w:cs="Times New Roman"/>
            <w:sz w:val="28"/>
            <w:szCs w:val="28"/>
          </w:rPr>
          <w:t>http://eregion.ru</w:t>
        </w:r>
      </w:hyperlink>
    </w:p>
    <w:p w:rsidR="0083476E" w:rsidRDefault="00A32345" w:rsidP="0083476E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AC2B22" w:rsidRPr="005B4EED">
          <w:rPr>
            <w:rStyle w:val="a9"/>
            <w:rFonts w:ascii="Times New Roman" w:hAnsi="Times New Roman" w:cs="Times New Roman"/>
            <w:sz w:val="28"/>
            <w:szCs w:val="28"/>
          </w:rPr>
          <w:t>http://www.iis.ru</w:t>
        </w:r>
      </w:hyperlink>
    </w:p>
    <w:p w:rsidR="0083476E" w:rsidRPr="0083476E" w:rsidRDefault="00A32345" w:rsidP="0083476E">
      <w:pPr>
        <w:pStyle w:val="a5"/>
        <w:numPr>
          <w:ilvl w:val="0"/>
          <w:numId w:val="13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83476E" w:rsidRPr="0083476E">
          <w:rPr>
            <w:rStyle w:val="a9"/>
            <w:rFonts w:ascii="Times New Roman" w:hAnsi="Times New Roman" w:cs="Times New Roman"/>
            <w:sz w:val="28"/>
            <w:szCs w:val="28"/>
          </w:rPr>
          <w:t>https://khabkrai.ru</w:t>
        </w:r>
      </w:hyperlink>
    </w:p>
    <w:sectPr w:rsidR="0083476E" w:rsidRPr="0083476E" w:rsidSect="00EA3E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BF6" w:rsidRDefault="00942BF6" w:rsidP="00942BF6">
      <w:pPr>
        <w:spacing w:after="0" w:line="240" w:lineRule="auto"/>
      </w:pPr>
      <w:r>
        <w:separator/>
      </w:r>
    </w:p>
  </w:endnote>
  <w:endnote w:type="continuationSeparator" w:id="0">
    <w:p w:rsidR="00942BF6" w:rsidRDefault="00942BF6" w:rsidP="0094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BF6" w:rsidRDefault="00942BF6">
    <w:pPr>
      <w:pStyle w:val="ae"/>
      <w:jc w:val="center"/>
    </w:pPr>
  </w:p>
  <w:p w:rsidR="00942BF6" w:rsidRDefault="00942B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BF6" w:rsidRDefault="00942BF6" w:rsidP="00942BF6">
      <w:pPr>
        <w:spacing w:after="0" w:line="240" w:lineRule="auto"/>
      </w:pPr>
      <w:r>
        <w:separator/>
      </w:r>
    </w:p>
  </w:footnote>
  <w:footnote w:type="continuationSeparator" w:id="0">
    <w:p w:rsidR="00942BF6" w:rsidRDefault="00942BF6" w:rsidP="0094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7D7"/>
    <w:multiLevelType w:val="multilevel"/>
    <w:tmpl w:val="BEB81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9EA0E71"/>
    <w:multiLevelType w:val="hybridMultilevel"/>
    <w:tmpl w:val="4C583428"/>
    <w:lvl w:ilvl="0" w:tplc="AEE2B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E6336"/>
    <w:multiLevelType w:val="multilevel"/>
    <w:tmpl w:val="9C26F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90D5E"/>
    <w:multiLevelType w:val="hybridMultilevel"/>
    <w:tmpl w:val="EEEC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D0A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592E27"/>
    <w:multiLevelType w:val="multilevel"/>
    <w:tmpl w:val="B750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75307"/>
    <w:multiLevelType w:val="multilevel"/>
    <w:tmpl w:val="0B0A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C607C6"/>
    <w:multiLevelType w:val="hybridMultilevel"/>
    <w:tmpl w:val="ECC49FB8"/>
    <w:lvl w:ilvl="0" w:tplc="2730AE62">
      <w:start w:val="1"/>
      <w:numFmt w:val="upperRoman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760A43"/>
    <w:multiLevelType w:val="multilevel"/>
    <w:tmpl w:val="B48A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5027E9"/>
    <w:multiLevelType w:val="hybridMultilevel"/>
    <w:tmpl w:val="C360C074"/>
    <w:lvl w:ilvl="0" w:tplc="AEE2B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735C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A192009"/>
    <w:multiLevelType w:val="multilevel"/>
    <w:tmpl w:val="7DD4CF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93E09CD"/>
    <w:multiLevelType w:val="multilevel"/>
    <w:tmpl w:val="38D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0C6F00"/>
    <w:multiLevelType w:val="hybridMultilevel"/>
    <w:tmpl w:val="851E6838"/>
    <w:lvl w:ilvl="0" w:tplc="1FD8F8B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A5751"/>
    <w:multiLevelType w:val="multilevel"/>
    <w:tmpl w:val="1DF8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34611"/>
    <w:multiLevelType w:val="hybridMultilevel"/>
    <w:tmpl w:val="89DAE9F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7200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B7A6B75"/>
    <w:multiLevelType w:val="multilevel"/>
    <w:tmpl w:val="6E122A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D38CB"/>
    <w:multiLevelType w:val="hybridMultilevel"/>
    <w:tmpl w:val="0CA6A28A"/>
    <w:lvl w:ilvl="0" w:tplc="AEE2B1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E825AE"/>
    <w:multiLevelType w:val="multilevel"/>
    <w:tmpl w:val="DD129D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9"/>
  </w:num>
  <w:num w:numId="6">
    <w:abstractNumId w:val="19"/>
  </w:num>
  <w:num w:numId="7">
    <w:abstractNumId w:val="17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5"/>
  </w:num>
  <w:num w:numId="13">
    <w:abstractNumId w:val="3"/>
  </w:num>
  <w:num w:numId="14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</w:num>
  <w:num w:numId="16">
    <w:abstractNumId w:val="4"/>
  </w:num>
  <w:num w:numId="17">
    <w:abstractNumId w:val="16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2B"/>
    <w:rsid w:val="000134C0"/>
    <w:rsid w:val="00014778"/>
    <w:rsid w:val="00040E64"/>
    <w:rsid w:val="00093C14"/>
    <w:rsid w:val="000B2F43"/>
    <w:rsid w:val="001625C4"/>
    <w:rsid w:val="00162A1C"/>
    <w:rsid w:val="001D479B"/>
    <w:rsid w:val="00210B45"/>
    <w:rsid w:val="00280A60"/>
    <w:rsid w:val="002A6C5D"/>
    <w:rsid w:val="002B780E"/>
    <w:rsid w:val="00301595"/>
    <w:rsid w:val="00342416"/>
    <w:rsid w:val="00354F23"/>
    <w:rsid w:val="004168F5"/>
    <w:rsid w:val="00433911"/>
    <w:rsid w:val="00481758"/>
    <w:rsid w:val="00485250"/>
    <w:rsid w:val="004B7739"/>
    <w:rsid w:val="0051171E"/>
    <w:rsid w:val="005502F7"/>
    <w:rsid w:val="00551908"/>
    <w:rsid w:val="00576A61"/>
    <w:rsid w:val="005A05FC"/>
    <w:rsid w:val="005A1106"/>
    <w:rsid w:val="006609D7"/>
    <w:rsid w:val="00672A4C"/>
    <w:rsid w:val="006E02C0"/>
    <w:rsid w:val="006F7511"/>
    <w:rsid w:val="007462D1"/>
    <w:rsid w:val="007A3D7C"/>
    <w:rsid w:val="00804C3F"/>
    <w:rsid w:val="00825864"/>
    <w:rsid w:val="0083476E"/>
    <w:rsid w:val="0088588C"/>
    <w:rsid w:val="00890E05"/>
    <w:rsid w:val="008B050C"/>
    <w:rsid w:val="008B3E26"/>
    <w:rsid w:val="00942BF6"/>
    <w:rsid w:val="009666A3"/>
    <w:rsid w:val="00966AC2"/>
    <w:rsid w:val="009710C7"/>
    <w:rsid w:val="009942CC"/>
    <w:rsid w:val="00A0669B"/>
    <w:rsid w:val="00A15256"/>
    <w:rsid w:val="00A2607A"/>
    <w:rsid w:val="00A32345"/>
    <w:rsid w:val="00A6315E"/>
    <w:rsid w:val="00AC09A2"/>
    <w:rsid w:val="00AC2B22"/>
    <w:rsid w:val="00AE3D1D"/>
    <w:rsid w:val="00B71AC8"/>
    <w:rsid w:val="00B84709"/>
    <w:rsid w:val="00BD1E34"/>
    <w:rsid w:val="00BE2A4C"/>
    <w:rsid w:val="00C60EC2"/>
    <w:rsid w:val="00C6215B"/>
    <w:rsid w:val="00C90AEA"/>
    <w:rsid w:val="00C9126E"/>
    <w:rsid w:val="00CE6D84"/>
    <w:rsid w:val="00D365A5"/>
    <w:rsid w:val="00D41278"/>
    <w:rsid w:val="00D67258"/>
    <w:rsid w:val="00DC2843"/>
    <w:rsid w:val="00E6227E"/>
    <w:rsid w:val="00E71F63"/>
    <w:rsid w:val="00E744D4"/>
    <w:rsid w:val="00EA3E2B"/>
    <w:rsid w:val="00EC3719"/>
    <w:rsid w:val="00F0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B"/>
  </w:style>
  <w:style w:type="paragraph" w:styleId="1">
    <w:name w:val="heading 1"/>
    <w:basedOn w:val="a"/>
    <w:next w:val="a"/>
    <w:link w:val="10"/>
    <w:uiPriority w:val="9"/>
    <w:qFormat/>
    <w:rsid w:val="0030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ементьев_1"/>
    <w:basedOn w:val="1"/>
    <w:qFormat/>
    <w:rsid w:val="00301595"/>
    <w:pPr>
      <w:pageBreakBefore/>
      <w:widowControl w:val="0"/>
      <w:spacing w:before="0" w:after="240" w:line="360" w:lineRule="auto"/>
      <w:jc w:val="center"/>
    </w:pPr>
    <w:rPr>
      <w:rFonts w:ascii="Arial" w:hAnsi="Arial"/>
      <w:caps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30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Дементьев_2"/>
    <w:basedOn w:val="11"/>
    <w:qFormat/>
    <w:rsid w:val="00301595"/>
    <w:pPr>
      <w:keepNext w:val="0"/>
      <w:keepLines w:val="0"/>
      <w:pageBreakBefore w:val="0"/>
      <w:spacing w:after="120"/>
      <w:jc w:val="left"/>
      <w:outlineLvl w:val="1"/>
    </w:pPr>
    <w:rPr>
      <w:b w:val="0"/>
      <w:caps w:val="0"/>
      <w:sz w:val="28"/>
    </w:rPr>
  </w:style>
  <w:style w:type="paragraph" w:customStyle="1" w:styleId="31">
    <w:name w:val="Дементьев_3"/>
    <w:basedOn w:val="21"/>
    <w:qFormat/>
    <w:rsid w:val="00301595"/>
    <w:pPr>
      <w:spacing w:after="0" w:line="480" w:lineRule="auto"/>
      <w:ind w:firstLine="567"/>
      <w:jc w:val="both"/>
      <w:outlineLvl w:val="9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EA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C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E0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066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280A60"/>
    <w:rPr>
      <w:color w:val="808080"/>
    </w:rPr>
  </w:style>
  <w:style w:type="character" w:styleId="ab">
    <w:name w:val="Strong"/>
    <w:basedOn w:val="a0"/>
    <w:uiPriority w:val="22"/>
    <w:qFormat/>
    <w:rsid w:val="00354F23"/>
    <w:rPr>
      <w:b/>
      <w:bCs/>
    </w:rPr>
  </w:style>
  <w:style w:type="paragraph" w:styleId="ac">
    <w:name w:val="header"/>
    <w:basedOn w:val="a"/>
    <w:link w:val="ad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F6"/>
  </w:style>
  <w:style w:type="paragraph" w:styleId="ae">
    <w:name w:val="footer"/>
    <w:basedOn w:val="a"/>
    <w:link w:val="af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2B"/>
  </w:style>
  <w:style w:type="paragraph" w:styleId="1">
    <w:name w:val="heading 1"/>
    <w:basedOn w:val="a"/>
    <w:next w:val="a"/>
    <w:link w:val="10"/>
    <w:uiPriority w:val="9"/>
    <w:qFormat/>
    <w:rsid w:val="00301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21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Дементьев_1"/>
    <w:basedOn w:val="1"/>
    <w:qFormat/>
    <w:rsid w:val="00301595"/>
    <w:pPr>
      <w:pageBreakBefore/>
      <w:widowControl w:val="0"/>
      <w:spacing w:before="0" w:after="240" w:line="360" w:lineRule="auto"/>
      <w:jc w:val="center"/>
    </w:pPr>
    <w:rPr>
      <w:rFonts w:ascii="Arial" w:hAnsi="Arial"/>
      <w:caps/>
      <w:color w:val="auto"/>
      <w:sz w:val="32"/>
    </w:rPr>
  </w:style>
  <w:style w:type="character" w:customStyle="1" w:styleId="10">
    <w:name w:val="Заголовок 1 Знак"/>
    <w:basedOn w:val="a0"/>
    <w:link w:val="1"/>
    <w:uiPriority w:val="9"/>
    <w:rsid w:val="00301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Дементьев_2"/>
    <w:basedOn w:val="11"/>
    <w:qFormat/>
    <w:rsid w:val="00301595"/>
    <w:pPr>
      <w:keepNext w:val="0"/>
      <w:keepLines w:val="0"/>
      <w:pageBreakBefore w:val="0"/>
      <w:spacing w:after="120"/>
      <w:jc w:val="left"/>
      <w:outlineLvl w:val="1"/>
    </w:pPr>
    <w:rPr>
      <w:b w:val="0"/>
      <w:caps w:val="0"/>
      <w:sz w:val="28"/>
    </w:rPr>
  </w:style>
  <w:style w:type="paragraph" w:customStyle="1" w:styleId="31">
    <w:name w:val="Дементьев_3"/>
    <w:basedOn w:val="21"/>
    <w:qFormat/>
    <w:rsid w:val="00301595"/>
    <w:pPr>
      <w:spacing w:after="0" w:line="480" w:lineRule="auto"/>
      <w:ind w:firstLine="567"/>
      <w:jc w:val="both"/>
      <w:outlineLvl w:val="9"/>
    </w:pPr>
    <w:rPr>
      <w:rFonts w:ascii="Times New Roman" w:hAnsi="Times New Roman"/>
      <w:sz w:val="24"/>
    </w:rPr>
  </w:style>
  <w:style w:type="table" w:styleId="a3">
    <w:name w:val="Table Grid"/>
    <w:basedOn w:val="a1"/>
    <w:uiPriority w:val="59"/>
    <w:rsid w:val="00EA3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66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666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10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C0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uiPriority w:val="35"/>
    <w:unhideWhenUsed/>
    <w:qFormat/>
    <w:rsid w:val="006E02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A0669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21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Placeholder Text"/>
    <w:basedOn w:val="a0"/>
    <w:uiPriority w:val="99"/>
    <w:semiHidden/>
    <w:rsid w:val="00280A60"/>
    <w:rPr>
      <w:color w:val="808080"/>
    </w:rPr>
  </w:style>
  <w:style w:type="character" w:styleId="ab">
    <w:name w:val="Strong"/>
    <w:basedOn w:val="a0"/>
    <w:uiPriority w:val="22"/>
    <w:qFormat/>
    <w:rsid w:val="00354F23"/>
    <w:rPr>
      <w:b/>
      <w:bCs/>
    </w:rPr>
  </w:style>
  <w:style w:type="paragraph" w:styleId="ac">
    <w:name w:val="header"/>
    <w:basedOn w:val="a"/>
    <w:link w:val="ad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2BF6"/>
  </w:style>
  <w:style w:type="paragraph" w:styleId="ae">
    <w:name w:val="footer"/>
    <w:basedOn w:val="a"/>
    <w:link w:val="af"/>
    <w:uiPriority w:val="99"/>
    <w:unhideWhenUsed/>
    <w:rsid w:val="00942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base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khabkrai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khabkrai.ru/" TargetMode="External"/><Relationship Id="rId20" Type="http://schemas.openxmlformats.org/officeDocument/2006/relationships/hyperlink" Target="http://www.ii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eregion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РФ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ФО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2011-2012</c:v>
                </c:pt>
                <c:pt idx="1">
                  <c:v>2012-2013</c:v>
                </c:pt>
                <c:pt idx="2">
                  <c:v>2013-2014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910144"/>
        <c:axId val="140571776"/>
      </c:lineChart>
      <c:catAx>
        <c:axId val="1399101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overlay val="0"/>
        </c:title>
        <c:majorTickMark val="out"/>
        <c:minorTickMark val="none"/>
        <c:tickLblPos val="nextTo"/>
        <c:crossAx val="140571776"/>
        <c:crosses val="autoZero"/>
        <c:auto val="1"/>
        <c:lblAlgn val="ctr"/>
        <c:lblOffset val="100"/>
        <c:noMultiLvlLbl val="0"/>
      </c:catAx>
      <c:valAx>
        <c:axId val="1405717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рейтинг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910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CA61-EB18-4C6B-886F-6AF9D93F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dcterms:created xsi:type="dcterms:W3CDTF">2019-01-29T06:02:00Z</dcterms:created>
  <dcterms:modified xsi:type="dcterms:W3CDTF">2019-02-04T07:49:00Z</dcterms:modified>
</cp:coreProperties>
</file>