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6" w:rsidRPr="009233DB" w:rsidRDefault="000454E6" w:rsidP="000454E6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задание по курсу «Финансовый менеджмент»</w:t>
      </w:r>
    </w:p>
    <w:p w:rsidR="000454E6" w:rsidRDefault="000454E6" w:rsidP="000454E6">
      <w:pPr>
        <w:pStyle w:val="a3"/>
      </w:pPr>
      <w:r>
        <w:t xml:space="preserve">Имеются следующие данные о предприятии «А» (балансовый отчет и отчет о прибылях и убытках), а также некоторые среднеотраслевые показатели. Определите аналогичные показатели для предприятия «А». Дайте краткую (0,5 стр.) оценку результатов его финансово-хозяйственной деятельности в сравнении со среднеотраслевыми. </w:t>
      </w:r>
    </w:p>
    <w:p w:rsidR="000454E6" w:rsidRDefault="000454E6" w:rsidP="000454E6">
      <w:pPr>
        <w:pStyle w:val="a3"/>
        <w:jc w:val="right"/>
      </w:pPr>
    </w:p>
    <w:p w:rsidR="000454E6" w:rsidRDefault="000454E6" w:rsidP="000454E6">
      <w:pPr>
        <w:pStyle w:val="a3"/>
        <w:jc w:val="right"/>
      </w:pPr>
      <w:r>
        <w:t>Предприятие «А»</w:t>
      </w:r>
    </w:p>
    <w:p w:rsidR="000454E6" w:rsidRDefault="000454E6" w:rsidP="000454E6">
      <w:pPr>
        <w:pStyle w:val="a3"/>
        <w:jc w:val="center"/>
      </w:pPr>
      <w:r>
        <w:t>Баланс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8"/>
        <w:gridCol w:w="1215"/>
        <w:gridCol w:w="3849"/>
        <w:gridCol w:w="1008"/>
      </w:tblGrid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АКТИВ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ПАССИВ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Оборотные (текущие) активы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Краткосрочные (текущие) пассивы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Денежные средства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12300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Кредиторская задолженность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31500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Дебиторская задолженность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36 000,00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Доходы будущих периодов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Товарно-материальные запасы: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60 800,00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Прочие текущие обязательства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Итого текущие активы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109100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Итого текущие обязательства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58700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Долгосрочные активы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Долгосрочные обязательства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Земля, здания и оборудование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151 000,00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Долгосрочные займы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34000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Итого долгосрочные активы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151 000,00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Итого долгосрочные обязательства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34000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ВСЕГО АКТИВ</w:t>
            </w: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260 100,00</w:t>
            </w: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Собственный капитал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Привилегированные акции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40000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Обыкновенные акции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100000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jc w:val="right"/>
              <w:rPr>
                <w:rFonts w:ascii="Arial" w:hAnsi="Arial"/>
                <w:i/>
                <w:snapToGrid w:val="0"/>
              </w:rPr>
            </w:pP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Нераспределенная прибыль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27400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Итого собственный капитал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167400</w:t>
            </w:r>
          </w:p>
        </w:tc>
      </w:tr>
      <w:tr w:rsidR="000454E6" w:rsidTr="000616D5">
        <w:trPr>
          <w:trHeight w:val="250"/>
        </w:trPr>
        <w:tc>
          <w:tcPr>
            <w:tcW w:w="327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15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49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ВСЕГО ОБЯЗАТЕЛЬСТВА И КАПИТАЛ</w:t>
            </w:r>
          </w:p>
        </w:tc>
        <w:tc>
          <w:tcPr>
            <w:tcW w:w="1008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260100</w:t>
            </w:r>
          </w:p>
        </w:tc>
      </w:tr>
    </w:tbl>
    <w:p w:rsidR="000454E6" w:rsidRDefault="000454E6" w:rsidP="000454E6">
      <w:pPr>
        <w:pStyle w:val="a3"/>
      </w:pPr>
    </w:p>
    <w:p w:rsidR="000454E6" w:rsidRDefault="000454E6" w:rsidP="000454E6">
      <w:pPr>
        <w:pStyle w:val="a3"/>
        <w:jc w:val="right"/>
      </w:pPr>
    </w:p>
    <w:p w:rsidR="000454E6" w:rsidRDefault="000454E6" w:rsidP="000454E6">
      <w:pPr>
        <w:pStyle w:val="a3"/>
        <w:jc w:val="right"/>
      </w:pPr>
      <w:r>
        <w:t>Предприятие «А»</w:t>
      </w:r>
    </w:p>
    <w:p w:rsidR="000454E6" w:rsidRDefault="000454E6" w:rsidP="000454E6">
      <w:pPr>
        <w:pStyle w:val="a3"/>
        <w:jc w:val="center"/>
      </w:pPr>
      <w:r>
        <w:t>Отчет о прибылях и убытках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1119"/>
      </w:tblGrid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Чистый объем продаж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225000,00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Себестоимость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152500,00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Валовая прибыль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72500,00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Операционные расходы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50800,00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Операционная прибыль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21700,00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Проценты к уплате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Прибыль до налога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18800,00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Налог на прибыль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9400,00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ЧИСТАЯ ПРИБЫЛЬ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9400,00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Дивиденды по привилегированным акциям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ЧИСТАЯ ПРИБЫЛЬ К РАСПРЕДЕЛЕНИЮ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5400,00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Чистая прибыль к распределению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5400,00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Дивиденды по обыкновенным акциям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1000,00</w:t>
            </w:r>
          </w:p>
        </w:tc>
      </w:tr>
      <w:tr w:rsidR="000454E6" w:rsidTr="000616D5">
        <w:trPr>
          <w:trHeight w:val="250"/>
          <w:jc w:val="center"/>
        </w:trPr>
        <w:tc>
          <w:tcPr>
            <w:tcW w:w="4195" w:type="dxa"/>
          </w:tcPr>
          <w:p w:rsidR="000454E6" w:rsidRDefault="000454E6" w:rsidP="000616D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Нераспределенная прибыль</w:t>
            </w:r>
          </w:p>
        </w:tc>
        <w:tc>
          <w:tcPr>
            <w:tcW w:w="1119" w:type="dxa"/>
          </w:tcPr>
          <w:p w:rsidR="000454E6" w:rsidRDefault="000454E6" w:rsidP="000616D5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4400,00</w:t>
            </w:r>
          </w:p>
        </w:tc>
      </w:tr>
    </w:tbl>
    <w:p w:rsidR="000454E6" w:rsidRDefault="000454E6" w:rsidP="000454E6">
      <w:pPr>
        <w:pStyle w:val="a3"/>
      </w:pPr>
    </w:p>
    <w:p w:rsidR="000454E6" w:rsidRDefault="000454E6" w:rsidP="000454E6">
      <w:pPr>
        <w:pStyle w:val="PEStylePara2"/>
        <w:rPr>
          <w:rStyle w:val="PEStyleFont4"/>
          <w:rFonts w:ascii="Times New Roman" w:hAnsi="Times New Roman"/>
          <w:b w:val="0"/>
          <w:i w:val="0"/>
          <w:sz w:val="24"/>
        </w:rPr>
      </w:pPr>
      <w:r>
        <w:rPr>
          <w:rStyle w:val="PEStyleFont4"/>
          <w:rFonts w:ascii="Times New Roman" w:hAnsi="Times New Roman"/>
          <w:b w:val="0"/>
          <w:i w:val="0"/>
          <w:sz w:val="24"/>
        </w:rPr>
        <w:t>Среднеотраслевые показатели (коэффициенты)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19"/>
        <w:gridCol w:w="1399"/>
      </w:tblGrid>
      <w:tr w:rsidR="000454E6" w:rsidTr="000616D5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5"/>
                <w:rFonts w:ascii="Times New Roman" w:hAnsi="Times New Roman"/>
                <w:sz w:val="24"/>
              </w:rPr>
            </w:pPr>
            <w:r>
              <w:rPr>
                <w:rStyle w:val="PEStyleFont5"/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5"/>
                <w:rFonts w:ascii="Times New Roman" w:hAnsi="Times New Roman"/>
                <w:sz w:val="24"/>
              </w:rPr>
            </w:pPr>
            <w:r>
              <w:rPr>
                <w:rStyle w:val="PEStyleFont5"/>
                <w:rFonts w:ascii="Times New Roman" w:hAnsi="Times New Roman"/>
                <w:sz w:val="24"/>
              </w:rPr>
              <w:t>Обозначение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5"/>
                <w:rFonts w:ascii="Times New Roman" w:hAnsi="Times New Roman"/>
                <w:sz w:val="24"/>
              </w:rPr>
            </w:pPr>
            <w:r>
              <w:rPr>
                <w:rStyle w:val="PEStyleFont5"/>
                <w:rFonts w:ascii="Times New Roman" w:hAnsi="Times New Roman"/>
                <w:sz w:val="24"/>
              </w:rPr>
              <w:t>Значение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  <w:tcBorders>
              <w:top w:val="nil"/>
            </w:tcBorders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Коэффициент текущей ликвидности</w:t>
            </w:r>
          </w:p>
        </w:tc>
        <w:tc>
          <w:tcPr>
            <w:tcW w:w="1719" w:type="dxa"/>
            <w:tcBorders>
              <w:top w:val="nil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  <w:lang w:val="en-US"/>
              </w:rPr>
              <w:t>CR</w:t>
            </w:r>
          </w:p>
        </w:tc>
        <w:tc>
          <w:tcPr>
            <w:tcW w:w="1399" w:type="dxa"/>
            <w:tcBorders>
              <w:top w:val="nil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2,2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Суммарные обязательства к собственному капиталу (</w:t>
            </w:r>
            <w:r>
              <w:rPr>
                <w:rFonts w:ascii="Times New Roman" w:hAnsi="Times New Roman"/>
                <w:snapToGrid w:val="0"/>
                <w:sz w:val="24"/>
              </w:rPr>
              <w:t>долг / собственный капитал)</w:t>
            </w:r>
          </w:p>
        </w:tc>
        <w:tc>
          <w:tcPr>
            <w:tcW w:w="171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Style w:val="PEStyleFont7"/>
                <w:rFonts w:ascii="Times New Roman" w:hAnsi="Times New Roman"/>
                <w:sz w:val="24"/>
              </w:rPr>
              <w:t>/</w:t>
            </w:r>
            <w:r>
              <w:rPr>
                <w:rStyle w:val="PEStyleFont7"/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39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0,45</w:t>
            </w:r>
          </w:p>
        </w:tc>
      </w:tr>
      <w:tr w:rsidR="000454E6" w:rsidTr="000616D5">
        <w:trPr>
          <w:trHeight w:val="20"/>
          <w:jc w:val="center"/>
        </w:trPr>
        <w:tc>
          <w:tcPr>
            <w:tcW w:w="5637" w:type="dxa"/>
            <w:tcBorders>
              <w:bottom w:val="single" w:sz="4" w:space="0" w:color="auto"/>
            </w:tcBorders>
          </w:tcPr>
          <w:p w:rsidR="000454E6" w:rsidRDefault="000454E6" w:rsidP="000616D5">
            <w:pPr>
              <w:pStyle w:val="a4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Коэффициент покрытия постоянных расходов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FCC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10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Рентабельность продаж</w:t>
            </w:r>
          </w:p>
        </w:tc>
        <w:tc>
          <w:tcPr>
            <w:tcW w:w="171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ROS</w:t>
            </w:r>
            <w:r>
              <w:rPr>
                <w:rStyle w:val="PEStyleFont7"/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39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11,9%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Рентабельность собственного капитала</w:t>
            </w:r>
          </w:p>
        </w:tc>
        <w:tc>
          <w:tcPr>
            <w:tcW w:w="171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ROE</w:t>
            </w:r>
          </w:p>
        </w:tc>
        <w:tc>
          <w:tcPr>
            <w:tcW w:w="139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10,9%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Оборачиваемость ДЗ (дни)</w:t>
            </w:r>
          </w:p>
        </w:tc>
        <w:tc>
          <w:tcPr>
            <w:tcW w:w="171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  <w:lang w:val="en-US"/>
              </w:rPr>
              <w:t>DSO</w:t>
            </w:r>
          </w:p>
        </w:tc>
        <w:tc>
          <w:tcPr>
            <w:tcW w:w="139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56 дней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Оборачиваемость товарных запасов, раз</w:t>
            </w:r>
          </w:p>
        </w:tc>
        <w:tc>
          <w:tcPr>
            <w:tcW w:w="171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  <w:lang w:val="en-US"/>
              </w:rPr>
              <w:t>ITR</w:t>
            </w:r>
          </w:p>
        </w:tc>
        <w:tc>
          <w:tcPr>
            <w:tcW w:w="139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2.8</w:t>
            </w:r>
          </w:p>
        </w:tc>
      </w:tr>
      <w:tr w:rsidR="000454E6" w:rsidTr="000616D5">
        <w:trPr>
          <w:jc w:val="center"/>
        </w:trPr>
        <w:tc>
          <w:tcPr>
            <w:tcW w:w="5637" w:type="dxa"/>
          </w:tcPr>
          <w:p w:rsidR="000454E6" w:rsidRDefault="000454E6" w:rsidP="000616D5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Оборачиваемость активов, раз</w:t>
            </w:r>
          </w:p>
        </w:tc>
        <w:tc>
          <w:tcPr>
            <w:tcW w:w="171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TAT</w:t>
            </w:r>
          </w:p>
        </w:tc>
        <w:tc>
          <w:tcPr>
            <w:tcW w:w="1399" w:type="dxa"/>
          </w:tcPr>
          <w:p w:rsidR="000454E6" w:rsidRDefault="000454E6" w:rsidP="000616D5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1.35</w:t>
            </w:r>
          </w:p>
        </w:tc>
      </w:tr>
    </w:tbl>
    <w:p w:rsidR="000454E6" w:rsidRDefault="000454E6" w:rsidP="000454E6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Рассчитано, как: </w:t>
      </w:r>
      <w:r>
        <w:rPr>
          <w:rFonts w:ascii="Times New Roman" w:hAnsi="Times New Roman"/>
          <w:i/>
          <w:sz w:val="24"/>
          <w:lang w:val="en-US"/>
        </w:rPr>
        <w:t>EBT</w:t>
      </w:r>
      <w:r>
        <w:rPr>
          <w:rFonts w:ascii="Times New Roman" w:hAnsi="Times New Roman"/>
          <w:i/>
          <w:sz w:val="24"/>
        </w:rPr>
        <w:t xml:space="preserve"> / </w:t>
      </w:r>
      <w:r>
        <w:rPr>
          <w:rFonts w:ascii="Times New Roman" w:hAnsi="Times New Roman"/>
          <w:i/>
          <w:sz w:val="24"/>
          <w:lang w:val="en-US"/>
        </w:rPr>
        <w:t>SAL</w:t>
      </w:r>
      <w:r>
        <w:rPr>
          <w:rFonts w:ascii="Times New Roman" w:hAnsi="Times New Roman"/>
          <w:i/>
          <w:sz w:val="24"/>
        </w:rPr>
        <w:t>.</w:t>
      </w:r>
    </w:p>
    <w:p w:rsidR="000454E6" w:rsidRDefault="000454E6" w:rsidP="000454E6">
      <w:pPr>
        <w:pStyle w:val="a3"/>
      </w:pPr>
    </w:p>
    <w:p w:rsidR="00C642DB" w:rsidRDefault="000454E6" w:rsidP="000454E6">
      <w:pPr>
        <w:pStyle w:val="a3"/>
        <w:jc w:val="center"/>
        <w:rPr>
          <w:sz w:val="28"/>
        </w:rPr>
      </w:pPr>
      <w:r>
        <w:rPr>
          <w:position w:val="-30"/>
          <w:sz w:val="28"/>
        </w:rPr>
        <w:object w:dxaOrig="5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33.75pt" o:ole="" fillcolor="window">
            <v:imagedata r:id="rId6" o:title=""/>
          </v:shape>
          <o:OLEObject Type="Embed" ProgID="Equation.3" ShapeID="_x0000_i1025" DrawAspect="Content" ObjectID="_1605016136" r:id="rId7"/>
        </w:objec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04"/>
        <w:gridCol w:w="2551"/>
        <w:gridCol w:w="1927"/>
      </w:tblGrid>
      <w:tr w:rsidR="00C642DB" w:rsidTr="00B30FC8">
        <w:trPr>
          <w:jc w:val="center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B" w:rsidRDefault="00C642DB" w:rsidP="00920591">
            <w:pPr>
              <w:pStyle w:val="a4"/>
              <w:jc w:val="center"/>
              <w:rPr>
                <w:rStyle w:val="PEStyleFont5"/>
                <w:rFonts w:ascii="Times New Roman" w:hAnsi="Times New Roman"/>
                <w:sz w:val="24"/>
              </w:rPr>
            </w:pPr>
            <w:bookmarkStart w:id="0" w:name="OLE_LINK1"/>
            <w:r>
              <w:rPr>
                <w:rStyle w:val="PEStyleFont5"/>
                <w:rFonts w:ascii="Times New Roman" w:hAnsi="Times New Roman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B" w:rsidRDefault="00C642DB" w:rsidP="00920591">
            <w:pPr>
              <w:pStyle w:val="a4"/>
              <w:jc w:val="center"/>
              <w:rPr>
                <w:rStyle w:val="PEStyleFont5"/>
                <w:rFonts w:ascii="Times New Roman" w:hAnsi="Times New Roman"/>
                <w:sz w:val="24"/>
              </w:rPr>
            </w:pPr>
            <w:r>
              <w:rPr>
                <w:rStyle w:val="PEStyleFont5"/>
                <w:rFonts w:ascii="Times New Roman" w:hAnsi="Times New Roman"/>
                <w:sz w:val="24"/>
              </w:rPr>
              <w:t>Расчет показателей для предприятия</w:t>
            </w:r>
            <w:proofErr w:type="gramStart"/>
            <w:r>
              <w:rPr>
                <w:rStyle w:val="PEStyleFont5"/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B" w:rsidRDefault="00C642DB" w:rsidP="00920591">
            <w:pPr>
              <w:pStyle w:val="a4"/>
              <w:jc w:val="center"/>
              <w:rPr>
                <w:rStyle w:val="PEStyleFont5"/>
                <w:rFonts w:ascii="Times New Roman" w:hAnsi="Times New Roman"/>
                <w:sz w:val="24"/>
              </w:rPr>
            </w:pPr>
            <w:r>
              <w:rPr>
                <w:rStyle w:val="PEStyleFont5"/>
                <w:rFonts w:ascii="Times New Roman" w:hAnsi="Times New Roman"/>
                <w:sz w:val="24"/>
              </w:rPr>
              <w:t>Показатели предприятия</w:t>
            </w:r>
            <w:proofErr w:type="gramStart"/>
            <w:r>
              <w:rPr>
                <w:rStyle w:val="PEStyleFont5"/>
                <w:rFonts w:ascii="Times New Roman" w:hAnsi="Times New Roman"/>
                <w:sz w:val="24"/>
              </w:rPr>
              <w:t xml:space="preserve"> А</w:t>
            </w:r>
            <w:proofErr w:type="gramEnd"/>
          </w:p>
        </w:tc>
      </w:tr>
      <w:tr w:rsidR="00C642DB" w:rsidTr="00B30FC8">
        <w:trPr>
          <w:jc w:val="center"/>
        </w:trPr>
        <w:tc>
          <w:tcPr>
            <w:tcW w:w="2904" w:type="pct"/>
            <w:tcBorders>
              <w:top w:val="nil"/>
            </w:tcBorders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Коэффициент текущей ликвидности</w:t>
            </w:r>
          </w:p>
        </w:tc>
        <w:tc>
          <w:tcPr>
            <w:tcW w:w="1194" w:type="pct"/>
            <w:tcBorders>
              <w:top w:val="nil"/>
              <w:right w:val="single" w:sz="4" w:space="0" w:color="auto"/>
            </w:tcBorders>
          </w:tcPr>
          <w:p w:rsidR="00C642DB" w:rsidRPr="00B30FC8" w:rsidRDefault="00C642DB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109100/(31500+26000)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C642DB" w:rsidTr="00B30FC8">
        <w:trPr>
          <w:jc w:val="center"/>
        </w:trPr>
        <w:tc>
          <w:tcPr>
            <w:tcW w:w="2904" w:type="pct"/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Суммарные обязательства к собственному капиталу (</w:t>
            </w:r>
            <w:r>
              <w:rPr>
                <w:rFonts w:ascii="Times New Roman" w:hAnsi="Times New Roman"/>
                <w:snapToGrid w:val="0"/>
                <w:sz w:val="24"/>
              </w:rPr>
              <w:t>долг / собственный капитал)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C642DB" w:rsidRPr="00B30FC8" w:rsidRDefault="00C642DB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(34000+58700)/167400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C642DB" w:rsidTr="00B30FC8">
        <w:trPr>
          <w:trHeight w:val="20"/>
          <w:jc w:val="center"/>
        </w:trPr>
        <w:tc>
          <w:tcPr>
            <w:tcW w:w="2904" w:type="pct"/>
            <w:tcBorders>
              <w:bottom w:val="single" w:sz="4" w:space="0" w:color="auto"/>
            </w:tcBorders>
          </w:tcPr>
          <w:p w:rsidR="00C642DB" w:rsidRDefault="00C642DB" w:rsidP="00920591">
            <w:pPr>
              <w:pStyle w:val="a4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Коэффициент покрытия постоянных расходов</w:t>
            </w:r>
          </w:p>
        </w:tc>
        <w:tc>
          <w:tcPr>
            <w:tcW w:w="1194" w:type="pct"/>
            <w:tcBorders>
              <w:bottom w:val="single" w:sz="4" w:space="0" w:color="auto"/>
              <w:right w:val="single" w:sz="4" w:space="0" w:color="auto"/>
            </w:tcBorders>
          </w:tcPr>
          <w:p w:rsidR="00C642DB" w:rsidRPr="00B30FC8" w:rsidRDefault="00C642DB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(21700+2900)/</w:t>
            </w:r>
            <w:r w:rsidR="00B30FC8"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8,48</w:t>
            </w:r>
          </w:p>
        </w:tc>
      </w:tr>
      <w:tr w:rsidR="00C642DB" w:rsidTr="00B30FC8">
        <w:trPr>
          <w:jc w:val="center"/>
        </w:trPr>
        <w:tc>
          <w:tcPr>
            <w:tcW w:w="2904" w:type="pct"/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Рентабельность продаж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18800/225000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8,36%</w:t>
            </w:r>
          </w:p>
        </w:tc>
      </w:tr>
      <w:tr w:rsidR="00C642DB" w:rsidTr="00B30FC8">
        <w:trPr>
          <w:jc w:val="center"/>
        </w:trPr>
        <w:tc>
          <w:tcPr>
            <w:tcW w:w="2904" w:type="pct"/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Рентабельность собственного капитала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9400/167400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5,61%</w:t>
            </w:r>
          </w:p>
        </w:tc>
      </w:tr>
      <w:tr w:rsidR="00C642DB" w:rsidTr="00B30FC8">
        <w:trPr>
          <w:jc w:val="center"/>
        </w:trPr>
        <w:tc>
          <w:tcPr>
            <w:tcW w:w="2904" w:type="pct"/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Оборачиваемость ДЗ (дни)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365/(225000/3600)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C642DB" w:rsidTr="00B30FC8">
        <w:trPr>
          <w:jc w:val="center"/>
        </w:trPr>
        <w:tc>
          <w:tcPr>
            <w:tcW w:w="2904" w:type="pct"/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Оборачиваемость товарных запасов, раз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225000/</w:t>
            </w:r>
            <w:r w:rsidRPr="00B30FC8">
              <w:rPr>
                <w:rFonts w:ascii="Times New Roman" w:hAnsi="Times New Roman"/>
                <w:sz w:val="24"/>
                <w:szCs w:val="24"/>
              </w:rPr>
              <w:t>60800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C642DB" w:rsidTr="00B30FC8">
        <w:trPr>
          <w:jc w:val="center"/>
        </w:trPr>
        <w:tc>
          <w:tcPr>
            <w:tcW w:w="2904" w:type="pct"/>
          </w:tcPr>
          <w:p w:rsidR="00C642DB" w:rsidRDefault="00C642DB" w:rsidP="00920591">
            <w:pPr>
              <w:pStyle w:val="a4"/>
              <w:rPr>
                <w:rStyle w:val="PEStyleFont7"/>
                <w:rFonts w:ascii="Times New Roman" w:hAnsi="Times New Roman"/>
                <w:sz w:val="24"/>
              </w:rPr>
            </w:pPr>
            <w:r>
              <w:rPr>
                <w:rStyle w:val="PEStyleFont7"/>
                <w:rFonts w:ascii="Times New Roman" w:hAnsi="Times New Roman"/>
                <w:sz w:val="24"/>
              </w:rPr>
              <w:t>Оборачиваемость активов, раз</w:t>
            </w:r>
          </w:p>
        </w:tc>
        <w:tc>
          <w:tcPr>
            <w:tcW w:w="1194" w:type="pct"/>
            <w:tcBorders>
              <w:righ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225000/260100</w:t>
            </w:r>
          </w:p>
        </w:tc>
        <w:tc>
          <w:tcPr>
            <w:tcW w:w="902" w:type="pct"/>
            <w:tcBorders>
              <w:left w:val="single" w:sz="4" w:space="0" w:color="auto"/>
            </w:tcBorders>
          </w:tcPr>
          <w:p w:rsidR="00C642DB" w:rsidRPr="00B30FC8" w:rsidRDefault="00B30FC8" w:rsidP="00920591">
            <w:pPr>
              <w:pStyle w:val="a4"/>
              <w:jc w:val="center"/>
              <w:rPr>
                <w:rStyle w:val="PEStyleFont7"/>
                <w:rFonts w:ascii="Times New Roman" w:hAnsi="Times New Roman"/>
                <w:sz w:val="24"/>
                <w:szCs w:val="24"/>
              </w:rPr>
            </w:pPr>
            <w:r w:rsidRPr="00B30FC8">
              <w:rPr>
                <w:rStyle w:val="PEStyleFont7"/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bookmarkEnd w:id="0"/>
    </w:tbl>
    <w:p w:rsidR="00C642DB" w:rsidRDefault="00C642DB" w:rsidP="00DA3B0F">
      <w:pPr>
        <w:spacing w:line="360" w:lineRule="auto"/>
        <w:ind w:firstLine="709"/>
        <w:jc w:val="both"/>
        <w:rPr>
          <w:sz w:val="28"/>
        </w:rPr>
      </w:pPr>
    </w:p>
    <w:p w:rsidR="00C642DB" w:rsidRDefault="00B30FC8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согласно полученным расчетам, </w:t>
      </w:r>
      <w:r w:rsidR="00D81CEB">
        <w:rPr>
          <w:sz w:val="28"/>
        </w:rPr>
        <w:t>коэффициент</w:t>
      </w:r>
      <w:r>
        <w:rPr>
          <w:sz w:val="28"/>
        </w:rPr>
        <w:t xml:space="preserve"> текущей </w:t>
      </w:r>
      <w:r w:rsidR="00D81CEB">
        <w:rPr>
          <w:sz w:val="28"/>
        </w:rPr>
        <w:t>ликвидности</w:t>
      </w:r>
      <w:r>
        <w:rPr>
          <w:sz w:val="28"/>
        </w:rPr>
        <w:t xml:space="preserve"> ниже нормативного среднеотраслевого показателя. Следовательно компания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не может в полной мере обеспечить покрытие своих </w:t>
      </w:r>
      <w:r w:rsidR="00D81CEB">
        <w:rPr>
          <w:sz w:val="28"/>
        </w:rPr>
        <w:t>обязательств</w:t>
      </w:r>
      <w:r>
        <w:rPr>
          <w:sz w:val="28"/>
        </w:rPr>
        <w:t xml:space="preserve"> перед кредиторами.</w:t>
      </w:r>
    </w:p>
    <w:p w:rsidR="00B30FC8" w:rsidRDefault="00B30FC8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Суммарные обязательства составляет 0,55, то есть </w:t>
      </w:r>
      <w:r w:rsidR="00D81CEB">
        <w:rPr>
          <w:sz w:val="28"/>
        </w:rPr>
        <w:t>обязательства составляют 55% собственного капитала</w:t>
      </w:r>
      <w:proofErr w:type="gramStart"/>
      <w:r w:rsidR="00D81CEB">
        <w:rPr>
          <w:sz w:val="28"/>
        </w:rPr>
        <w:t>.</w:t>
      </w:r>
      <w:proofErr w:type="gramEnd"/>
      <w:r w:rsidR="00D81CEB">
        <w:rPr>
          <w:sz w:val="28"/>
        </w:rPr>
        <w:t xml:space="preserve"> </w:t>
      </w:r>
      <w:proofErr w:type="gramStart"/>
      <w:r w:rsidR="00D81CEB">
        <w:rPr>
          <w:sz w:val="28"/>
        </w:rPr>
        <w:t>д</w:t>
      </w:r>
      <w:proofErr w:type="gramEnd"/>
      <w:r w:rsidR="00D81CEB">
        <w:rPr>
          <w:sz w:val="28"/>
        </w:rPr>
        <w:t>анный показатель выше среднеотраслевого показателя, что негативно сказывается на финансовом состоянии предприятия А.</w:t>
      </w:r>
    </w:p>
    <w:p w:rsidR="00D81CEB" w:rsidRDefault="00D81CEB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Коэффициент покрытия постоянных расходов ниже отраслевого показателя на 1,52%, что также показывает, что предприятие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не имеет стабильного финансового положения для покрытия своих обязательств.</w:t>
      </w:r>
    </w:p>
    <w:p w:rsidR="00C642DB" w:rsidRDefault="00D81CEB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Рентабельность продаж даже не соответствует среднеотраслевому нормативы, так на 1 рубль продаж, приходится всего 8,36 коп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рибыли</w:t>
      </w:r>
    </w:p>
    <w:p w:rsidR="00D81CEB" w:rsidRDefault="00D81CEB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 счет низкого значения выручки, рентабельность собственного капитала ниже отраслевого показателя. Так с 1 рубля собственного капитала, компания получает 5,61 копейку прибыли.</w:t>
      </w:r>
    </w:p>
    <w:p w:rsidR="00D81CEB" w:rsidRDefault="00D81CEB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Оборачиваемость дебиторской задолженности составляет  58,4 дня, что выше нормативного показателя на 2,4 дня. Следовательно у предприятия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высокое значение дебиторской заложенности, и для стабильного финансового положения необходимо проводить контроль за дебиторской задолженности. </w:t>
      </w:r>
    </w:p>
    <w:p w:rsidR="00D81CEB" w:rsidRDefault="00DA3B0F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Оборачиваемость</w:t>
      </w:r>
      <w:r w:rsidR="00D81CEB">
        <w:rPr>
          <w:sz w:val="28"/>
        </w:rPr>
        <w:t xml:space="preserve"> товарных запасов выше нормативного значения на 0,9 оборота</w:t>
      </w:r>
      <w:r>
        <w:rPr>
          <w:sz w:val="28"/>
        </w:rPr>
        <w:t>, то есть на предприятии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существует значительный запас материалов, что негативно сказывается на деловой активности предприятие А, так как предприятие не может вовремя его реализовать, и происходит затоваривание склада.</w:t>
      </w:r>
    </w:p>
    <w:p w:rsidR="00DA3B0F" w:rsidRDefault="00DA3B0F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Оборачиваемость активов ниже нормативного показателя, то есть на 1 рубль активов предприятие смогло получить только 0,87 рубля выручки</w:t>
      </w:r>
    </w:p>
    <w:p w:rsidR="00DA3B0F" w:rsidRDefault="00DA3B0F" w:rsidP="00DA3B0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Согласно полученным результатам, можно предположить, что предприятие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имеет проблемы с объемом обязательств, а также данное предприятие имеет не стабильное финансовое положение.</w:t>
      </w:r>
    </w:p>
    <w:p w:rsidR="00DA3B0F" w:rsidRDefault="00DA3B0F">
      <w:pPr>
        <w:spacing w:after="160" w:line="259" w:lineRule="auto"/>
        <w:rPr>
          <w:sz w:val="28"/>
        </w:rPr>
      </w:pPr>
    </w:p>
    <w:p w:rsidR="00C642DB" w:rsidRDefault="00C642DB">
      <w:pPr>
        <w:spacing w:after="160" w:line="259" w:lineRule="auto"/>
        <w:rPr>
          <w:sz w:val="28"/>
        </w:rPr>
      </w:pPr>
    </w:p>
    <w:p w:rsidR="00C642DB" w:rsidRPr="000454E6" w:rsidRDefault="00C642DB" w:rsidP="000454E6">
      <w:pPr>
        <w:pStyle w:val="a3"/>
        <w:jc w:val="center"/>
        <w:rPr>
          <w:sz w:val="28"/>
        </w:rPr>
      </w:pPr>
      <w:bookmarkStart w:id="1" w:name="_GoBack"/>
      <w:bookmarkEnd w:id="1"/>
    </w:p>
    <w:sectPr w:rsidR="00C642DB" w:rsidRPr="000454E6" w:rsidSect="0004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6"/>
    <w:rsid w:val="000454E6"/>
    <w:rsid w:val="00197558"/>
    <w:rsid w:val="00B30FC8"/>
    <w:rsid w:val="00C642DB"/>
    <w:rsid w:val="00D81CEB"/>
    <w:rsid w:val="00D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РЭА"/>
    <w:basedOn w:val="2"/>
    <w:rsid w:val="000454E6"/>
    <w:pPr>
      <w:widowControl w:val="0"/>
      <w:spacing w:after="0" w:line="240" w:lineRule="auto"/>
      <w:ind w:firstLine="720"/>
      <w:jc w:val="both"/>
    </w:pPr>
    <w:rPr>
      <w:snapToGrid w:val="0"/>
      <w:sz w:val="24"/>
    </w:rPr>
  </w:style>
  <w:style w:type="paragraph" w:styleId="a4">
    <w:name w:val="Plain Text"/>
    <w:basedOn w:val="a"/>
    <w:link w:val="a5"/>
    <w:rsid w:val="000454E6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454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4">
    <w:name w:val="PEStyleFont4"/>
    <w:rsid w:val="000454E6"/>
    <w:rPr>
      <w:rFonts w:ascii="Arial" w:hAnsi="Arial"/>
      <w:b/>
      <w:i/>
      <w:spacing w:val="0"/>
      <w:position w:val="0"/>
      <w:sz w:val="28"/>
      <w:u w:val="none"/>
    </w:rPr>
  </w:style>
  <w:style w:type="character" w:customStyle="1" w:styleId="PEStyleFont5">
    <w:name w:val="PEStyleFont5"/>
    <w:rsid w:val="000454E6"/>
    <w:rPr>
      <w:rFonts w:ascii="Arial" w:hAnsi="Arial"/>
      <w:b/>
      <w:spacing w:val="0"/>
      <w:position w:val="0"/>
      <w:sz w:val="16"/>
      <w:u w:val="none"/>
    </w:rPr>
  </w:style>
  <w:style w:type="character" w:customStyle="1" w:styleId="PEStyleFont7">
    <w:name w:val="PEStyleFont7"/>
    <w:rsid w:val="000454E6"/>
    <w:rPr>
      <w:rFonts w:ascii="Arial" w:hAnsi="Arial"/>
      <w:spacing w:val="0"/>
      <w:position w:val="0"/>
      <w:sz w:val="16"/>
      <w:u w:val="none"/>
    </w:rPr>
  </w:style>
  <w:style w:type="paragraph" w:customStyle="1" w:styleId="PEStylePara2">
    <w:name w:val="PEStylePara2"/>
    <w:basedOn w:val="a"/>
    <w:next w:val="a"/>
    <w:rsid w:val="000454E6"/>
    <w:pPr>
      <w:keepNext/>
      <w:keepLines/>
      <w:jc w:val="center"/>
    </w:pPr>
    <w:rPr>
      <w:rFonts w:ascii="Courier New" w:hAnsi="Courier New"/>
    </w:rPr>
  </w:style>
  <w:style w:type="paragraph" w:styleId="2">
    <w:name w:val="Body Text 2"/>
    <w:basedOn w:val="a"/>
    <w:link w:val="20"/>
    <w:uiPriority w:val="99"/>
    <w:semiHidden/>
    <w:unhideWhenUsed/>
    <w:rsid w:val="00045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РЭА"/>
    <w:basedOn w:val="2"/>
    <w:rsid w:val="000454E6"/>
    <w:pPr>
      <w:widowControl w:val="0"/>
      <w:spacing w:after="0" w:line="240" w:lineRule="auto"/>
      <w:ind w:firstLine="720"/>
      <w:jc w:val="both"/>
    </w:pPr>
    <w:rPr>
      <w:snapToGrid w:val="0"/>
      <w:sz w:val="24"/>
    </w:rPr>
  </w:style>
  <w:style w:type="paragraph" w:styleId="a4">
    <w:name w:val="Plain Text"/>
    <w:basedOn w:val="a"/>
    <w:link w:val="a5"/>
    <w:rsid w:val="000454E6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454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4">
    <w:name w:val="PEStyleFont4"/>
    <w:rsid w:val="000454E6"/>
    <w:rPr>
      <w:rFonts w:ascii="Arial" w:hAnsi="Arial"/>
      <w:b/>
      <w:i/>
      <w:spacing w:val="0"/>
      <w:position w:val="0"/>
      <w:sz w:val="28"/>
      <w:u w:val="none"/>
    </w:rPr>
  </w:style>
  <w:style w:type="character" w:customStyle="1" w:styleId="PEStyleFont5">
    <w:name w:val="PEStyleFont5"/>
    <w:rsid w:val="000454E6"/>
    <w:rPr>
      <w:rFonts w:ascii="Arial" w:hAnsi="Arial"/>
      <w:b/>
      <w:spacing w:val="0"/>
      <w:position w:val="0"/>
      <w:sz w:val="16"/>
      <w:u w:val="none"/>
    </w:rPr>
  </w:style>
  <w:style w:type="character" w:customStyle="1" w:styleId="PEStyleFont7">
    <w:name w:val="PEStyleFont7"/>
    <w:rsid w:val="000454E6"/>
    <w:rPr>
      <w:rFonts w:ascii="Arial" w:hAnsi="Arial"/>
      <w:spacing w:val="0"/>
      <w:position w:val="0"/>
      <w:sz w:val="16"/>
      <w:u w:val="none"/>
    </w:rPr>
  </w:style>
  <w:style w:type="paragraph" w:customStyle="1" w:styleId="PEStylePara2">
    <w:name w:val="PEStylePara2"/>
    <w:basedOn w:val="a"/>
    <w:next w:val="a"/>
    <w:rsid w:val="000454E6"/>
    <w:pPr>
      <w:keepNext/>
      <w:keepLines/>
      <w:jc w:val="center"/>
    </w:pPr>
    <w:rPr>
      <w:rFonts w:ascii="Courier New" w:hAnsi="Courier New"/>
    </w:rPr>
  </w:style>
  <w:style w:type="paragraph" w:styleId="2">
    <w:name w:val="Body Text 2"/>
    <w:basedOn w:val="a"/>
    <w:link w:val="20"/>
    <w:uiPriority w:val="99"/>
    <w:semiHidden/>
    <w:unhideWhenUsed/>
    <w:rsid w:val="00045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6916-431F-4C59-B2FE-78552F1B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Мария Владимировна</dc:creator>
  <cp:keywords/>
  <dc:description/>
  <cp:lastModifiedBy>ANGER</cp:lastModifiedBy>
  <cp:revision>2</cp:revision>
  <dcterms:created xsi:type="dcterms:W3CDTF">2018-11-20T14:15:00Z</dcterms:created>
  <dcterms:modified xsi:type="dcterms:W3CDTF">2018-11-29T12:03:00Z</dcterms:modified>
</cp:coreProperties>
</file>