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35" w:rsidRPr="00D8312B" w:rsidRDefault="002D1D35" w:rsidP="002D1D35">
      <w:pPr>
        <w:pStyle w:val="a3"/>
        <w:spacing w:after="0" w:line="240" w:lineRule="auto"/>
        <w:ind w:left="0"/>
        <w:jc w:val="center"/>
        <w:rPr>
          <w:rFonts w:ascii="Times New Roman" w:hAnsi="Times New Roman" w:cs="Times New Roman"/>
          <w:b/>
          <w:sz w:val="24"/>
          <w:szCs w:val="28"/>
        </w:rPr>
      </w:pPr>
      <w:r w:rsidRPr="00D8312B">
        <w:rPr>
          <w:rFonts w:ascii="Times New Roman" w:hAnsi="Times New Roman" w:cs="Times New Roman"/>
          <w:b/>
          <w:sz w:val="24"/>
          <w:szCs w:val="28"/>
        </w:rPr>
        <w:t xml:space="preserve">«Особенности психодиагностики и </w:t>
      </w:r>
      <w:proofErr w:type="spellStart"/>
      <w:r w:rsidRPr="00D8312B">
        <w:rPr>
          <w:rFonts w:ascii="Times New Roman" w:hAnsi="Times New Roman" w:cs="Times New Roman"/>
          <w:b/>
          <w:sz w:val="24"/>
          <w:szCs w:val="28"/>
        </w:rPr>
        <w:t>психокоррекции</w:t>
      </w:r>
      <w:proofErr w:type="spellEnd"/>
      <w:r w:rsidRPr="00D8312B">
        <w:rPr>
          <w:rFonts w:ascii="Times New Roman" w:hAnsi="Times New Roman" w:cs="Times New Roman"/>
          <w:b/>
          <w:sz w:val="24"/>
          <w:szCs w:val="28"/>
        </w:rPr>
        <w:t xml:space="preserve"> детей с синдромом </w:t>
      </w:r>
      <w:proofErr w:type="spellStart"/>
      <w:r w:rsidRPr="00D8312B">
        <w:rPr>
          <w:rFonts w:ascii="Times New Roman" w:hAnsi="Times New Roman" w:cs="Times New Roman"/>
          <w:b/>
          <w:sz w:val="24"/>
          <w:szCs w:val="28"/>
        </w:rPr>
        <w:t>гиперактивности</w:t>
      </w:r>
      <w:proofErr w:type="spellEnd"/>
      <w:r w:rsidRPr="00D8312B">
        <w:rPr>
          <w:rFonts w:ascii="Times New Roman" w:hAnsi="Times New Roman" w:cs="Times New Roman"/>
          <w:b/>
          <w:sz w:val="24"/>
          <w:szCs w:val="28"/>
        </w:rPr>
        <w:t xml:space="preserve"> и дефицита внимания»</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D8312B" w:rsidP="002D1D35">
      <w:pPr>
        <w:numPr>
          <w:ilvl w:val="0"/>
          <w:numId w:val="1"/>
        </w:numPr>
        <w:tabs>
          <w:tab w:val="left" w:pos="868"/>
        </w:tabs>
        <w:ind w:left="4" w:firstLine="562"/>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работе</w:t>
      </w:r>
      <w:r w:rsidR="002D1D35" w:rsidRPr="00D8312B">
        <w:rPr>
          <w:rFonts w:ascii="Times New Roman" w:eastAsia="Arial" w:hAnsi="Times New Roman" w:cs="Times New Roman"/>
          <w:sz w:val="24"/>
          <w:szCs w:val="28"/>
        </w:rPr>
        <w:t xml:space="preserve"> исследована эмоциональная сфера у младших школьников с синдромом дефицита внимания и </w:t>
      </w:r>
      <w:proofErr w:type="spellStart"/>
      <w:r w:rsidR="002D1D35" w:rsidRPr="00D8312B">
        <w:rPr>
          <w:rFonts w:ascii="Times New Roman" w:eastAsia="Arial" w:hAnsi="Times New Roman" w:cs="Times New Roman"/>
          <w:sz w:val="24"/>
          <w:szCs w:val="28"/>
        </w:rPr>
        <w:t>гиперактивности</w:t>
      </w:r>
      <w:proofErr w:type="spellEnd"/>
      <w:r w:rsidR="002D1D35" w:rsidRPr="00D8312B">
        <w:rPr>
          <w:rFonts w:ascii="Times New Roman" w:eastAsia="Arial" w:hAnsi="Times New Roman" w:cs="Times New Roman"/>
          <w:sz w:val="24"/>
          <w:szCs w:val="28"/>
        </w:rPr>
        <w:t xml:space="preserve"> (СДВГ). Уделяется внимание особенностям личности болеющих детей: исследованы особенности эмоций у детей с разными клиническими вариантами СДВГ. Результаты исследования позволяют дифференцированно подходить к </w:t>
      </w:r>
      <w:proofErr w:type="spellStart"/>
      <w:r w:rsidR="002D1D35" w:rsidRPr="00D8312B">
        <w:rPr>
          <w:rFonts w:ascii="Times New Roman" w:eastAsia="Arial" w:hAnsi="Times New Roman" w:cs="Times New Roman"/>
          <w:sz w:val="24"/>
          <w:szCs w:val="28"/>
        </w:rPr>
        <w:t>психокоррекционным</w:t>
      </w:r>
      <w:proofErr w:type="spellEnd"/>
      <w:r w:rsidR="002D1D35" w:rsidRPr="00D8312B">
        <w:rPr>
          <w:rFonts w:ascii="Times New Roman" w:eastAsia="Arial" w:hAnsi="Times New Roman" w:cs="Times New Roman"/>
          <w:sz w:val="24"/>
          <w:szCs w:val="28"/>
        </w:rPr>
        <w:t xml:space="preserve"> мероприятиям с такими детьми.</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4" w:firstLine="566"/>
        <w:jc w:val="both"/>
        <w:rPr>
          <w:rFonts w:ascii="Times New Roman" w:eastAsia="Arial" w:hAnsi="Times New Roman" w:cs="Times New Roman"/>
          <w:sz w:val="24"/>
          <w:szCs w:val="28"/>
          <w:lang w:val="en-US"/>
        </w:rPr>
      </w:pPr>
      <w:r w:rsidRPr="00D8312B">
        <w:rPr>
          <w:rFonts w:ascii="Times New Roman" w:eastAsia="Arial" w:hAnsi="Times New Roman" w:cs="Times New Roman"/>
          <w:sz w:val="24"/>
          <w:szCs w:val="28"/>
          <w:lang w:val="en-US"/>
        </w:rPr>
        <w:t>This article is devoted to investigation of emotio</w:t>
      </w:r>
      <w:r w:rsidR="004B6180" w:rsidRPr="00D8312B">
        <w:rPr>
          <w:rFonts w:ascii="Times New Roman" w:eastAsia="Arial" w:hAnsi="Times New Roman" w:cs="Times New Roman"/>
          <w:sz w:val="24"/>
          <w:szCs w:val="28"/>
          <w:lang w:val="en-US"/>
        </w:rPr>
        <w:t>nal sphere of children from pri</w:t>
      </w:r>
      <w:r w:rsidRPr="00D8312B">
        <w:rPr>
          <w:rFonts w:ascii="Times New Roman" w:eastAsia="Arial" w:hAnsi="Times New Roman" w:cs="Times New Roman"/>
          <w:sz w:val="24"/>
          <w:szCs w:val="28"/>
          <w:lang w:val="en-US"/>
        </w:rPr>
        <w:t>mary school with the attention deficit hyperactive disorder (ADHD). Much attention is devoted to the personality of the young patients. The peculiarities of emotions were investigated from the children with different clinical</w:t>
      </w:r>
      <w:r w:rsidR="004B6180" w:rsidRPr="00D8312B">
        <w:rPr>
          <w:rFonts w:ascii="Times New Roman" w:eastAsia="Arial" w:hAnsi="Times New Roman" w:cs="Times New Roman"/>
          <w:sz w:val="24"/>
          <w:szCs w:val="28"/>
          <w:lang w:val="en-US"/>
        </w:rPr>
        <w:t xml:space="preserve"> variants of ADHD. After the re</w:t>
      </w:r>
      <w:r w:rsidRPr="00D8312B">
        <w:rPr>
          <w:rFonts w:ascii="Times New Roman" w:eastAsia="Arial" w:hAnsi="Times New Roman" w:cs="Times New Roman"/>
          <w:sz w:val="24"/>
          <w:szCs w:val="28"/>
          <w:lang w:val="en-US"/>
        </w:rPr>
        <w:t>sults of investigation the differential approach can be used in psychotherapy with such children.</w:t>
      </w:r>
    </w:p>
    <w:p w:rsidR="002D1D35" w:rsidRPr="00D8312B" w:rsidRDefault="002D1D35" w:rsidP="002D1D35">
      <w:pPr>
        <w:jc w:val="both"/>
        <w:rPr>
          <w:rFonts w:ascii="Times New Roman" w:eastAsia="Times New Roman" w:hAnsi="Times New Roman" w:cs="Times New Roman"/>
          <w:sz w:val="24"/>
          <w:szCs w:val="28"/>
          <w:lang w:val="en-US"/>
        </w:rPr>
      </w:pPr>
    </w:p>
    <w:p w:rsidR="002D1D35" w:rsidRPr="00D8312B" w:rsidRDefault="002D1D35" w:rsidP="002D1D35">
      <w:pPr>
        <w:ind w:left="4" w:firstLine="567"/>
        <w:jc w:val="both"/>
        <w:rPr>
          <w:rFonts w:ascii="Times New Roman" w:eastAsia="Arial" w:hAnsi="Times New Roman" w:cs="Times New Roman"/>
          <w:sz w:val="24"/>
          <w:szCs w:val="28"/>
        </w:rPr>
      </w:pPr>
      <w:r w:rsidRPr="00D8312B">
        <w:rPr>
          <w:rFonts w:ascii="Times New Roman" w:eastAsia="Arial" w:hAnsi="Times New Roman" w:cs="Times New Roman"/>
          <w:i/>
          <w:sz w:val="24"/>
          <w:szCs w:val="28"/>
        </w:rPr>
        <w:t xml:space="preserve">Ключевые слова: </w:t>
      </w:r>
      <w:r w:rsidRPr="00D8312B">
        <w:rPr>
          <w:rFonts w:ascii="Times New Roman" w:eastAsia="Arial" w:hAnsi="Times New Roman" w:cs="Times New Roman"/>
          <w:sz w:val="24"/>
          <w:szCs w:val="28"/>
        </w:rPr>
        <w:t xml:space="preserve">синдром дефицита внимания и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i/>
          <w:sz w:val="24"/>
          <w:szCs w:val="28"/>
        </w:rPr>
        <w:t xml:space="preserve"> </w:t>
      </w:r>
      <w:r w:rsidRPr="00D8312B">
        <w:rPr>
          <w:rFonts w:ascii="Times New Roman" w:eastAsia="Arial" w:hAnsi="Times New Roman" w:cs="Times New Roman"/>
          <w:sz w:val="24"/>
          <w:szCs w:val="28"/>
        </w:rPr>
        <w:t>(СДВГ),</w:t>
      </w:r>
      <w:r w:rsidRPr="00D8312B">
        <w:rPr>
          <w:rFonts w:ascii="Times New Roman" w:eastAsia="Arial" w:hAnsi="Times New Roman" w:cs="Times New Roman"/>
          <w:i/>
          <w:sz w:val="24"/>
          <w:szCs w:val="28"/>
        </w:rPr>
        <w:t xml:space="preserve"> </w:t>
      </w:r>
      <w:r w:rsidRPr="00D8312B">
        <w:rPr>
          <w:rFonts w:ascii="Times New Roman" w:eastAsia="Arial" w:hAnsi="Times New Roman" w:cs="Times New Roman"/>
          <w:sz w:val="24"/>
          <w:szCs w:val="28"/>
        </w:rPr>
        <w:t>страхи, агрессивность, тревожность, психодиагностическая методика, эмоциональная сфера.</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4" w:firstLine="566"/>
        <w:jc w:val="both"/>
        <w:rPr>
          <w:rFonts w:ascii="Times New Roman" w:eastAsia="Arial" w:hAnsi="Times New Roman" w:cs="Times New Roman"/>
          <w:sz w:val="24"/>
          <w:szCs w:val="28"/>
          <w:lang w:val="en-US"/>
        </w:rPr>
      </w:pPr>
      <w:r w:rsidRPr="00D8312B">
        <w:rPr>
          <w:rFonts w:ascii="Times New Roman" w:eastAsia="Arial" w:hAnsi="Times New Roman" w:cs="Times New Roman"/>
          <w:i/>
          <w:sz w:val="24"/>
          <w:szCs w:val="28"/>
          <w:lang w:val="en-US"/>
        </w:rPr>
        <w:t xml:space="preserve">Key words: </w:t>
      </w:r>
      <w:r w:rsidRPr="00D8312B">
        <w:rPr>
          <w:rFonts w:ascii="Times New Roman" w:eastAsia="Arial" w:hAnsi="Times New Roman" w:cs="Times New Roman"/>
          <w:sz w:val="24"/>
          <w:szCs w:val="28"/>
          <w:lang w:val="en-US"/>
        </w:rPr>
        <w:t>attention deficit/hyperactivity disorder (ADHD), phobias, impulsiveness, psychological test, emotional sphere, aggressive, anxiety.</w:t>
      </w:r>
    </w:p>
    <w:p w:rsidR="002D1D35" w:rsidRPr="00D8312B" w:rsidRDefault="002D1D35" w:rsidP="002D1D35">
      <w:pPr>
        <w:jc w:val="both"/>
        <w:rPr>
          <w:rFonts w:ascii="Times New Roman" w:eastAsia="Times New Roman" w:hAnsi="Times New Roman" w:cs="Times New Roman"/>
          <w:sz w:val="24"/>
          <w:szCs w:val="28"/>
          <w:lang w:val="en-US"/>
        </w:rPr>
      </w:pPr>
    </w:p>
    <w:p w:rsidR="002D1D35" w:rsidRPr="00D8312B" w:rsidRDefault="002D1D35" w:rsidP="002D1D35">
      <w:pPr>
        <w:ind w:left="4"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СДВГ – одно из наиболее распространенных нервно-психических расстройств у детей младшего и подросткового возраста. Частота встречаемости этого расстройства среди детей дошкольного возраста, по данным отечественных авторов, составляет от</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numPr>
          <w:ilvl w:val="0"/>
          <w:numId w:val="2"/>
        </w:numPr>
        <w:tabs>
          <w:tab w:val="left" w:pos="427"/>
        </w:tabs>
        <w:ind w:left="4" w:hanging="4"/>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до 21 % [2, с. 4]. СДВГ чаще встречается у мальчиков. </w:t>
      </w:r>
      <w:proofErr w:type="spellStart"/>
      <w:r w:rsidRPr="00D8312B">
        <w:rPr>
          <w:rFonts w:ascii="Times New Roman" w:eastAsia="Arial" w:hAnsi="Times New Roman" w:cs="Times New Roman"/>
          <w:sz w:val="24"/>
          <w:szCs w:val="28"/>
        </w:rPr>
        <w:t>Относи-тельная</w:t>
      </w:r>
      <w:proofErr w:type="spellEnd"/>
      <w:r w:rsidRPr="00D8312B">
        <w:rPr>
          <w:rFonts w:ascii="Times New Roman" w:eastAsia="Arial" w:hAnsi="Times New Roman" w:cs="Times New Roman"/>
          <w:sz w:val="24"/>
          <w:szCs w:val="28"/>
        </w:rPr>
        <w:t xml:space="preserve"> распространенность среди мальчиков и девочек колеблется от 3:1 до 9:1 в зависимости от критериев диагноза, методов исследования и групп исследования (дети, которых направили к врачу; школьники; население в целом) [6]. От этих же факторов зависят и оценки распространенности СДВГ (от 1–2 до 25–30 %). По нашим данным, распространенность синдрома среди младших </w:t>
      </w:r>
      <w:proofErr w:type="spellStart"/>
      <w:r w:rsidRPr="00D8312B">
        <w:rPr>
          <w:rFonts w:ascii="Times New Roman" w:eastAsia="Arial" w:hAnsi="Times New Roman" w:cs="Times New Roman"/>
          <w:sz w:val="24"/>
          <w:szCs w:val="28"/>
        </w:rPr>
        <w:t>школьни-ков</w:t>
      </w:r>
      <w:proofErr w:type="spellEnd"/>
      <w:r w:rsidRPr="00D8312B">
        <w:rPr>
          <w:rFonts w:ascii="Times New Roman" w:eastAsia="Arial" w:hAnsi="Times New Roman" w:cs="Times New Roman"/>
          <w:sz w:val="24"/>
          <w:szCs w:val="28"/>
        </w:rPr>
        <w:t xml:space="preserve"> составляет порядка 10–15 %, у мальчиков он встречался в 2,8–4 раза чаще, чем у девочек [3, с. 5].</w:t>
      </w:r>
    </w:p>
    <w:p w:rsidR="002D1D35" w:rsidRPr="00D8312B" w:rsidRDefault="002D1D35" w:rsidP="002D1D35">
      <w:pPr>
        <w:ind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Синдром дефицита внимания и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xml:space="preserve"> (СДВГ) – психическое расстройство, начинающееся в детском возрасте, которое проявляется такими симптомами, как </w:t>
      </w:r>
      <w:proofErr w:type="spellStart"/>
      <w:r w:rsidRPr="00D8312B">
        <w:rPr>
          <w:rFonts w:ascii="Times New Roman" w:eastAsia="Arial" w:hAnsi="Times New Roman" w:cs="Times New Roman"/>
          <w:sz w:val="24"/>
          <w:szCs w:val="28"/>
        </w:rPr>
        <w:t>гиперактивность</w:t>
      </w:r>
      <w:proofErr w:type="spellEnd"/>
      <w:r w:rsidRPr="00D8312B">
        <w:rPr>
          <w:rFonts w:ascii="Times New Roman" w:eastAsia="Arial" w:hAnsi="Times New Roman" w:cs="Times New Roman"/>
          <w:sz w:val="24"/>
          <w:szCs w:val="28"/>
        </w:rPr>
        <w:t>, забывчивость, рассеянность внимания, плохо управляемая импульсивность и отвлекаемость.</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Одним из главных признаков СДВГ, наряду с нарушениями внимания, является импульсивность – недостаток контроля поведения в ответ на конкретные требования. Клинически эти дети часто характеризуются как быстро реагирующие на ситуации, не дожидаясь указаний и инструкций, позволяющих выполнять задание, а также неадекватно оценивающие требования задания. В результате они очень небрежны, невнимательны, беспечны и легкомысленны. Такие дети зачастую не могут рассмотреть потенциально негативные, вредные или разрушительные (и даже опасные) последствия, которые могут быть связаны с определенными ситуациями или их поступками. Часто они подвергают себя необоснованному, ненужному риску, чтобы показать свою смелость, капризы и причуды, особенно перед сверстниками. В результате нередки несчастные случаи с отравлениями и травмами. Дети с СДВГ могут легкомысленно и беспечно повредить или уничтожить чью-либо собственность значительно чаще, чем здоровые дети.</w:t>
      </w:r>
    </w:p>
    <w:p w:rsidR="002D1D35" w:rsidRDefault="002D1D35" w:rsidP="002D1D35">
      <w:pPr>
        <w:numPr>
          <w:ilvl w:val="1"/>
          <w:numId w:val="3"/>
        </w:numPr>
        <w:tabs>
          <w:tab w:val="left" w:pos="946"/>
        </w:tabs>
        <w:ind w:firstLine="562"/>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неврологической точки зрения СДВГ рассматривается как стойкий и хронический синдром, для которого не найдено универсального способа лечения. Согласно действующим (по состоянию на начало 2007 г.) критериям диагностики СДВГ </w:t>
      </w:r>
      <w:r w:rsidRPr="00D8312B">
        <w:rPr>
          <w:rFonts w:ascii="Times New Roman" w:eastAsia="Arial" w:hAnsi="Times New Roman" w:cs="Times New Roman"/>
          <w:sz w:val="24"/>
          <w:szCs w:val="28"/>
        </w:rPr>
        <w:lastRenderedPageBreak/>
        <w:t>можно диагностировать, начиная с позднего дошкольного или школьного возраста, поскольку для выполнения требований постановки диагноза необходима оценка поведения ребенка как минимум в двух условиях обстановки (например, дома и в школе) [1].</w:t>
      </w:r>
    </w:p>
    <w:p w:rsidR="00D8312B" w:rsidRPr="00D8312B" w:rsidRDefault="00D8312B" w:rsidP="00D8312B">
      <w:pPr>
        <w:tabs>
          <w:tab w:val="left" w:pos="946"/>
        </w:tabs>
        <w:ind w:left="562"/>
        <w:jc w:val="both"/>
        <w:rPr>
          <w:rFonts w:ascii="Times New Roman" w:eastAsia="Arial" w:hAnsi="Times New Roman" w:cs="Times New Roman"/>
          <w:sz w:val="24"/>
          <w:szCs w:val="28"/>
        </w:rPr>
      </w:pPr>
    </w:p>
    <w:p w:rsidR="002D1D35" w:rsidRPr="00D8312B" w:rsidRDefault="002D1D35" w:rsidP="002D1D35">
      <w:pPr>
        <w:numPr>
          <w:ilvl w:val="0"/>
          <w:numId w:val="3"/>
        </w:numPr>
        <w:tabs>
          <w:tab w:val="left" w:pos="854"/>
        </w:tabs>
        <w:ind w:firstLine="562"/>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настоящее время синдром дефицита внимания с </w:t>
      </w:r>
      <w:proofErr w:type="spellStart"/>
      <w:r w:rsidRPr="00D8312B">
        <w:rPr>
          <w:rFonts w:ascii="Times New Roman" w:eastAsia="Arial" w:hAnsi="Times New Roman" w:cs="Times New Roman"/>
          <w:sz w:val="24"/>
          <w:szCs w:val="28"/>
        </w:rPr>
        <w:t>гиперактивностью</w:t>
      </w:r>
      <w:proofErr w:type="spellEnd"/>
      <w:r w:rsidRPr="00D8312B">
        <w:rPr>
          <w:rFonts w:ascii="Times New Roman" w:eastAsia="Arial" w:hAnsi="Times New Roman" w:cs="Times New Roman"/>
          <w:sz w:val="24"/>
          <w:szCs w:val="28"/>
        </w:rPr>
        <w:t xml:space="preserve"> является одной из важнейших </w:t>
      </w:r>
      <w:proofErr w:type="spellStart"/>
      <w:r w:rsidRPr="00D8312B">
        <w:rPr>
          <w:rFonts w:ascii="Times New Roman" w:eastAsia="Arial" w:hAnsi="Times New Roman" w:cs="Times New Roman"/>
          <w:sz w:val="24"/>
          <w:szCs w:val="28"/>
        </w:rPr>
        <w:t>медико-психолого-социальных</w:t>
      </w:r>
      <w:proofErr w:type="spellEnd"/>
      <w:r w:rsidRPr="00D8312B">
        <w:rPr>
          <w:rFonts w:ascii="Times New Roman" w:eastAsia="Arial" w:hAnsi="Times New Roman" w:cs="Times New Roman"/>
          <w:sz w:val="24"/>
          <w:szCs w:val="28"/>
        </w:rPr>
        <w:t xml:space="preserve"> проблем в большинстве стран Европы и Америки.</w:t>
      </w:r>
      <w:r w:rsidR="004B6180" w:rsidRPr="00D8312B">
        <w:rPr>
          <w:rFonts w:ascii="Times New Roman" w:eastAsia="Arial" w:hAnsi="Times New Roman" w:cs="Times New Roman"/>
          <w:sz w:val="24"/>
          <w:szCs w:val="28"/>
        </w:rPr>
        <w:t xml:space="preserve"> От</w:t>
      </w:r>
      <w:r w:rsidRPr="00D8312B">
        <w:rPr>
          <w:rFonts w:ascii="Times New Roman" w:eastAsia="Arial" w:hAnsi="Times New Roman" w:cs="Times New Roman"/>
          <w:sz w:val="24"/>
          <w:szCs w:val="28"/>
        </w:rPr>
        <w:t>мечается ежегодное увеличение количества таких детей [7].</w:t>
      </w:r>
    </w:p>
    <w:p w:rsidR="002D1D35" w:rsidRDefault="002D1D35" w:rsidP="004B6180">
      <w:pPr>
        <w:ind w:left="4"/>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Данное расстройство негативно сказывается на социальной адаптации больных детей. Они испытывают трудности в учебе, проблемы в межличностном общении, в подростковом и юношеском возрасте чаще других подвержены </w:t>
      </w:r>
      <w:proofErr w:type="spellStart"/>
      <w:r w:rsidRPr="00D8312B">
        <w:rPr>
          <w:rFonts w:ascii="Times New Roman" w:eastAsia="Arial" w:hAnsi="Times New Roman" w:cs="Times New Roman"/>
          <w:sz w:val="24"/>
          <w:szCs w:val="28"/>
        </w:rPr>
        <w:t>девиантному</w:t>
      </w:r>
      <w:proofErr w:type="spellEnd"/>
      <w:r w:rsidRPr="00D8312B">
        <w:rPr>
          <w:rFonts w:ascii="Times New Roman" w:eastAsia="Arial" w:hAnsi="Times New Roman" w:cs="Times New Roman"/>
          <w:sz w:val="24"/>
          <w:szCs w:val="28"/>
        </w:rPr>
        <w:t xml:space="preserve"> поведению. Наряду</w:t>
      </w:r>
      <w:r w:rsidR="004B6180" w:rsidRPr="00D8312B">
        <w:rPr>
          <w:rFonts w:ascii="Times New Roman" w:eastAsia="Arial" w:hAnsi="Times New Roman" w:cs="Times New Roman"/>
          <w:sz w:val="24"/>
          <w:szCs w:val="28"/>
        </w:rPr>
        <w:t xml:space="preserve"> с </w:t>
      </w:r>
      <w:r w:rsidRPr="00D8312B">
        <w:rPr>
          <w:rFonts w:ascii="Times New Roman" w:eastAsia="Arial" w:hAnsi="Times New Roman" w:cs="Times New Roman"/>
          <w:sz w:val="24"/>
          <w:szCs w:val="28"/>
        </w:rPr>
        <w:t>этим важно отметить роль семьи в качестве фактора, способствующего более мягкому или, наоборот, более тяжелому протеканию заболевания. Как отмечает ряд авторов, очень важным является работа с семьей и педагогами с целью обучения их методам взаимодействия с такими детьми. Это важно, поскольку интеллект ребенка с СДВГ обычно ничуть не хуже, чем у здорового ребенка, а порой и лучше, ему лишь нужно помочь и несколько изменить требования, давать время отдохнуть, меньше ругать и оскорблять</w:t>
      </w:r>
      <w:r w:rsidR="00D8312B">
        <w:rPr>
          <w:rFonts w:ascii="Times New Roman" w:eastAsia="Arial" w:hAnsi="Times New Roman" w:cs="Times New Roman"/>
          <w:sz w:val="24"/>
          <w:szCs w:val="28"/>
        </w:rPr>
        <w:t>.</w:t>
      </w:r>
    </w:p>
    <w:p w:rsidR="00D8312B" w:rsidRPr="00D8312B" w:rsidRDefault="00D8312B" w:rsidP="004B6180">
      <w:pPr>
        <w:ind w:left="4"/>
        <w:jc w:val="both"/>
        <w:rPr>
          <w:rFonts w:ascii="Times New Roman" w:eastAsia="Arial" w:hAnsi="Times New Roman" w:cs="Times New Roman"/>
          <w:sz w:val="24"/>
          <w:szCs w:val="28"/>
        </w:rPr>
      </w:pPr>
    </w:p>
    <w:p w:rsidR="002D1D35" w:rsidRDefault="002D1D35" w:rsidP="002D1D35">
      <w:pPr>
        <w:ind w:left="4"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СДВГ имеет несколько форм. В современной литературе (согласно МКБ-10) в основном описываются три формы: СДВГ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xml:space="preserve"> и импульсивности (СДГ); СДВГ с преобладанием нарушений внимания (СДВ) и смешанная форма СДВГ. Кроме этого, данный синдром может сочетаться с другими нарушениями, такими как тики, </w:t>
      </w:r>
      <w:proofErr w:type="spellStart"/>
      <w:r w:rsidRPr="00D8312B">
        <w:rPr>
          <w:rFonts w:ascii="Times New Roman" w:eastAsia="Arial" w:hAnsi="Times New Roman" w:cs="Times New Roman"/>
          <w:sz w:val="24"/>
          <w:szCs w:val="28"/>
        </w:rPr>
        <w:t>энурез</w:t>
      </w:r>
      <w:proofErr w:type="spellEnd"/>
      <w:r w:rsidRPr="00D8312B">
        <w:rPr>
          <w:rFonts w:ascii="Times New Roman" w:eastAsia="Arial" w:hAnsi="Times New Roman" w:cs="Times New Roman"/>
          <w:sz w:val="24"/>
          <w:szCs w:val="28"/>
        </w:rPr>
        <w:t>, заикания и др. [5].</w:t>
      </w:r>
    </w:p>
    <w:p w:rsidR="00D8312B" w:rsidRPr="00D8312B" w:rsidRDefault="00D8312B" w:rsidP="002D1D35">
      <w:pPr>
        <w:ind w:left="4" w:firstLine="567"/>
        <w:jc w:val="both"/>
        <w:rPr>
          <w:rFonts w:ascii="Times New Roman" w:eastAsia="Arial" w:hAnsi="Times New Roman" w:cs="Times New Roman"/>
          <w:sz w:val="24"/>
          <w:szCs w:val="28"/>
        </w:rPr>
      </w:pPr>
    </w:p>
    <w:p w:rsidR="004B6180" w:rsidRDefault="002D1D35" w:rsidP="004B6180">
      <w:pPr>
        <w:ind w:left="4"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Анализ существующей литературы показал, что работы, посвященные изучению детей, страдающих СДВГ, в основном носят клинический характер. В исследованиях, носящих психологический характер, в основном изучались особенности когнитивной и эмоциональной сфер без учета пола, формы синдрома. Исследования семьи таких детей в основном носят описательный характер. Научная новизна исследования заключается в том, что работа направлена на изучение особенностей когнитивной и эмоциональной сфер этих детей с учетом пола, формы СДВГ и особенностей воспитания.</w:t>
      </w:r>
    </w:p>
    <w:p w:rsidR="00D8312B" w:rsidRPr="00D8312B" w:rsidRDefault="00D8312B" w:rsidP="004B6180">
      <w:pPr>
        <w:ind w:left="4" w:firstLine="567"/>
        <w:jc w:val="both"/>
        <w:rPr>
          <w:rFonts w:ascii="Times New Roman" w:eastAsia="Arial" w:hAnsi="Times New Roman" w:cs="Times New Roman"/>
          <w:sz w:val="24"/>
          <w:szCs w:val="28"/>
        </w:rPr>
      </w:pPr>
    </w:p>
    <w:p w:rsidR="004B6180" w:rsidRDefault="002D1D35" w:rsidP="004B6180">
      <w:pPr>
        <w:ind w:left="4"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Таким образом, данное исследование можно считать актуальным. Его цель – выявление особенностей эмоциональной сферы младших школьников, страдающих синдромом дефицита внимания с </w:t>
      </w:r>
      <w:proofErr w:type="spellStart"/>
      <w:r w:rsidRPr="00D8312B">
        <w:rPr>
          <w:rFonts w:ascii="Times New Roman" w:eastAsia="Arial" w:hAnsi="Times New Roman" w:cs="Times New Roman"/>
          <w:sz w:val="24"/>
          <w:szCs w:val="28"/>
        </w:rPr>
        <w:t>гиперактивностью</w:t>
      </w:r>
      <w:proofErr w:type="spellEnd"/>
      <w:r w:rsidRPr="00D8312B">
        <w:rPr>
          <w:rFonts w:ascii="Times New Roman" w:eastAsia="Arial" w:hAnsi="Times New Roman" w:cs="Times New Roman"/>
          <w:sz w:val="24"/>
          <w:szCs w:val="28"/>
        </w:rPr>
        <w:t xml:space="preserve"> в зависимости от формы заболевания.</w:t>
      </w:r>
    </w:p>
    <w:p w:rsidR="00D8312B" w:rsidRPr="00D8312B" w:rsidRDefault="00D8312B" w:rsidP="004B6180">
      <w:pPr>
        <w:ind w:left="4" w:firstLine="567"/>
        <w:jc w:val="both"/>
        <w:rPr>
          <w:rFonts w:ascii="Times New Roman" w:eastAsia="Arial" w:hAnsi="Times New Roman" w:cs="Times New Roman"/>
          <w:sz w:val="24"/>
          <w:szCs w:val="28"/>
        </w:rPr>
      </w:pPr>
    </w:p>
    <w:p w:rsidR="004B6180" w:rsidRDefault="002D1D35" w:rsidP="004B6180">
      <w:pPr>
        <w:ind w:left="4"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Экспериментальная группа составила 43 ребенка с СДГ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а также 52 ребенка с СДВ (с преобладанием невнимательности). Средний возраст испытуемых составлял 8–10 лет. Диагноз СДВГ был поставлен врачами-психиатрами ЦВЛ «Детская психиатрия».</w:t>
      </w:r>
    </w:p>
    <w:p w:rsidR="00D8312B" w:rsidRPr="00D8312B" w:rsidRDefault="00D8312B" w:rsidP="004B6180">
      <w:pPr>
        <w:ind w:left="4" w:firstLine="566"/>
        <w:jc w:val="both"/>
        <w:rPr>
          <w:rFonts w:ascii="Times New Roman" w:eastAsia="Arial" w:hAnsi="Times New Roman" w:cs="Times New Roman"/>
          <w:sz w:val="24"/>
          <w:szCs w:val="28"/>
        </w:rPr>
      </w:pPr>
    </w:p>
    <w:p w:rsidR="002D1D35" w:rsidRPr="00D8312B" w:rsidRDefault="002D1D35" w:rsidP="004B6180">
      <w:pPr>
        <w:ind w:left="4"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Контрольная группа составила 48 практически здоровых детей. Средний возраст составил 8–10 лет.</w:t>
      </w:r>
    </w:p>
    <w:p w:rsidR="002D1D35" w:rsidRPr="00D8312B" w:rsidRDefault="002D1D35" w:rsidP="004B6180">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Исследование проводилось в общеобразовательной школе № 371 Московского района и на отделениях ЦВЛ «Детская психиатрия».</w:t>
      </w:r>
    </w:p>
    <w:p w:rsidR="002D1D35" w:rsidRPr="00D8312B" w:rsidRDefault="002D1D35" w:rsidP="002D1D35">
      <w:pPr>
        <w:ind w:left="120" w:right="240"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При исследовании использовались следующие психодиагностические методики: </w:t>
      </w:r>
      <w:proofErr w:type="spellStart"/>
      <w:r w:rsidRPr="00D8312B">
        <w:rPr>
          <w:rFonts w:ascii="Times New Roman" w:eastAsia="Arial" w:hAnsi="Times New Roman" w:cs="Times New Roman"/>
          <w:sz w:val="24"/>
          <w:szCs w:val="28"/>
        </w:rPr>
        <w:t>опросник</w:t>
      </w:r>
      <w:proofErr w:type="spellEnd"/>
      <w:r w:rsidRPr="00D8312B">
        <w:rPr>
          <w:rFonts w:ascii="Times New Roman" w:eastAsia="Arial" w:hAnsi="Times New Roman" w:cs="Times New Roman"/>
          <w:sz w:val="24"/>
          <w:szCs w:val="28"/>
        </w:rPr>
        <w:t xml:space="preserve"> </w:t>
      </w:r>
      <w:proofErr w:type="spellStart"/>
      <w:r w:rsidRPr="00D8312B">
        <w:rPr>
          <w:rFonts w:ascii="Times New Roman" w:eastAsia="Arial" w:hAnsi="Times New Roman" w:cs="Times New Roman"/>
          <w:sz w:val="24"/>
          <w:szCs w:val="28"/>
        </w:rPr>
        <w:t>Басса-Дарки</w:t>
      </w:r>
      <w:proofErr w:type="spellEnd"/>
      <w:r w:rsidRPr="00D8312B">
        <w:rPr>
          <w:rFonts w:ascii="Times New Roman" w:eastAsia="Arial" w:hAnsi="Times New Roman" w:cs="Times New Roman"/>
          <w:sz w:val="24"/>
          <w:szCs w:val="28"/>
        </w:rPr>
        <w:t xml:space="preserve">, шкала явной тревожности CMAS, проективная методика «Домики», </w:t>
      </w:r>
      <w:proofErr w:type="spellStart"/>
      <w:r w:rsidRPr="00D8312B">
        <w:rPr>
          <w:rFonts w:ascii="Times New Roman" w:eastAsia="Arial" w:hAnsi="Times New Roman" w:cs="Times New Roman"/>
          <w:sz w:val="24"/>
          <w:szCs w:val="28"/>
        </w:rPr>
        <w:t>опросник</w:t>
      </w:r>
      <w:proofErr w:type="spellEnd"/>
      <w:r w:rsidRPr="00D8312B">
        <w:rPr>
          <w:rFonts w:ascii="Times New Roman" w:eastAsia="Arial" w:hAnsi="Times New Roman" w:cs="Times New Roman"/>
          <w:sz w:val="24"/>
          <w:szCs w:val="28"/>
        </w:rPr>
        <w:t xml:space="preserve"> «Страхи», </w:t>
      </w:r>
      <w:proofErr w:type="spellStart"/>
      <w:r w:rsidRPr="00D8312B">
        <w:rPr>
          <w:rFonts w:ascii="Times New Roman" w:eastAsia="Arial" w:hAnsi="Times New Roman" w:cs="Times New Roman"/>
          <w:sz w:val="24"/>
          <w:szCs w:val="28"/>
        </w:rPr>
        <w:t>опросник</w:t>
      </w:r>
      <w:proofErr w:type="spellEnd"/>
      <w:r w:rsidRPr="00D8312B">
        <w:rPr>
          <w:rFonts w:ascii="Times New Roman" w:eastAsia="Arial" w:hAnsi="Times New Roman" w:cs="Times New Roman"/>
          <w:sz w:val="24"/>
          <w:szCs w:val="28"/>
        </w:rPr>
        <w:t xml:space="preserve"> «Анализ семейных взаимоотношений» (АСВ) </w:t>
      </w:r>
      <w:proofErr w:type="spellStart"/>
      <w:r w:rsidRPr="00D8312B">
        <w:rPr>
          <w:rFonts w:ascii="Times New Roman" w:eastAsia="Arial" w:hAnsi="Times New Roman" w:cs="Times New Roman"/>
          <w:sz w:val="24"/>
          <w:szCs w:val="28"/>
        </w:rPr>
        <w:t>Эйдемиллера</w:t>
      </w:r>
      <w:proofErr w:type="spellEnd"/>
      <w:r w:rsidRPr="00D8312B">
        <w:rPr>
          <w:rFonts w:ascii="Times New Roman" w:eastAsia="Arial" w:hAnsi="Times New Roman" w:cs="Times New Roman"/>
          <w:sz w:val="24"/>
          <w:szCs w:val="28"/>
        </w:rPr>
        <w:t xml:space="preserve"> Э.Г., </w:t>
      </w:r>
      <w:proofErr w:type="spellStart"/>
      <w:r w:rsidRPr="00D8312B">
        <w:rPr>
          <w:rFonts w:ascii="Times New Roman" w:eastAsia="Arial" w:hAnsi="Times New Roman" w:cs="Times New Roman"/>
          <w:sz w:val="24"/>
          <w:szCs w:val="28"/>
        </w:rPr>
        <w:t>Юстицкиса</w:t>
      </w:r>
      <w:proofErr w:type="spellEnd"/>
      <w:r w:rsidRPr="00D8312B">
        <w:rPr>
          <w:rFonts w:ascii="Times New Roman" w:eastAsia="Arial" w:hAnsi="Times New Roman" w:cs="Times New Roman"/>
          <w:sz w:val="24"/>
          <w:szCs w:val="28"/>
        </w:rPr>
        <w:t xml:space="preserve"> В.</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lastRenderedPageBreak/>
        <w:t>Нами был проведен сравнительный анализ агрессивности и враждебных реакций (</w:t>
      </w:r>
      <w:proofErr w:type="spellStart"/>
      <w:r w:rsidRPr="00D8312B">
        <w:rPr>
          <w:rFonts w:ascii="Times New Roman" w:eastAsia="Arial" w:hAnsi="Times New Roman" w:cs="Times New Roman"/>
          <w:sz w:val="24"/>
          <w:szCs w:val="28"/>
        </w:rPr>
        <w:t>опросник</w:t>
      </w:r>
      <w:proofErr w:type="spellEnd"/>
      <w:r w:rsidRPr="00D8312B">
        <w:rPr>
          <w:rFonts w:ascii="Times New Roman" w:eastAsia="Arial" w:hAnsi="Times New Roman" w:cs="Times New Roman"/>
          <w:sz w:val="24"/>
          <w:szCs w:val="28"/>
        </w:rPr>
        <w:t xml:space="preserve"> </w:t>
      </w:r>
      <w:proofErr w:type="spellStart"/>
      <w:r w:rsidRPr="00D8312B">
        <w:rPr>
          <w:rFonts w:ascii="Times New Roman" w:eastAsia="Arial" w:hAnsi="Times New Roman" w:cs="Times New Roman"/>
          <w:sz w:val="24"/>
          <w:szCs w:val="28"/>
        </w:rPr>
        <w:t>Басса-Дарки</w:t>
      </w:r>
      <w:proofErr w:type="spellEnd"/>
      <w:r w:rsidRPr="00D8312B">
        <w:rPr>
          <w:rFonts w:ascii="Times New Roman" w:eastAsia="Arial" w:hAnsi="Times New Roman" w:cs="Times New Roman"/>
          <w:sz w:val="24"/>
          <w:szCs w:val="28"/>
        </w:rPr>
        <w:t>) детей, страдающих СДГ, СДВ и практически здоровых.</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numPr>
          <w:ilvl w:val="0"/>
          <w:numId w:val="5"/>
        </w:numPr>
        <w:tabs>
          <w:tab w:val="left" w:pos="960"/>
        </w:tabs>
        <w:ind w:left="120" w:right="240" w:firstLine="562"/>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целью выявления уровневых различий определялась значимость различий средних значений. Достоверность различий средних значений определялась с помощью критерия t-Стьюдента (табл. 1, 2, 3).</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1</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right="1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 по показателям агрессивности и враждебных реакций контрольной группы и детей с СДВ</w:t>
      </w:r>
    </w:p>
    <w:tbl>
      <w:tblPr>
        <w:tblW w:w="0" w:type="auto"/>
        <w:tblInd w:w="10" w:type="dxa"/>
        <w:tblLayout w:type="fixed"/>
        <w:tblCellMar>
          <w:left w:w="0" w:type="dxa"/>
          <w:right w:w="0" w:type="dxa"/>
        </w:tblCellMar>
        <w:tblLook w:val="0000"/>
      </w:tblPr>
      <w:tblGrid>
        <w:gridCol w:w="3500"/>
        <w:gridCol w:w="2220"/>
        <w:gridCol w:w="2200"/>
        <w:gridCol w:w="1520"/>
      </w:tblGrid>
      <w:tr w:rsidR="002D1D35" w:rsidRPr="00D8312B" w:rsidTr="00FF2E11">
        <w:trPr>
          <w:trHeight w:val="262"/>
        </w:trPr>
        <w:tc>
          <w:tcPr>
            <w:tcW w:w="350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Контроль</w:t>
            </w:r>
          </w:p>
        </w:tc>
        <w:tc>
          <w:tcPr>
            <w:tcW w:w="220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w:t>
            </w:r>
          </w:p>
        </w:tc>
        <w:tc>
          <w:tcPr>
            <w:tcW w:w="15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FF2E11">
        <w:trPr>
          <w:trHeight w:val="263"/>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Раздражительность</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3,6</w:t>
            </w:r>
          </w:p>
        </w:tc>
        <w:tc>
          <w:tcPr>
            <w:tcW w:w="220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5,4</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w:t>
            </w:r>
          </w:p>
        </w:tc>
      </w:tr>
      <w:tr w:rsidR="002D1D35" w:rsidRPr="00D8312B" w:rsidTr="00FF2E11">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Чувство вины</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4,9</w:t>
            </w:r>
          </w:p>
        </w:tc>
        <w:tc>
          <w:tcPr>
            <w:tcW w:w="220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7,6</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&lt;0,001</w:t>
            </w:r>
          </w:p>
        </w:tc>
      </w:tr>
      <w:tr w:rsidR="002D1D35" w:rsidRPr="00D8312B" w:rsidTr="00FF2E11">
        <w:trPr>
          <w:trHeight w:val="263"/>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Обида</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3</w:t>
            </w:r>
          </w:p>
        </w:tc>
        <w:tc>
          <w:tcPr>
            <w:tcW w:w="220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5,6</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bl>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2</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right="1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 по показателям агрессивности и враждебных реакций контрольной группы и детей с СДГ</w:t>
      </w:r>
    </w:p>
    <w:tbl>
      <w:tblPr>
        <w:tblW w:w="0" w:type="auto"/>
        <w:tblInd w:w="10" w:type="dxa"/>
        <w:tblLayout w:type="fixed"/>
        <w:tblCellMar>
          <w:left w:w="0" w:type="dxa"/>
          <w:right w:w="0" w:type="dxa"/>
        </w:tblCellMar>
        <w:tblLook w:val="0000"/>
      </w:tblPr>
      <w:tblGrid>
        <w:gridCol w:w="3500"/>
        <w:gridCol w:w="2220"/>
        <w:gridCol w:w="2220"/>
        <w:gridCol w:w="1500"/>
      </w:tblGrid>
      <w:tr w:rsidR="002D1D35" w:rsidRPr="00D8312B" w:rsidTr="00FF2E11">
        <w:trPr>
          <w:trHeight w:val="263"/>
        </w:trPr>
        <w:tc>
          <w:tcPr>
            <w:tcW w:w="350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Контроль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СДГ</w:t>
            </w:r>
          </w:p>
        </w:tc>
        <w:tc>
          <w:tcPr>
            <w:tcW w:w="150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FF2E11">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Физическая агрессия</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5,7</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8,4</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r w:rsidR="002D1D35" w:rsidRPr="00D8312B" w:rsidTr="00FF2E11">
        <w:trPr>
          <w:trHeight w:val="263"/>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Косвенная агрессия</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3,1</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6,1</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r w:rsidR="002D1D35" w:rsidRPr="00D8312B" w:rsidTr="00FF2E11">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Раздражительность</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3,6</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8,3</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w:t>
            </w:r>
          </w:p>
        </w:tc>
      </w:tr>
      <w:tr w:rsidR="002D1D35" w:rsidRPr="00D8312B" w:rsidTr="00FF2E11">
        <w:trPr>
          <w:trHeight w:val="263"/>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Вербальная агрессия</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5,4</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8,2</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r w:rsidR="002D1D35" w:rsidRPr="00D8312B" w:rsidTr="00FF2E11">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Негативизм</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1,9</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4</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w:t>
            </w:r>
          </w:p>
        </w:tc>
      </w:tr>
    </w:tbl>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3</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2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 по показателям</w:t>
      </w:r>
    </w:p>
    <w:p w:rsidR="002D1D35" w:rsidRPr="00D8312B" w:rsidRDefault="002D1D35" w:rsidP="002D1D35">
      <w:pPr>
        <w:ind w:left="7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агрессивности и враждебных реакций детей с СДВ и с СДГ</w:t>
      </w:r>
    </w:p>
    <w:tbl>
      <w:tblPr>
        <w:tblW w:w="9440" w:type="dxa"/>
        <w:tblInd w:w="10" w:type="dxa"/>
        <w:tblLayout w:type="fixed"/>
        <w:tblCellMar>
          <w:left w:w="0" w:type="dxa"/>
          <w:right w:w="0" w:type="dxa"/>
        </w:tblCellMar>
        <w:tblLook w:val="0000"/>
      </w:tblPr>
      <w:tblGrid>
        <w:gridCol w:w="3500"/>
        <w:gridCol w:w="2220"/>
        <w:gridCol w:w="2220"/>
        <w:gridCol w:w="1500"/>
      </w:tblGrid>
      <w:tr w:rsidR="002D1D35" w:rsidRPr="00D8312B" w:rsidTr="002D1D35">
        <w:trPr>
          <w:trHeight w:val="268"/>
        </w:trPr>
        <w:tc>
          <w:tcPr>
            <w:tcW w:w="350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СДГ</w:t>
            </w:r>
          </w:p>
        </w:tc>
        <w:tc>
          <w:tcPr>
            <w:tcW w:w="150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2D1D35">
        <w:trPr>
          <w:trHeight w:val="263"/>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Физическая агрессия</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6,1</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8,4</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w:t>
            </w:r>
          </w:p>
        </w:tc>
      </w:tr>
      <w:tr w:rsidR="002D1D35" w:rsidRPr="00D8312B" w:rsidTr="002D1D35">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Косвенная агрессия</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4,3</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6,1</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r w:rsidR="002D1D35" w:rsidRPr="00D8312B" w:rsidTr="002D1D35">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Раздражительность</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5,4</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8,3</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r w:rsidR="002D1D35" w:rsidRPr="00D8312B" w:rsidTr="002D1D35">
        <w:trPr>
          <w:trHeight w:val="263"/>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Вербальная агрессия</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6,3</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8,2</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r w:rsidR="002D1D35" w:rsidRPr="00D8312B" w:rsidTr="002D1D35">
        <w:trPr>
          <w:trHeight w:val="268"/>
        </w:trPr>
        <w:tc>
          <w:tcPr>
            <w:tcW w:w="350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Чувство вины</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7,6</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5,8</w:t>
            </w:r>
          </w:p>
        </w:tc>
        <w:tc>
          <w:tcPr>
            <w:tcW w:w="150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bl>
    <w:p w:rsidR="004B6180" w:rsidRPr="00D8312B" w:rsidRDefault="004B6180" w:rsidP="002D1D35">
      <w:pPr>
        <w:ind w:left="120" w:right="240" w:firstLine="567"/>
        <w:jc w:val="both"/>
        <w:rPr>
          <w:rFonts w:ascii="Times New Roman" w:eastAsia="Arial" w:hAnsi="Times New Roman" w:cs="Times New Roman"/>
          <w:sz w:val="24"/>
          <w:szCs w:val="28"/>
        </w:rPr>
      </w:pPr>
    </w:p>
    <w:p w:rsidR="002D1D35" w:rsidRPr="00D8312B" w:rsidRDefault="002D1D35" w:rsidP="002D1D35">
      <w:pPr>
        <w:ind w:left="120" w:right="240"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Выяснилось, что дети, страдающие СДВГ с преобладанием невнимательности, чаще, чем здоровые дети, испытывают: раздражительность, то есть, готовы к проявлению негативных чувств (вспыльчивость, грубость)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 чувство вины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&lt;0,001), обиду, которая проявляется в зависти или ненависти к окружающим за действительные или вымышленные действия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p w:rsidR="002D1D35" w:rsidRPr="00D8312B" w:rsidRDefault="002D1D35" w:rsidP="002D1D35">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Дети с преобладанием невнимательности чаще, чем дети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испытывают чувство вины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20" w:right="240"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Дети, страдающие СДВГ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xml:space="preserve"> склонны больше, чем дети с СДВГ с преобладанием невнимательности, проявлять физическую агрессию, т. е. физическую силу, направленную против другого лица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 косвенную агрессию – агрессию, окольным путем направленную на другое лицо или на самого себя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 xml:space="preserve">&lt;0,01), раздражение, т. е. готовность к проявлению негативных </w:t>
      </w:r>
      <w:r w:rsidRPr="00D8312B">
        <w:rPr>
          <w:rFonts w:ascii="Times New Roman" w:eastAsia="Arial" w:hAnsi="Times New Roman" w:cs="Times New Roman"/>
          <w:sz w:val="24"/>
          <w:szCs w:val="28"/>
        </w:rPr>
        <w:lastRenderedPageBreak/>
        <w:t>чувств (вспыльчивость, грубость)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&lt;0,05), вербальную агрессию – выражение негативных чувств как через форму (крик, визг), так и через содержание словесных ответов (проклятья, угро</w:t>
      </w:r>
      <w:r w:rsidR="004B6180" w:rsidRPr="00D8312B">
        <w:rPr>
          <w:rFonts w:ascii="Times New Roman" w:eastAsia="Arial" w:hAnsi="Times New Roman" w:cs="Times New Roman"/>
          <w:sz w:val="24"/>
          <w:szCs w:val="28"/>
        </w:rPr>
        <w:t>з</w:t>
      </w:r>
      <w:r w:rsidRPr="00D8312B">
        <w:rPr>
          <w:rFonts w:ascii="Times New Roman" w:eastAsia="Arial" w:hAnsi="Times New Roman" w:cs="Times New Roman"/>
          <w:sz w:val="24"/>
          <w:szCs w:val="28"/>
        </w:rPr>
        <w:t>ы) (</w:t>
      </w: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p w:rsidR="002D1D35" w:rsidRPr="00D8312B" w:rsidRDefault="002D1D35" w:rsidP="002D1D35">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Также был проведен сравнительный анализ тревожности (CMAS) детей, страдающих СДГ, СДВ и практически здоровых. Достоверность различий средних значений определялась с помощью критерия t-Стьюдента (табл. 4, 5).</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4</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1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w:t>
      </w:r>
    </w:p>
    <w:p w:rsidR="002D1D35" w:rsidRPr="00D8312B" w:rsidRDefault="002D1D35" w:rsidP="002D1D35">
      <w:pPr>
        <w:ind w:left="7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 уровню тревожности контрольной группы и детей с СДВ</w:t>
      </w:r>
    </w:p>
    <w:tbl>
      <w:tblPr>
        <w:tblW w:w="0" w:type="auto"/>
        <w:tblInd w:w="10" w:type="dxa"/>
        <w:tblLayout w:type="fixed"/>
        <w:tblCellMar>
          <w:left w:w="0" w:type="dxa"/>
          <w:right w:w="0" w:type="dxa"/>
        </w:tblCellMar>
        <w:tblLook w:val="0000"/>
      </w:tblPr>
      <w:tblGrid>
        <w:gridCol w:w="3480"/>
        <w:gridCol w:w="2220"/>
        <w:gridCol w:w="2220"/>
        <w:gridCol w:w="1520"/>
      </w:tblGrid>
      <w:tr w:rsidR="002D1D35" w:rsidRPr="00D8312B" w:rsidTr="00FF2E11">
        <w:trPr>
          <w:trHeight w:val="268"/>
        </w:trPr>
        <w:tc>
          <w:tcPr>
            <w:tcW w:w="348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Контроль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w:t>
            </w:r>
          </w:p>
        </w:tc>
        <w:tc>
          <w:tcPr>
            <w:tcW w:w="15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FF2E11">
        <w:trPr>
          <w:trHeight w:val="268"/>
        </w:trPr>
        <w:tc>
          <w:tcPr>
            <w:tcW w:w="348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Тревожность</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5,9</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8,3</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bl>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5</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1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w:t>
      </w:r>
    </w:p>
    <w:p w:rsidR="002D1D35" w:rsidRPr="00D8312B" w:rsidRDefault="002D1D35" w:rsidP="002D1D35">
      <w:pPr>
        <w:ind w:left="8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 уровню тревожности контрольной группы и детей с СДГ</w:t>
      </w:r>
    </w:p>
    <w:tbl>
      <w:tblPr>
        <w:tblW w:w="0" w:type="auto"/>
        <w:tblInd w:w="10" w:type="dxa"/>
        <w:tblLayout w:type="fixed"/>
        <w:tblCellMar>
          <w:left w:w="0" w:type="dxa"/>
          <w:right w:w="0" w:type="dxa"/>
        </w:tblCellMar>
        <w:tblLook w:val="0000"/>
      </w:tblPr>
      <w:tblGrid>
        <w:gridCol w:w="3480"/>
        <w:gridCol w:w="2220"/>
        <w:gridCol w:w="2220"/>
        <w:gridCol w:w="1520"/>
      </w:tblGrid>
      <w:tr w:rsidR="002D1D35" w:rsidRPr="00D8312B" w:rsidTr="00FF2E11">
        <w:trPr>
          <w:trHeight w:val="268"/>
        </w:trPr>
        <w:tc>
          <w:tcPr>
            <w:tcW w:w="348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Контроль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СДГ</w:t>
            </w:r>
          </w:p>
        </w:tc>
        <w:tc>
          <w:tcPr>
            <w:tcW w:w="15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FF2E11">
        <w:trPr>
          <w:trHeight w:val="263"/>
        </w:trPr>
        <w:tc>
          <w:tcPr>
            <w:tcW w:w="348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Тревожность</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5,9</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7,8</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bl>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Дети, страдающие СДВГ с преобладанием невнимательности, обладают большим количеством страхов по сравнению с практически здоровыми детьми.</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20" w:right="2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У детей, страдающих СДВГ с преобладанием невнимательности, отмечается большее количество страхов, чем у детей с СДВГ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w:t>
      </w:r>
    </w:p>
    <w:p w:rsidR="002D1D35" w:rsidRPr="00D8312B" w:rsidRDefault="002D1D35" w:rsidP="002D1D35">
      <w:pPr>
        <w:ind w:left="120" w:right="240"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Был проведен сравнительный анализ количества страхов (</w:t>
      </w:r>
      <w:proofErr w:type="spellStart"/>
      <w:r w:rsidRPr="00D8312B">
        <w:rPr>
          <w:rFonts w:ascii="Times New Roman" w:eastAsia="Arial" w:hAnsi="Times New Roman" w:cs="Times New Roman"/>
          <w:sz w:val="24"/>
          <w:szCs w:val="28"/>
        </w:rPr>
        <w:t>опросник</w:t>
      </w:r>
      <w:proofErr w:type="spellEnd"/>
      <w:r w:rsidRPr="00D8312B">
        <w:rPr>
          <w:rFonts w:ascii="Times New Roman" w:eastAsia="Arial" w:hAnsi="Times New Roman" w:cs="Times New Roman"/>
          <w:sz w:val="24"/>
          <w:szCs w:val="28"/>
        </w:rPr>
        <w:t xml:space="preserve"> Захарова) детей, страдающих СДГ, СДВ и практически здоровых. Достоверность различий средних значений определялась с помощью критерия t-Стьюдента. Значимые различия представлены в табл. 6 и 7.</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6</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1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w:t>
      </w:r>
    </w:p>
    <w:p w:rsidR="002D1D35" w:rsidRPr="00D8312B" w:rsidRDefault="002D1D35" w:rsidP="002D1D35">
      <w:pPr>
        <w:ind w:left="86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 количеству страхов контрольной группы и детей с СДВ</w:t>
      </w:r>
    </w:p>
    <w:tbl>
      <w:tblPr>
        <w:tblW w:w="0" w:type="auto"/>
        <w:tblInd w:w="10" w:type="dxa"/>
        <w:tblLayout w:type="fixed"/>
        <w:tblCellMar>
          <w:left w:w="0" w:type="dxa"/>
          <w:right w:w="0" w:type="dxa"/>
        </w:tblCellMar>
        <w:tblLook w:val="0000"/>
      </w:tblPr>
      <w:tblGrid>
        <w:gridCol w:w="3480"/>
        <w:gridCol w:w="2220"/>
        <w:gridCol w:w="2220"/>
        <w:gridCol w:w="1520"/>
      </w:tblGrid>
      <w:tr w:rsidR="002D1D35" w:rsidRPr="00D8312B" w:rsidTr="00FF2E11">
        <w:trPr>
          <w:trHeight w:val="268"/>
        </w:trPr>
        <w:tc>
          <w:tcPr>
            <w:tcW w:w="348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Контроль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w:t>
            </w:r>
          </w:p>
        </w:tc>
        <w:tc>
          <w:tcPr>
            <w:tcW w:w="15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FF2E11">
        <w:trPr>
          <w:trHeight w:val="263"/>
        </w:trPr>
        <w:tc>
          <w:tcPr>
            <w:tcW w:w="348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Страхи</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8,7</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13,8</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bl>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Дети, страдающие СДВГ с преобладанием невнимательности, обладают большим количеством страхов по сравнению с практически здоровыми детьми.</w:t>
      </w:r>
    </w:p>
    <w:p w:rsidR="002D1D35" w:rsidRPr="00D8312B" w:rsidRDefault="002D1D35" w:rsidP="002D1D35">
      <w:pPr>
        <w:ind w:left="7840"/>
        <w:jc w:val="both"/>
        <w:rPr>
          <w:rFonts w:ascii="Times New Roman" w:eastAsia="Arial" w:hAnsi="Times New Roman" w:cs="Times New Roman"/>
          <w:i/>
          <w:sz w:val="24"/>
          <w:szCs w:val="28"/>
        </w:rPr>
      </w:pPr>
      <w:r w:rsidRPr="00D8312B">
        <w:rPr>
          <w:rFonts w:ascii="Times New Roman" w:eastAsia="Arial" w:hAnsi="Times New Roman" w:cs="Times New Roman"/>
          <w:i/>
          <w:sz w:val="24"/>
          <w:szCs w:val="28"/>
        </w:rPr>
        <w:t>Таблица 7</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left="114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Статистически значимые различия средних значений</w:t>
      </w:r>
    </w:p>
    <w:p w:rsidR="002D1D35" w:rsidRPr="00D8312B" w:rsidRDefault="002D1D35" w:rsidP="002D1D35">
      <w:pPr>
        <w:ind w:left="178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 количеству страхов детей с СДВ и с СДГ</w:t>
      </w:r>
    </w:p>
    <w:tbl>
      <w:tblPr>
        <w:tblW w:w="0" w:type="auto"/>
        <w:tblInd w:w="10" w:type="dxa"/>
        <w:tblLayout w:type="fixed"/>
        <w:tblCellMar>
          <w:left w:w="0" w:type="dxa"/>
          <w:right w:w="0" w:type="dxa"/>
        </w:tblCellMar>
        <w:tblLook w:val="0000"/>
      </w:tblPr>
      <w:tblGrid>
        <w:gridCol w:w="3480"/>
        <w:gridCol w:w="2220"/>
        <w:gridCol w:w="2220"/>
        <w:gridCol w:w="1520"/>
      </w:tblGrid>
      <w:tr w:rsidR="002D1D35" w:rsidRPr="00D8312B" w:rsidTr="00FF2E11">
        <w:trPr>
          <w:trHeight w:val="268"/>
        </w:trPr>
        <w:tc>
          <w:tcPr>
            <w:tcW w:w="3480" w:type="dxa"/>
            <w:tcBorders>
              <w:top w:val="single" w:sz="8" w:space="0" w:color="auto"/>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Показатель</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w:t>
            </w:r>
          </w:p>
        </w:tc>
        <w:tc>
          <w:tcPr>
            <w:tcW w:w="22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СДГ</w:t>
            </w:r>
          </w:p>
        </w:tc>
        <w:tc>
          <w:tcPr>
            <w:tcW w:w="1520" w:type="dxa"/>
            <w:tcBorders>
              <w:top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w:t>
            </w:r>
          </w:p>
        </w:tc>
      </w:tr>
      <w:tr w:rsidR="002D1D35" w:rsidRPr="00D8312B" w:rsidTr="00FF2E11">
        <w:trPr>
          <w:trHeight w:val="263"/>
        </w:trPr>
        <w:tc>
          <w:tcPr>
            <w:tcW w:w="3480" w:type="dxa"/>
            <w:tcBorders>
              <w:left w:val="single" w:sz="8" w:space="0" w:color="auto"/>
              <w:bottom w:val="single" w:sz="8" w:space="0" w:color="auto"/>
              <w:right w:val="single" w:sz="8" w:space="0" w:color="auto"/>
            </w:tcBorders>
            <w:shd w:val="clear" w:color="auto" w:fill="auto"/>
            <w:vAlign w:val="bottom"/>
          </w:tcPr>
          <w:p w:rsidR="002D1D35" w:rsidRPr="00D8312B" w:rsidRDefault="002D1D35" w:rsidP="00FF2E11">
            <w:pPr>
              <w:ind w:left="12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Страхи</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13,8</w:t>
            </w:r>
          </w:p>
        </w:tc>
        <w:tc>
          <w:tcPr>
            <w:tcW w:w="22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5,3</w:t>
            </w:r>
          </w:p>
        </w:tc>
        <w:tc>
          <w:tcPr>
            <w:tcW w:w="1520" w:type="dxa"/>
            <w:tcBorders>
              <w:bottom w:val="single" w:sz="8" w:space="0" w:color="auto"/>
              <w:right w:val="single" w:sz="8" w:space="0" w:color="auto"/>
            </w:tcBorders>
            <w:shd w:val="clear" w:color="auto" w:fill="auto"/>
            <w:vAlign w:val="bottom"/>
          </w:tcPr>
          <w:p w:rsidR="002D1D35" w:rsidRPr="00D8312B" w:rsidRDefault="002D1D35" w:rsidP="00FF2E11">
            <w:pPr>
              <w:ind w:left="10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р</w:t>
            </w:r>
            <w:proofErr w:type="spellEnd"/>
            <w:r w:rsidRPr="00D8312B">
              <w:rPr>
                <w:rFonts w:ascii="Times New Roman" w:eastAsia="Arial" w:hAnsi="Times New Roman" w:cs="Times New Roman"/>
                <w:sz w:val="24"/>
                <w:szCs w:val="28"/>
              </w:rPr>
              <w:t>&lt;0,01</w:t>
            </w:r>
          </w:p>
        </w:tc>
      </w:tr>
    </w:tbl>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numPr>
          <w:ilvl w:val="0"/>
          <w:numId w:val="6"/>
        </w:numPr>
        <w:tabs>
          <w:tab w:val="left" w:pos="993"/>
        </w:tabs>
        <w:ind w:left="120" w:right="240" w:firstLine="562"/>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детей, страдающих СДВГ с преобладанием невнимательности, отмечено большее количество страхов, чем у детей с СДВГ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w:t>
      </w:r>
    </w:p>
    <w:p w:rsidR="002D1D35" w:rsidRPr="00D8312B" w:rsidRDefault="002D1D35" w:rsidP="002D1D35">
      <w:pPr>
        <w:jc w:val="both"/>
        <w:rPr>
          <w:rFonts w:ascii="Times New Roman" w:eastAsia="Arial" w:hAnsi="Times New Roman" w:cs="Times New Roman"/>
          <w:sz w:val="24"/>
          <w:szCs w:val="28"/>
        </w:rPr>
      </w:pPr>
    </w:p>
    <w:p w:rsidR="002D1D35" w:rsidRPr="00D8312B" w:rsidRDefault="002D1D35" w:rsidP="002D1D35">
      <w:pPr>
        <w:ind w:left="120" w:right="240" w:firstLine="567"/>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lastRenderedPageBreak/>
        <w:t xml:space="preserve">С целью выявления взаимосвязей в эмоциональной сфере детей, страдающих СДВГ с преобладанием невнимательности и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нами был проведен корреляционный анализ. Полученные взаимосвязи показаны на рис. 1 и 2.</w:t>
      </w:r>
    </w:p>
    <w:p w:rsidR="002D1D35" w:rsidRPr="00D8312B" w:rsidRDefault="002D1D35" w:rsidP="002D1D35">
      <w:pPr>
        <w:jc w:val="both"/>
        <w:rPr>
          <w:rFonts w:ascii="Times New Roman" w:eastAsia="Arial" w:hAnsi="Times New Roman" w:cs="Times New Roman"/>
          <w:sz w:val="24"/>
          <w:szCs w:val="28"/>
        </w:rPr>
      </w:pPr>
    </w:p>
    <w:p w:rsidR="002D1D35" w:rsidRPr="00D8312B" w:rsidRDefault="002D1D35" w:rsidP="002D1D35">
      <w:pPr>
        <w:ind w:left="120" w:right="240"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Чувство вины имеет положительные корреляции с уровнем тревожности, обидой, количеством страхов; и отрицательные с раздражительностью, физической и вербальной агрессией, т. е. при увеличении чувства вины у детей, страдающих СДВГ с </w:t>
      </w:r>
      <w:proofErr w:type="spellStart"/>
      <w:r w:rsidRPr="00D8312B">
        <w:rPr>
          <w:rFonts w:ascii="Times New Roman" w:eastAsia="Arial" w:hAnsi="Times New Roman" w:cs="Times New Roman"/>
          <w:sz w:val="24"/>
          <w:szCs w:val="28"/>
        </w:rPr>
        <w:t>преоблада-нием</w:t>
      </w:r>
      <w:proofErr w:type="spellEnd"/>
      <w:r w:rsidRPr="00D8312B">
        <w:rPr>
          <w:rFonts w:ascii="Times New Roman" w:eastAsia="Arial" w:hAnsi="Times New Roman" w:cs="Times New Roman"/>
          <w:sz w:val="24"/>
          <w:szCs w:val="28"/>
        </w:rPr>
        <w:t xml:space="preserve"> невнимательности, увеличивается тревога, возрастает обида, они начинают большего бояться, и наряду с этим идет снижение раздраженности, готовности к причинению прямого вреда другим и словесным оскорблениям.</w:t>
      </w:r>
    </w:p>
    <w:p w:rsidR="002D1D35" w:rsidRPr="00D8312B" w:rsidRDefault="002D1D35" w:rsidP="002D1D35">
      <w:pPr>
        <w:ind w:firstLine="71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Обида положительно взаимосвязана с уровнем тревожности и отрицательно с раздражительностью, физической и вербальной агрессией, т. е. при увеличении обиды у этих детей повышается тревожность.</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firstLine="711"/>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Уровень тревожности положительно связан с количеством страхов, т. е. при повышении тревоги дети, страдающие СДВГ с преобладанием невнимательности, испытывают большее количест</w:t>
      </w:r>
      <w:r w:rsidR="004B6180" w:rsidRPr="00D8312B">
        <w:rPr>
          <w:rFonts w:ascii="Times New Roman" w:eastAsia="Arial" w:hAnsi="Times New Roman" w:cs="Times New Roman"/>
          <w:sz w:val="24"/>
          <w:szCs w:val="28"/>
        </w:rPr>
        <w:t>в</w:t>
      </w:r>
      <w:r w:rsidRPr="00D8312B">
        <w:rPr>
          <w:rFonts w:ascii="Times New Roman" w:eastAsia="Arial" w:hAnsi="Times New Roman" w:cs="Times New Roman"/>
          <w:sz w:val="24"/>
          <w:szCs w:val="28"/>
        </w:rPr>
        <w:t>о страхов.</w:t>
      </w:r>
    </w:p>
    <w:p w:rsidR="002D1D35" w:rsidRPr="00D8312B" w:rsidRDefault="002D1D35" w:rsidP="002D1D35">
      <w:pPr>
        <w:jc w:val="both"/>
        <w:rPr>
          <w:rFonts w:ascii="Times New Roman" w:eastAsia="Times New Roman" w:hAnsi="Times New Roman" w:cs="Times New Roman"/>
          <w:sz w:val="24"/>
          <w:szCs w:val="28"/>
        </w:rPr>
      </w:pPr>
    </w:p>
    <w:p w:rsidR="002D1D35" w:rsidRPr="00D8312B" w:rsidRDefault="002D1D35" w:rsidP="002D1D35">
      <w:pPr>
        <w:ind w:firstLine="71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Раздражительность положительно взаимосвязана с уровнем тревоги и физической агрессией, которая негативно связана с чувством вины, обидой и количеством страхов, и положительно с вербальной агрессией. Вербальная агрессия также имеет отрицательную взаимосвязь с чувством вины и обидой.</w:t>
      </w:r>
    </w:p>
    <w:p w:rsidR="002D1D35" w:rsidRPr="00D8312B" w:rsidRDefault="002D1D35" w:rsidP="002D1D35">
      <w:pPr>
        <w:ind w:left="4"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Полученные данные позволяют предположить, что дети страдающие СДВГ с преобладанием невнимательности, переживают внутри себя негативные эмоции, связанные с упреками родителей и учителей (за плохие оценки, частую отвлекаемость на уроках</w:t>
      </w:r>
    </w:p>
    <w:p w:rsidR="002D1D35" w:rsidRPr="00D8312B" w:rsidRDefault="002D1D35" w:rsidP="002D1D35">
      <w:pPr>
        <w:numPr>
          <w:ilvl w:val="0"/>
          <w:numId w:val="7"/>
        </w:numPr>
        <w:tabs>
          <w:tab w:val="left" w:pos="235"/>
        </w:tabs>
        <w:ind w:left="4" w:hanging="4"/>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т. д.). На это указывает направленность агрессии на самого ребенка (высокое чувство вины и обиды), снижение агрессии, направленной вовне (физическая, вербальная, косвенная), большое количество страхов и высокий уровень тревожности. В более позднем возрасте это может приводить к различным депрессивным расстройствам, к развитию различных зависимостей.</w:t>
      </w:r>
    </w:p>
    <w:p w:rsidR="002D1D35" w:rsidRPr="00D8312B" w:rsidRDefault="002D1D35" w:rsidP="002D1D35">
      <w:pPr>
        <w:numPr>
          <w:ilvl w:val="1"/>
          <w:numId w:val="7"/>
        </w:numPr>
        <w:tabs>
          <w:tab w:val="left" w:pos="858"/>
        </w:tabs>
        <w:ind w:left="4" w:firstLine="562"/>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детей, страдающих СДВГ с преобладанием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xml:space="preserve">, наблюдается обратная картина. Агрессия у таких детей направлена преимущественно вовне (физическая, вербальная и др.). Это в свою очередь может привести к развитию </w:t>
      </w:r>
      <w:proofErr w:type="spellStart"/>
      <w:r w:rsidRPr="00D8312B">
        <w:rPr>
          <w:rFonts w:ascii="Times New Roman" w:eastAsia="Arial" w:hAnsi="Times New Roman" w:cs="Times New Roman"/>
          <w:sz w:val="24"/>
          <w:szCs w:val="28"/>
        </w:rPr>
        <w:t>девиантного</w:t>
      </w:r>
      <w:proofErr w:type="spellEnd"/>
      <w:r w:rsidRPr="00D8312B">
        <w:rPr>
          <w:rFonts w:ascii="Times New Roman" w:eastAsia="Arial" w:hAnsi="Times New Roman" w:cs="Times New Roman"/>
          <w:sz w:val="24"/>
          <w:szCs w:val="28"/>
        </w:rPr>
        <w:t xml:space="preserve"> поведения в подростковом возрасте.</w:t>
      </w:r>
    </w:p>
    <w:p w:rsidR="002D1D35" w:rsidRPr="00D8312B" w:rsidRDefault="002D1D35" w:rsidP="002D1D35">
      <w:pPr>
        <w:jc w:val="both"/>
        <w:rPr>
          <w:rFonts w:ascii="Times New Roman" w:eastAsia="Arial" w:hAnsi="Times New Roman" w:cs="Times New Roman"/>
          <w:sz w:val="24"/>
          <w:szCs w:val="28"/>
        </w:rPr>
      </w:pPr>
    </w:p>
    <w:p w:rsidR="002D1D35" w:rsidRPr="00D8312B" w:rsidRDefault="002D1D35" w:rsidP="002D1D35">
      <w:pPr>
        <w:ind w:left="4" w:firstLine="566"/>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Таким образом, дети с разными формами СДВГ имеют различия в эмоциональной сфере, что обусловлено медик психологическими особенностями, определяющими тот или иной вариант течения данного заболевания. В связи с этим </w:t>
      </w:r>
      <w:proofErr w:type="spellStart"/>
      <w:r w:rsidRPr="00D8312B">
        <w:rPr>
          <w:rFonts w:ascii="Times New Roman" w:eastAsia="Arial" w:hAnsi="Times New Roman" w:cs="Times New Roman"/>
          <w:sz w:val="24"/>
          <w:szCs w:val="28"/>
        </w:rPr>
        <w:t>психокоррекционный</w:t>
      </w:r>
      <w:proofErr w:type="spellEnd"/>
      <w:r w:rsidRPr="00D8312B">
        <w:rPr>
          <w:rFonts w:ascii="Times New Roman" w:eastAsia="Arial" w:hAnsi="Times New Roman" w:cs="Times New Roman"/>
          <w:sz w:val="24"/>
          <w:szCs w:val="28"/>
        </w:rPr>
        <w:t xml:space="preserve"> подход к таким детям должен быть разным. У детей с СДВ необходимо работать с чувством вины, обидой, страхами, т. е. помочь ребенку выводить негативные переживания вовне. У детей с СДГ необходимо работать с агрессией и тревогой. Наряду с этим очень важной является работа с семьей и учителями, поскольку негативные переживания, которые эти дети испытывают при общении</w:t>
      </w:r>
    </w:p>
    <w:p w:rsidR="002D1D35" w:rsidRPr="00D8312B" w:rsidRDefault="002D1D35" w:rsidP="002D1D35">
      <w:pPr>
        <w:numPr>
          <w:ilvl w:val="0"/>
          <w:numId w:val="8"/>
        </w:numPr>
        <w:tabs>
          <w:tab w:val="left" w:pos="250"/>
        </w:tabs>
        <w:ind w:left="6" w:hanging="4"/>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ними, ведут к описанным выше проблемам. Такая работа должна быть, прежде всего, направлена на объяснение особенностей детей</w:t>
      </w:r>
    </w:p>
    <w:p w:rsidR="002D1D35" w:rsidRPr="00D8312B" w:rsidRDefault="002D1D35" w:rsidP="002D1D35">
      <w:pPr>
        <w:numPr>
          <w:ilvl w:val="0"/>
          <w:numId w:val="8"/>
        </w:numPr>
        <w:tabs>
          <w:tab w:val="left" w:pos="226"/>
        </w:tabs>
        <w:ind w:left="226" w:hanging="224"/>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СДВГ.</w:t>
      </w:r>
    </w:p>
    <w:p w:rsidR="002D1D35" w:rsidRPr="00D8312B" w:rsidRDefault="002D1D35" w:rsidP="002D1D35">
      <w:pPr>
        <w:jc w:val="both"/>
        <w:rPr>
          <w:rFonts w:ascii="Times New Roman" w:eastAsia="Times New Roman" w:hAnsi="Times New Roman" w:cs="Times New Roman"/>
          <w:sz w:val="24"/>
          <w:szCs w:val="28"/>
        </w:rPr>
      </w:pPr>
    </w:p>
    <w:p w:rsidR="004B6180" w:rsidRPr="00D8312B" w:rsidRDefault="004B6180" w:rsidP="002D1D35">
      <w:pPr>
        <w:ind w:right="-5"/>
        <w:jc w:val="both"/>
        <w:rPr>
          <w:rFonts w:ascii="Times New Roman" w:eastAsia="Arial" w:hAnsi="Times New Roman" w:cs="Times New Roman"/>
          <w:b/>
          <w:sz w:val="24"/>
          <w:szCs w:val="28"/>
        </w:rPr>
      </w:pPr>
    </w:p>
    <w:p w:rsidR="004B6180" w:rsidRPr="00D8312B" w:rsidRDefault="004B6180" w:rsidP="002D1D35">
      <w:pPr>
        <w:ind w:right="-5"/>
        <w:jc w:val="both"/>
        <w:rPr>
          <w:rFonts w:ascii="Times New Roman" w:eastAsia="Arial" w:hAnsi="Times New Roman" w:cs="Times New Roman"/>
          <w:b/>
          <w:sz w:val="24"/>
          <w:szCs w:val="28"/>
        </w:rPr>
      </w:pPr>
    </w:p>
    <w:p w:rsidR="004B6180" w:rsidRPr="00D8312B" w:rsidRDefault="004B6180" w:rsidP="002D1D35">
      <w:pPr>
        <w:ind w:right="-5"/>
        <w:jc w:val="both"/>
        <w:rPr>
          <w:rFonts w:ascii="Times New Roman" w:eastAsia="Arial" w:hAnsi="Times New Roman" w:cs="Times New Roman"/>
          <w:b/>
          <w:sz w:val="24"/>
          <w:szCs w:val="28"/>
        </w:rPr>
      </w:pPr>
    </w:p>
    <w:p w:rsidR="00D8312B" w:rsidRPr="00D8312B" w:rsidRDefault="00D8312B" w:rsidP="002D1D35">
      <w:pPr>
        <w:ind w:right="-5"/>
        <w:jc w:val="both"/>
        <w:rPr>
          <w:rFonts w:ascii="Times New Roman" w:eastAsia="Arial" w:hAnsi="Times New Roman" w:cs="Times New Roman"/>
          <w:b/>
          <w:sz w:val="24"/>
          <w:szCs w:val="28"/>
        </w:rPr>
      </w:pPr>
    </w:p>
    <w:p w:rsidR="004B6180" w:rsidRPr="00D8312B" w:rsidRDefault="004B6180" w:rsidP="002D1D35">
      <w:pPr>
        <w:ind w:right="-5"/>
        <w:jc w:val="both"/>
        <w:rPr>
          <w:rFonts w:ascii="Times New Roman" w:eastAsia="Arial" w:hAnsi="Times New Roman" w:cs="Times New Roman"/>
          <w:b/>
          <w:sz w:val="24"/>
          <w:szCs w:val="28"/>
        </w:rPr>
      </w:pPr>
    </w:p>
    <w:p w:rsidR="002D1D35" w:rsidRPr="00D8312B" w:rsidRDefault="002D1D35" w:rsidP="002D1D35">
      <w:pPr>
        <w:ind w:right="-5"/>
        <w:jc w:val="both"/>
        <w:rPr>
          <w:rFonts w:ascii="Times New Roman" w:eastAsia="Arial" w:hAnsi="Times New Roman" w:cs="Times New Roman"/>
          <w:b/>
          <w:sz w:val="24"/>
          <w:szCs w:val="28"/>
        </w:rPr>
      </w:pPr>
      <w:r w:rsidRPr="00D8312B">
        <w:rPr>
          <w:rFonts w:ascii="Times New Roman" w:eastAsia="Arial" w:hAnsi="Times New Roman" w:cs="Times New Roman"/>
          <w:b/>
          <w:sz w:val="24"/>
          <w:szCs w:val="28"/>
        </w:rPr>
        <w:t>Список литературы</w:t>
      </w:r>
    </w:p>
    <w:p w:rsidR="002D1D35" w:rsidRPr="00D8312B" w:rsidRDefault="002D1D35" w:rsidP="002D1D35">
      <w:pPr>
        <w:jc w:val="both"/>
        <w:rPr>
          <w:rFonts w:ascii="Times New Roman" w:eastAsia="Times New Roman" w:hAnsi="Times New Roman" w:cs="Times New Roman"/>
          <w:sz w:val="24"/>
          <w:szCs w:val="28"/>
        </w:rPr>
      </w:pPr>
    </w:p>
    <w:p w:rsidR="004B6180"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proofErr w:type="spellStart"/>
      <w:r w:rsidRPr="00D8312B">
        <w:rPr>
          <w:rFonts w:ascii="Times New Roman" w:eastAsia="Arial" w:hAnsi="Times New Roman" w:cs="Times New Roman"/>
          <w:sz w:val="24"/>
          <w:szCs w:val="28"/>
        </w:rPr>
        <w:t>Заваденко</w:t>
      </w:r>
      <w:proofErr w:type="spellEnd"/>
      <w:r w:rsidRPr="00D8312B">
        <w:rPr>
          <w:rFonts w:ascii="Times New Roman" w:eastAsia="Arial" w:hAnsi="Times New Roman" w:cs="Times New Roman"/>
          <w:sz w:val="24"/>
          <w:szCs w:val="28"/>
        </w:rPr>
        <w:t xml:space="preserve"> Н.Н. и др. Лечение минимальных мозговых дисфункций у</w:t>
      </w:r>
      <w:r w:rsidR="004B6180" w:rsidRPr="00D8312B">
        <w:rPr>
          <w:rFonts w:ascii="Times New Roman" w:eastAsia="Arial" w:hAnsi="Times New Roman" w:cs="Times New Roman"/>
          <w:sz w:val="24"/>
          <w:szCs w:val="28"/>
        </w:rPr>
        <w:t xml:space="preserve"> </w:t>
      </w:r>
      <w:r w:rsidRPr="00D8312B">
        <w:rPr>
          <w:rFonts w:ascii="Times New Roman" w:eastAsia="Arial" w:hAnsi="Times New Roman" w:cs="Times New Roman"/>
          <w:sz w:val="24"/>
          <w:szCs w:val="28"/>
        </w:rPr>
        <w:t xml:space="preserve">детей: терапевтические возможности </w:t>
      </w:r>
      <w:proofErr w:type="spellStart"/>
      <w:r w:rsidRPr="00D8312B">
        <w:rPr>
          <w:rFonts w:ascii="Times New Roman" w:eastAsia="Arial" w:hAnsi="Times New Roman" w:cs="Times New Roman"/>
          <w:sz w:val="24"/>
          <w:szCs w:val="28"/>
        </w:rPr>
        <w:t>инстенона</w:t>
      </w:r>
      <w:proofErr w:type="spellEnd"/>
      <w:r w:rsidRPr="00D8312B">
        <w:rPr>
          <w:rFonts w:ascii="Times New Roman" w:eastAsia="Arial" w:hAnsi="Times New Roman" w:cs="Times New Roman"/>
          <w:sz w:val="24"/>
          <w:szCs w:val="28"/>
        </w:rPr>
        <w:t xml:space="preserve"> / Н.Н. </w:t>
      </w:r>
      <w:proofErr w:type="spellStart"/>
      <w:r w:rsidRPr="00D8312B">
        <w:rPr>
          <w:rFonts w:ascii="Times New Roman" w:eastAsia="Arial" w:hAnsi="Times New Roman" w:cs="Times New Roman"/>
          <w:sz w:val="24"/>
          <w:szCs w:val="28"/>
        </w:rPr>
        <w:t>Заваденко</w:t>
      </w:r>
      <w:proofErr w:type="spellEnd"/>
      <w:r w:rsidRPr="00D8312B">
        <w:rPr>
          <w:rFonts w:ascii="Times New Roman" w:eastAsia="Arial" w:hAnsi="Times New Roman" w:cs="Times New Roman"/>
          <w:sz w:val="24"/>
          <w:szCs w:val="28"/>
        </w:rPr>
        <w:t xml:space="preserve"> // Русский медицинский журнал, 2005. – Т.13. – № 12. – С. 828–835.</w:t>
      </w:r>
    </w:p>
    <w:p w:rsidR="004B6180"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Лазебник Т.А. и др. Клинико-анамнестические особенности детей с синдромом дефицита внимания и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xml:space="preserve"> / Т.А. Лазебник // Первый Балтийский конгресс по детской неврологии. Материалы. – СПб.: Человек и здоровье, 2007. – С. 89–90.</w:t>
      </w:r>
    </w:p>
    <w:p w:rsidR="004B6180"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Романов А.М., Фесенко Ю.А. Особенности когнитивной и эмоциональной сферы у детей 8–10 лет, страдающих синдромом дефицита внимания и </w:t>
      </w:r>
      <w:proofErr w:type="spellStart"/>
      <w:r w:rsidRPr="00D8312B">
        <w:rPr>
          <w:rFonts w:ascii="Times New Roman" w:eastAsia="Arial" w:hAnsi="Times New Roman" w:cs="Times New Roman"/>
          <w:sz w:val="24"/>
          <w:szCs w:val="28"/>
        </w:rPr>
        <w:t>гиперактивности</w:t>
      </w:r>
      <w:proofErr w:type="spellEnd"/>
      <w:r w:rsidRPr="00D8312B">
        <w:rPr>
          <w:rFonts w:ascii="Times New Roman" w:eastAsia="Arial" w:hAnsi="Times New Roman" w:cs="Times New Roman"/>
          <w:sz w:val="24"/>
          <w:szCs w:val="28"/>
        </w:rPr>
        <w:t xml:space="preserve"> // Успехи детско-подростковой психиатрии и психотерапии (исторический и междисциплинарный подход) / Материалы </w:t>
      </w:r>
      <w:proofErr w:type="spellStart"/>
      <w:r w:rsidRPr="00D8312B">
        <w:rPr>
          <w:rFonts w:ascii="Times New Roman" w:eastAsia="Arial" w:hAnsi="Times New Roman" w:cs="Times New Roman"/>
          <w:sz w:val="24"/>
          <w:szCs w:val="28"/>
        </w:rPr>
        <w:t>конф</w:t>
      </w:r>
      <w:proofErr w:type="spellEnd"/>
      <w:r w:rsidRPr="00D8312B">
        <w:rPr>
          <w:rFonts w:ascii="Times New Roman" w:eastAsia="Arial" w:hAnsi="Times New Roman" w:cs="Times New Roman"/>
          <w:sz w:val="24"/>
          <w:szCs w:val="28"/>
        </w:rPr>
        <w:t>. «</w:t>
      </w:r>
      <w:proofErr w:type="spellStart"/>
      <w:r w:rsidRPr="00D8312B">
        <w:rPr>
          <w:rFonts w:ascii="Times New Roman" w:eastAsia="Arial" w:hAnsi="Times New Roman" w:cs="Times New Roman"/>
          <w:sz w:val="24"/>
          <w:szCs w:val="28"/>
        </w:rPr>
        <w:t>Мнухинские</w:t>
      </w:r>
      <w:proofErr w:type="spellEnd"/>
      <w:r w:rsidRPr="00D8312B">
        <w:rPr>
          <w:rFonts w:ascii="Times New Roman" w:eastAsia="Arial" w:hAnsi="Times New Roman" w:cs="Times New Roman"/>
          <w:sz w:val="24"/>
          <w:szCs w:val="28"/>
        </w:rPr>
        <w:t xml:space="preserve"> чтения» 19 </w:t>
      </w:r>
      <w:proofErr w:type="spellStart"/>
      <w:r w:rsidRPr="00D8312B">
        <w:rPr>
          <w:rFonts w:ascii="Times New Roman" w:eastAsia="Arial" w:hAnsi="Times New Roman" w:cs="Times New Roman"/>
          <w:sz w:val="24"/>
          <w:szCs w:val="28"/>
        </w:rPr>
        <w:t>нояб</w:t>
      </w:r>
      <w:proofErr w:type="spellEnd"/>
      <w:r w:rsidRPr="00D8312B">
        <w:rPr>
          <w:rFonts w:ascii="Times New Roman" w:eastAsia="Arial" w:hAnsi="Times New Roman" w:cs="Times New Roman"/>
          <w:sz w:val="24"/>
          <w:szCs w:val="28"/>
        </w:rPr>
        <w:t>. 2007 / А.М. Романов, Ю.А. Фесенко. – СПб, 2007. – С.225–227.</w:t>
      </w:r>
    </w:p>
    <w:p w:rsidR="004B6180"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Фесенко Ю.А. </w:t>
      </w:r>
      <w:proofErr w:type="spellStart"/>
      <w:r w:rsidRPr="00D8312B">
        <w:rPr>
          <w:rFonts w:ascii="Times New Roman" w:eastAsia="Arial" w:hAnsi="Times New Roman" w:cs="Times New Roman"/>
          <w:sz w:val="24"/>
          <w:szCs w:val="28"/>
        </w:rPr>
        <w:t>Монополярные</w:t>
      </w:r>
      <w:proofErr w:type="spellEnd"/>
      <w:r w:rsidRPr="00D8312B">
        <w:rPr>
          <w:rFonts w:ascii="Times New Roman" w:eastAsia="Arial" w:hAnsi="Times New Roman" w:cs="Times New Roman"/>
          <w:sz w:val="24"/>
          <w:szCs w:val="28"/>
        </w:rPr>
        <w:t xml:space="preserve"> пограничные психические расстройства у детей / Ю.А. Фесенко. – СПб.: НАУКА-ПИТЕР, 2007. – 232 с.</w:t>
      </w:r>
    </w:p>
    <w:p w:rsidR="004B6180"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Фесенко Ю.А. Между здоровьем и болезнью (клинические и психолого-педагогические аспекты диагностики и коррекции нарушений у детей с ограниченными возможностями здоровья): </w:t>
      </w:r>
      <w:proofErr w:type="spellStart"/>
      <w:r w:rsidRPr="00D8312B">
        <w:rPr>
          <w:rFonts w:ascii="Times New Roman" w:eastAsia="Arial" w:hAnsi="Times New Roman" w:cs="Times New Roman"/>
          <w:sz w:val="24"/>
          <w:szCs w:val="28"/>
        </w:rPr>
        <w:t>моногр</w:t>
      </w:r>
      <w:proofErr w:type="spellEnd"/>
      <w:r w:rsidRPr="00D8312B">
        <w:rPr>
          <w:rFonts w:ascii="Times New Roman" w:eastAsia="Arial" w:hAnsi="Times New Roman" w:cs="Times New Roman"/>
          <w:sz w:val="24"/>
          <w:szCs w:val="28"/>
        </w:rPr>
        <w:t>. / Ю.А. Фесенко. – СПб.: ЛГУ им</w:t>
      </w:r>
      <w:r w:rsidR="004B6180" w:rsidRPr="00D8312B">
        <w:rPr>
          <w:rFonts w:ascii="Times New Roman" w:eastAsia="Arial" w:hAnsi="Times New Roman" w:cs="Times New Roman"/>
          <w:sz w:val="24"/>
          <w:szCs w:val="28"/>
        </w:rPr>
        <w:t xml:space="preserve">. </w:t>
      </w:r>
      <w:r w:rsidRPr="00D8312B">
        <w:rPr>
          <w:rFonts w:ascii="Times New Roman" w:eastAsia="Arial" w:hAnsi="Times New Roman" w:cs="Times New Roman"/>
          <w:sz w:val="24"/>
          <w:szCs w:val="28"/>
        </w:rPr>
        <w:t>А.С. Пушкина, 2009. – 220 с.</w:t>
      </w:r>
    </w:p>
    <w:p w:rsidR="004B6180"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r w:rsidRPr="00D8312B">
        <w:rPr>
          <w:rFonts w:ascii="Times New Roman" w:eastAsia="Arial" w:hAnsi="Times New Roman" w:cs="Times New Roman"/>
          <w:sz w:val="24"/>
          <w:szCs w:val="28"/>
        </w:rPr>
        <w:t xml:space="preserve">Фесенко Ю.А., Фесенко Е.В., Романов А.М. Профилактика нарушений интеллектуального развития ребенка путем восстановления </w:t>
      </w:r>
      <w:proofErr w:type="spellStart"/>
      <w:r w:rsidRPr="00D8312B">
        <w:rPr>
          <w:rFonts w:ascii="Times New Roman" w:eastAsia="Arial" w:hAnsi="Times New Roman" w:cs="Times New Roman"/>
          <w:sz w:val="24"/>
          <w:szCs w:val="28"/>
        </w:rPr>
        <w:t>межструктурных</w:t>
      </w:r>
      <w:proofErr w:type="spellEnd"/>
      <w:r w:rsidRPr="00D8312B">
        <w:rPr>
          <w:rFonts w:ascii="Times New Roman" w:eastAsia="Arial" w:hAnsi="Times New Roman" w:cs="Times New Roman"/>
          <w:sz w:val="24"/>
          <w:szCs w:val="28"/>
        </w:rPr>
        <w:t xml:space="preserve"> взаимоотношений головного мозга / Ю.А. Фесенко, Е.В. Фесенко, А.М. Романов</w:t>
      </w:r>
      <w:r w:rsidR="004B6180" w:rsidRPr="00D8312B">
        <w:rPr>
          <w:rFonts w:ascii="Times New Roman" w:eastAsia="Arial" w:hAnsi="Times New Roman" w:cs="Times New Roman"/>
          <w:sz w:val="24"/>
          <w:szCs w:val="28"/>
        </w:rPr>
        <w:t xml:space="preserve"> // </w:t>
      </w:r>
      <w:r w:rsidRPr="00D8312B">
        <w:rPr>
          <w:rFonts w:ascii="Times New Roman" w:eastAsia="Arial" w:hAnsi="Times New Roman" w:cs="Times New Roman"/>
          <w:sz w:val="24"/>
          <w:szCs w:val="28"/>
        </w:rPr>
        <w:t>Обозрение психиатрии и медицинской психологии им. В.М. Бехтерева, 2009. –</w:t>
      </w:r>
      <w:r w:rsidR="004B6180" w:rsidRPr="00D8312B">
        <w:rPr>
          <w:rFonts w:ascii="Times New Roman" w:eastAsia="Arial" w:hAnsi="Times New Roman" w:cs="Times New Roman"/>
          <w:sz w:val="24"/>
          <w:szCs w:val="28"/>
        </w:rPr>
        <w:t xml:space="preserve"> </w:t>
      </w:r>
      <w:r w:rsidRPr="00D8312B">
        <w:rPr>
          <w:rFonts w:ascii="Times New Roman" w:eastAsia="Arial" w:hAnsi="Times New Roman" w:cs="Times New Roman"/>
          <w:sz w:val="24"/>
          <w:szCs w:val="28"/>
        </w:rPr>
        <w:t>№2. – С. 4–8.</w:t>
      </w:r>
    </w:p>
    <w:p w:rsidR="00D60999" w:rsidRPr="00D8312B" w:rsidRDefault="002D1D35" w:rsidP="004B6180">
      <w:pPr>
        <w:pStyle w:val="a3"/>
        <w:numPr>
          <w:ilvl w:val="1"/>
          <w:numId w:val="9"/>
        </w:numPr>
        <w:tabs>
          <w:tab w:val="left" w:pos="142"/>
        </w:tabs>
        <w:ind w:left="0"/>
        <w:jc w:val="both"/>
        <w:rPr>
          <w:rFonts w:ascii="Times New Roman" w:eastAsia="Arial" w:hAnsi="Times New Roman" w:cs="Times New Roman"/>
          <w:sz w:val="24"/>
          <w:szCs w:val="28"/>
        </w:rPr>
      </w:pPr>
      <w:r w:rsidRPr="00D8312B">
        <w:rPr>
          <w:rFonts w:ascii="Times New Roman" w:eastAsia="Arial" w:hAnsi="Times New Roman" w:cs="Times New Roman"/>
          <w:sz w:val="24"/>
          <w:szCs w:val="28"/>
          <w:lang w:val="en-US"/>
        </w:rPr>
        <w:t xml:space="preserve">Barkley R.A. International Consensus Statement on attention deficit hyper-activity disorder/ R.A. Barkley // </w:t>
      </w:r>
      <w:proofErr w:type="spellStart"/>
      <w:r w:rsidRPr="00D8312B">
        <w:rPr>
          <w:rFonts w:ascii="Times New Roman" w:eastAsia="Arial" w:hAnsi="Times New Roman" w:cs="Times New Roman"/>
          <w:sz w:val="24"/>
          <w:szCs w:val="28"/>
          <w:lang w:val="en-US"/>
        </w:rPr>
        <w:t>Clin</w:t>
      </w:r>
      <w:proofErr w:type="spellEnd"/>
      <w:r w:rsidRPr="00D8312B">
        <w:rPr>
          <w:rFonts w:ascii="Times New Roman" w:eastAsia="Arial" w:hAnsi="Times New Roman" w:cs="Times New Roman"/>
          <w:sz w:val="24"/>
          <w:szCs w:val="28"/>
          <w:lang w:val="en-US"/>
        </w:rPr>
        <w:t xml:space="preserve">. Child Fam. Psychol. Rev., 2002. – Vol. 5. </w:t>
      </w:r>
    </w:p>
    <w:sectPr w:rsidR="00D60999" w:rsidRPr="00D8312B" w:rsidSect="002D1D35">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4E" w:rsidRDefault="00475D4E" w:rsidP="00D8312B">
      <w:r>
        <w:separator/>
      </w:r>
    </w:p>
  </w:endnote>
  <w:endnote w:type="continuationSeparator" w:id="0">
    <w:p w:rsidR="00475D4E" w:rsidRDefault="00475D4E" w:rsidP="00D8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7290"/>
      <w:docPartObj>
        <w:docPartGallery w:val="Page Numbers (Bottom of Page)"/>
        <w:docPartUnique/>
      </w:docPartObj>
    </w:sdtPr>
    <w:sdtContent>
      <w:p w:rsidR="00D8312B" w:rsidRDefault="00D8312B">
        <w:pPr>
          <w:pStyle w:val="a6"/>
          <w:jc w:val="right"/>
        </w:pPr>
        <w:fldSimple w:instr=" PAGE   \* MERGEFORMAT ">
          <w:r>
            <w:rPr>
              <w:noProof/>
            </w:rPr>
            <w:t>1</w:t>
          </w:r>
        </w:fldSimple>
      </w:p>
    </w:sdtContent>
  </w:sdt>
  <w:p w:rsidR="00D8312B" w:rsidRDefault="00D831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4E" w:rsidRDefault="00475D4E" w:rsidP="00D8312B">
      <w:r>
        <w:separator/>
      </w:r>
    </w:p>
  </w:footnote>
  <w:footnote w:type="continuationSeparator" w:id="0">
    <w:p w:rsidR="00475D4E" w:rsidRDefault="00475D4E" w:rsidP="00D83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1"/>
      <w:numFmt w:val="bullet"/>
      <w:lvlText w:val="и"/>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C5DE78CA"/>
    <w:lvl w:ilvl="0" w:tplc="FFFFFFFF">
      <w:start w:val="1"/>
      <w:numFmt w:val="bullet"/>
      <w:lvlText w:val="//"/>
      <w:lvlJc w:val="left"/>
    </w:lvl>
    <w:lvl w:ilvl="1" w:tplc="6FB8814E">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D1D35"/>
    <w:rsid w:val="000E100F"/>
    <w:rsid w:val="0010249C"/>
    <w:rsid w:val="0024604B"/>
    <w:rsid w:val="002900E8"/>
    <w:rsid w:val="002D1D35"/>
    <w:rsid w:val="00306D54"/>
    <w:rsid w:val="003B46D2"/>
    <w:rsid w:val="00475D4E"/>
    <w:rsid w:val="004B6180"/>
    <w:rsid w:val="00622C15"/>
    <w:rsid w:val="00661EB4"/>
    <w:rsid w:val="008A2C62"/>
    <w:rsid w:val="008D3607"/>
    <w:rsid w:val="009B1372"/>
    <w:rsid w:val="00AE12F0"/>
    <w:rsid w:val="00C80D1D"/>
    <w:rsid w:val="00D60999"/>
    <w:rsid w:val="00D8312B"/>
    <w:rsid w:val="00E13403"/>
    <w:rsid w:val="00E831BA"/>
    <w:rsid w:val="00EA23EB"/>
    <w:rsid w:val="00F8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3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D3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D8312B"/>
    <w:pPr>
      <w:tabs>
        <w:tab w:val="center" w:pos="4677"/>
        <w:tab w:val="right" w:pos="9355"/>
      </w:tabs>
    </w:pPr>
  </w:style>
  <w:style w:type="character" w:customStyle="1" w:styleId="a5">
    <w:name w:val="Верхний колонтитул Знак"/>
    <w:basedOn w:val="a0"/>
    <w:link w:val="a4"/>
    <w:uiPriority w:val="99"/>
    <w:semiHidden/>
    <w:rsid w:val="00D8312B"/>
    <w:rPr>
      <w:rFonts w:ascii="Calibri" w:eastAsia="Calibri" w:hAnsi="Calibri" w:cs="Arial"/>
      <w:sz w:val="20"/>
      <w:szCs w:val="20"/>
      <w:lang w:eastAsia="ru-RU"/>
    </w:rPr>
  </w:style>
  <w:style w:type="paragraph" w:styleId="a6">
    <w:name w:val="footer"/>
    <w:basedOn w:val="a"/>
    <w:link w:val="a7"/>
    <w:uiPriority w:val="99"/>
    <w:unhideWhenUsed/>
    <w:rsid w:val="00D8312B"/>
    <w:pPr>
      <w:tabs>
        <w:tab w:val="center" w:pos="4677"/>
        <w:tab w:val="right" w:pos="9355"/>
      </w:tabs>
    </w:pPr>
  </w:style>
  <w:style w:type="character" w:customStyle="1" w:styleId="a7">
    <w:name w:val="Нижний колонтитул Знак"/>
    <w:basedOn w:val="a0"/>
    <w:link w:val="a6"/>
    <w:uiPriority w:val="99"/>
    <w:rsid w:val="00D8312B"/>
    <w:rPr>
      <w:rFonts w:ascii="Calibri" w:eastAsia="Calibri" w:hAnsi="Calibri"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dcterms:created xsi:type="dcterms:W3CDTF">2019-05-14T07:50:00Z</dcterms:created>
  <dcterms:modified xsi:type="dcterms:W3CDTF">2019-05-14T07:58:00Z</dcterms:modified>
</cp:coreProperties>
</file>