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84" w:rsidRPr="00860642" w:rsidRDefault="00005584" w:rsidP="00D6754F">
      <w:pPr>
        <w:tabs>
          <w:tab w:val="left" w:pos="1418"/>
        </w:tabs>
        <w:spacing w:after="0" w:line="360" w:lineRule="auto"/>
        <w:ind w:right="282"/>
        <w:rPr>
          <w:rFonts w:ascii="Times New Roman" w:hAnsi="Times New Roman" w:cs="Times New Roman"/>
          <w:noProof/>
          <w:sz w:val="28"/>
          <w:szCs w:val="28"/>
        </w:rPr>
      </w:pPr>
    </w:p>
    <w:p w:rsidR="00005584" w:rsidRPr="00860642" w:rsidRDefault="00005584" w:rsidP="00005584">
      <w:pPr>
        <w:tabs>
          <w:tab w:val="left" w:pos="1418"/>
        </w:tabs>
        <w:spacing w:after="0" w:line="360" w:lineRule="auto"/>
        <w:ind w:right="282" w:firstLine="851"/>
        <w:jc w:val="center"/>
        <w:rPr>
          <w:rFonts w:ascii="Times New Roman" w:hAnsi="Times New Roman" w:cs="Times New Roman"/>
          <w:sz w:val="28"/>
          <w:szCs w:val="28"/>
        </w:rPr>
      </w:pPr>
      <w:r w:rsidRPr="00860642">
        <w:rPr>
          <w:rFonts w:ascii="Times New Roman" w:hAnsi="Times New Roman" w:cs="Times New Roman"/>
          <w:sz w:val="28"/>
          <w:szCs w:val="28"/>
        </w:rPr>
        <w:t>СОДЕРЖАНИЕ</w:t>
      </w:r>
    </w:p>
    <w:sdt>
      <w:sdtPr>
        <w:rPr>
          <w:rFonts w:ascii="Times New Roman" w:eastAsiaTheme="minorHAnsi" w:hAnsi="Times New Roman" w:cs="Times New Roman"/>
          <w:bCs/>
          <w:noProof/>
          <w:color w:val="auto"/>
          <w:sz w:val="28"/>
          <w:szCs w:val="28"/>
          <w:lang w:eastAsia="en-US"/>
        </w:rPr>
        <w:id w:val="593141076"/>
        <w:docPartObj>
          <w:docPartGallery w:val="Table of Contents"/>
          <w:docPartUnique/>
        </w:docPartObj>
      </w:sdtPr>
      <w:sdtEndPr>
        <w:rPr>
          <w:rFonts w:eastAsiaTheme="majorEastAsia"/>
          <w:b/>
          <w:sz w:val="24"/>
          <w:szCs w:val="24"/>
          <w:lang w:eastAsia="ru-RU"/>
        </w:rPr>
      </w:sdtEndPr>
      <w:sdtContent>
        <w:p w:rsidR="00005584" w:rsidRPr="004D7C58" w:rsidRDefault="00005584" w:rsidP="004D7C58">
          <w:pPr>
            <w:pStyle w:val="a5"/>
            <w:tabs>
              <w:tab w:val="left" w:pos="1418"/>
            </w:tabs>
            <w:spacing w:before="0" w:line="360" w:lineRule="auto"/>
            <w:ind w:right="-2"/>
            <w:jc w:val="both"/>
            <w:rPr>
              <w:rFonts w:ascii="Times New Roman" w:hAnsi="Times New Roman" w:cs="Times New Roman"/>
              <w:color w:val="auto"/>
              <w:sz w:val="28"/>
              <w:szCs w:val="28"/>
            </w:rPr>
          </w:pPr>
        </w:p>
        <w:p w:rsidR="00871C8E" w:rsidRPr="00871C8E" w:rsidRDefault="00B17D14" w:rsidP="00871C8E">
          <w:pPr>
            <w:pStyle w:val="12"/>
            <w:jc w:val="both"/>
            <w:rPr>
              <w:rFonts w:asciiTheme="minorHAnsi" w:eastAsiaTheme="minorEastAsia" w:hAnsiTheme="minorHAnsi" w:cstheme="minorBidi"/>
              <w:bCs w:val="0"/>
              <w:color w:val="auto"/>
              <w:sz w:val="28"/>
              <w:szCs w:val="28"/>
            </w:rPr>
          </w:pPr>
          <w:r w:rsidRPr="004D7C58">
            <w:rPr>
              <w:color w:val="auto"/>
              <w:sz w:val="28"/>
              <w:szCs w:val="28"/>
            </w:rPr>
            <w:fldChar w:fldCharType="begin"/>
          </w:r>
          <w:r w:rsidR="00005584" w:rsidRPr="004D7C58">
            <w:rPr>
              <w:color w:val="auto"/>
              <w:sz w:val="28"/>
              <w:szCs w:val="28"/>
            </w:rPr>
            <w:instrText xml:space="preserve"> TOC \o "1-3" \h \z \u </w:instrText>
          </w:r>
          <w:r w:rsidRPr="004D7C58">
            <w:rPr>
              <w:color w:val="auto"/>
              <w:sz w:val="28"/>
              <w:szCs w:val="28"/>
            </w:rPr>
            <w:fldChar w:fldCharType="separate"/>
          </w:r>
          <w:hyperlink w:anchor="_Toc6150518" w:history="1">
            <w:r w:rsidR="00871C8E" w:rsidRPr="00871C8E">
              <w:rPr>
                <w:rStyle w:val="a4"/>
                <w:sz w:val="28"/>
                <w:szCs w:val="28"/>
              </w:rPr>
              <w:t>ВВЕДЕНИЕ</w:t>
            </w:r>
            <w:r w:rsidR="00871C8E" w:rsidRPr="00871C8E">
              <w:rPr>
                <w:webHidden/>
                <w:sz w:val="28"/>
                <w:szCs w:val="28"/>
              </w:rPr>
              <w:tab/>
            </w:r>
            <w:r w:rsidR="00871C8E" w:rsidRPr="00871C8E">
              <w:rPr>
                <w:webHidden/>
                <w:sz w:val="28"/>
                <w:szCs w:val="28"/>
              </w:rPr>
              <w:fldChar w:fldCharType="begin"/>
            </w:r>
            <w:r w:rsidR="00871C8E" w:rsidRPr="00871C8E">
              <w:rPr>
                <w:webHidden/>
                <w:sz w:val="28"/>
                <w:szCs w:val="28"/>
              </w:rPr>
              <w:instrText xml:space="preserve"> PAGEREF _Toc6150518 \h </w:instrText>
            </w:r>
            <w:r w:rsidR="00871C8E" w:rsidRPr="00871C8E">
              <w:rPr>
                <w:webHidden/>
                <w:sz w:val="28"/>
                <w:szCs w:val="28"/>
              </w:rPr>
            </w:r>
            <w:r w:rsidR="00871C8E" w:rsidRPr="00871C8E">
              <w:rPr>
                <w:webHidden/>
                <w:sz w:val="28"/>
                <w:szCs w:val="28"/>
              </w:rPr>
              <w:fldChar w:fldCharType="separate"/>
            </w:r>
            <w:r w:rsidR="00871C8E" w:rsidRPr="00871C8E">
              <w:rPr>
                <w:webHidden/>
                <w:sz w:val="28"/>
                <w:szCs w:val="28"/>
              </w:rPr>
              <w:t>1</w:t>
            </w:r>
            <w:r w:rsidR="00871C8E" w:rsidRPr="00871C8E">
              <w:rPr>
                <w:webHidden/>
                <w:sz w:val="28"/>
                <w:szCs w:val="28"/>
              </w:rPr>
              <w:fldChar w:fldCharType="end"/>
            </w:r>
          </w:hyperlink>
        </w:p>
        <w:p w:rsidR="00871C8E" w:rsidRPr="00871C8E" w:rsidRDefault="00871C8E" w:rsidP="00871C8E">
          <w:pPr>
            <w:pStyle w:val="12"/>
            <w:jc w:val="both"/>
            <w:rPr>
              <w:rFonts w:asciiTheme="minorHAnsi" w:eastAsiaTheme="minorEastAsia" w:hAnsiTheme="minorHAnsi" w:cstheme="minorBidi"/>
              <w:bCs w:val="0"/>
              <w:color w:val="auto"/>
              <w:sz w:val="28"/>
              <w:szCs w:val="28"/>
            </w:rPr>
          </w:pPr>
          <w:hyperlink w:anchor="_Toc6150519" w:history="1">
            <w:r w:rsidRPr="00871C8E">
              <w:rPr>
                <w:rStyle w:val="a4"/>
                <w:sz w:val="28"/>
                <w:szCs w:val="28"/>
              </w:rPr>
              <w:t>Глава 1. Теоретические основы формирования системы гарантирования вкладов</w:t>
            </w:r>
            <w:r w:rsidRPr="00871C8E">
              <w:rPr>
                <w:webHidden/>
                <w:sz w:val="28"/>
                <w:szCs w:val="28"/>
              </w:rPr>
              <w:tab/>
            </w:r>
            <w:r w:rsidRPr="00871C8E">
              <w:rPr>
                <w:webHidden/>
                <w:sz w:val="28"/>
                <w:szCs w:val="28"/>
              </w:rPr>
              <w:fldChar w:fldCharType="begin"/>
            </w:r>
            <w:r w:rsidRPr="00871C8E">
              <w:rPr>
                <w:webHidden/>
                <w:sz w:val="28"/>
                <w:szCs w:val="28"/>
              </w:rPr>
              <w:instrText xml:space="preserve"> PAGEREF _Toc6150519 \h </w:instrText>
            </w:r>
            <w:r w:rsidRPr="00871C8E">
              <w:rPr>
                <w:webHidden/>
                <w:sz w:val="28"/>
                <w:szCs w:val="28"/>
              </w:rPr>
            </w:r>
            <w:r w:rsidRPr="00871C8E">
              <w:rPr>
                <w:webHidden/>
                <w:sz w:val="28"/>
                <w:szCs w:val="28"/>
              </w:rPr>
              <w:fldChar w:fldCharType="separate"/>
            </w:r>
            <w:r w:rsidRPr="00871C8E">
              <w:rPr>
                <w:webHidden/>
                <w:sz w:val="28"/>
                <w:szCs w:val="28"/>
              </w:rPr>
              <w:t>3</w:t>
            </w:r>
            <w:r w:rsidRPr="00871C8E">
              <w:rPr>
                <w:webHidden/>
                <w:sz w:val="28"/>
                <w:szCs w:val="28"/>
              </w:rPr>
              <w:fldChar w:fldCharType="end"/>
            </w:r>
          </w:hyperlink>
        </w:p>
        <w:p w:rsidR="00871C8E" w:rsidRPr="00871C8E" w:rsidRDefault="00871C8E" w:rsidP="00871C8E">
          <w:pPr>
            <w:pStyle w:val="12"/>
            <w:jc w:val="both"/>
            <w:rPr>
              <w:rFonts w:asciiTheme="minorHAnsi" w:eastAsiaTheme="minorEastAsia" w:hAnsiTheme="minorHAnsi" w:cstheme="minorBidi"/>
              <w:bCs w:val="0"/>
              <w:color w:val="auto"/>
              <w:sz w:val="28"/>
              <w:szCs w:val="28"/>
            </w:rPr>
          </w:pPr>
          <w:hyperlink w:anchor="_Toc6150520" w:history="1">
            <w:r w:rsidRPr="00871C8E">
              <w:rPr>
                <w:rStyle w:val="a4"/>
                <w:rFonts w:eastAsia="Calibri"/>
                <w:sz w:val="28"/>
                <w:szCs w:val="28"/>
              </w:rPr>
              <w:t>1.1. Сущность, цель, организационные основы системы гарантирования вкладов</w:t>
            </w:r>
            <w:r w:rsidRPr="00871C8E">
              <w:rPr>
                <w:webHidden/>
                <w:sz w:val="28"/>
                <w:szCs w:val="28"/>
              </w:rPr>
              <w:tab/>
            </w:r>
            <w:r w:rsidRPr="00871C8E">
              <w:rPr>
                <w:webHidden/>
                <w:sz w:val="28"/>
                <w:szCs w:val="28"/>
              </w:rPr>
              <w:fldChar w:fldCharType="begin"/>
            </w:r>
            <w:r w:rsidRPr="00871C8E">
              <w:rPr>
                <w:webHidden/>
                <w:sz w:val="28"/>
                <w:szCs w:val="28"/>
              </w:rPr>
              <w:instrText xml:space="preserve"> PAGEREF _Toc6150520 \h </w:instrText>
            </w:r>
            <w:r w:rsidRPr="00871C8E">
              <w:rPr>
                <w:webHidden/>
                <w:sz w:val="28"/>
                <w:szCs w:val="28"/>
              </w:rPr>
            </w:r>
            <w:r w:rsidRPr="00871C8E">
              <w:rPr>
                <w:webHidden/>
                <w:sz w:val="28"/>
                <w:szCs w:val="28"/>
              </w:rPr>
              <w:fldChar w:fldCharType="separate"/>
            </w:r>
            <w:r w:rsidRPr="00871C8E">
              <w:rPr>
                <w:webHidden/>
                <w:sz w:val="28"/>
                <w:szCs w:val="28"/>
              </w:rPr>
              <w:t>3</w:t>
            </w:r>
            <w:r w:rsidRPr="00871C8E">
              <w:rPr>
                <w:webHidden/>
                <w:sz w:val="28"/>
                <w:szCs w:val="28"/>
              </w:rPr>
              <w:fldChar w:fldCharType="end"/>
            </w:r>
          </w:hyperlink>
        </w:p>
        <w:p w:rsidR="00871C8E" w:rsidRPr="00871C8E" w:rsidRDefault="00871C8E" w:rsidP="00871C8E">
          <w:pPr>
            <w:pStyle w:val="12"/>
            <w:jc w:val="both"/>
            <w:rPr>
              <w:rFonts w:asciiTheme="minorHAnsi" w:eastAsiaTheme="minorEastAsia" w:hAnsiTheme="minorHAnsi" w:cstheme="minorBidi"/>
              <w:bCs w:val="0"/>
              <w:color w:val="auto"/>
              <w:sz w:val="28"/>
              <w:szCs w:val="28"/>
            </w:rPr>
          </w:pPr>
          <w:hyperlink w:anchor="_Toc6150521" w:history="1">
            <w:r w:rsidRPr="00871C8E">
              <w:rPr>
                <w:rStyle w:val="a4"/>
                <w:sz w:val="28"/>
                <w:szCs w:val="28"/>
              </w:rPr>
              <w:t>1.2. Принципы организации системы страхования вкладов</w:t>
            </w:r>
            <w:r w:rsidRPr="00871C8E">
              <w:rPr>
                <w:webHidden/>
                <w:sz w:val="28"/>
                <w:szCs w:val="28"/>
              </w:rPr>
              <w:tab/>
            </w:r>
            <w:r w:rsidRPr="00871C8E">
              <w:rPr>
                <w:webHidden/>
                <w:sz w:val="28"/>
                <w:szCs w:val="28"/>
              </w:rPr>
              <w:fldChar w:fldCharType="begin"/>
            </w:r>
            <w:r w:rsidRPr="00871C8E">
              <w:rPr>
                <w:webHidden/>
                <w:sz w:val="28"/>
                <w:szCs w:val="28"/>
              </w:rPr>
              <w:instrText xml:space="preserve"> PAGEREF _Toc6150521 \h </w:instrText>
            </w:r>
            <w:r w:rsidRPr="00871C8E">
              <w:rPr>
                <w:webHidden/>
                <w:sz w:val="28"/>
                <w:szCs w:val="28"/>
              </w:rPr>
            </w:r>
            <w:r w:rsidRPr="00871C8E">
              <w:rPr>
                <w:webHidden/>
                <w:sz w:val="28"/>
                <w:szCs w:val="28"/>
              </w:rPr>
              <w:fldChar w:fldCharType="separate"/>
            </w:r>
            <w:r w:rsidRPr="00871C8E">
              <w:rPr>
                <w:webHidden/>
                <w:sz w:val="28"/>
                <w:szCs w:val="28"/>
              </w:rPr>
              <w:t>10</w:t>
            </w:r>
            <w:r w:rsidRPr="00871C8E">
              <w:rPr>
                <w:webHidden/>
                <w:sz w:val="28"/>
                <w:szCs w:val="28"/>
              </w:rPr>
              <w:fldChar w:fldCharType="end"/>
            </w:r>
          </w:hyperlink>
        </w:p>
        <w:p w:rsidR="00871C8E" w:rsidRPr="00871C8E" w:rsidRDefault="00871C8E" w:rsidP="00871C8E">
          <w:pPr>
            <w:pStyle w:val="12"/>
            <w:jc w:val="both"/>
            <w:rPr>
              <w:rFonts w:asciiTheme="minorHAnsi" w:eastAsiaTheme="minorEastAsia" w:hAnsiTheme="minorHAnsi" w:cstheme="minorBidi"/>
              <w:bCs w:val="0"/>
              <w:color w:val="auto"/>
              <w:sz w:val="28"/>
              <w:szCs w:val="28"/>
            </w:rPr>
          </w:pPr>
          <w:hyperlink w:anchor="_Toc6150522" w:history="1">
            <w:r w:rsidRPr="00871C8E">
              <w:rPr>
                <w:rStyle w:val="a4"/>
                <w:sz w:val="28"/>
                <w:szCs w:val="28"/>
              </w:rPr>
              <w:t>1.3. Условия и порядок вхождения российских банков в систему страхования вкладов</w:t>
            </w:r>
            <w:r w:rsidRPr="00871C8E">
              <w:rPr>
                <w:webHidden/>
                <w:sz w:val="28"/>
                <w:szCs w:val="28"/>
              </w:rPr>
              <w:tab/>
            </w:r>
            <w:r w:rsidRPr="00871C8E">
              <w:rPr>
                <w:webHidden/>
                <w:sz w:val="28"/>
                <w:szCs w:val="28"/>
              </w:rPr>
              <w:fldChar w:fldCharType="begin"/>
            </w:r>
            <w:r w:rsidRPr="00871C8E">
              <w:rPr>
                <w:webHidden/>
                <w:sz w:val="28"/>
                <w:szCs w:val="28"/>
              </w:rPr>
              <w:instrText xml:space="preserve"> PAGEREF _Toc6150522 \h </w:instrText>
            </w:r>
            <w:r w:rsidRPr="00871C8E">
              <w:rPr>
                <w:webHidden/>
                <w:sz w:val="28"/>
                <w:szCs w:val="28"/>
              </w:rPr>
            </w:r>
            <w:r w:rsidRPr="00871C8E">
              <w:rPr>
                <w:webHidden/>
                <w:sz w:val="28"/>
                <w:szCs w:val="28"/>
              </w:rPr>
              <w:fldChar w:fldCharType="separate"/>
            </w:r>
            <w:r w:rsidRPr="00871C8E">
              <w:rPr>
                <w:webHidden/>
                <w:sz w:val="28"/>
                <w:szCs w:val="28"/>
              </w:rPr>
              <w:t>15</w:t>
            </w:r>
            <w:r w:rsidRPr="00871C8E">
              <w:rPr>
                <w:webHidden/>
                <w:sz w:val="28"/>
                <w:szCs w:val="28"/>
              </w:rPr>
              <w:fldChar w:fldCharType="end"/>
            </w:r>
          </w:hyperlink>
        </w:p>
        <w:p w:rsidR="00871C8E" w:rsidRPr="00871C8E" w:rsidRDefault="00871C8E" w:rsidP="00871C8E">
          <w:pPr>
            <w:pStyle w:val="12"/>
            <w:jc w:val="both"/>
            <w:rPr>
              <w:rFonts w:asciiTheme="minorHAnsi" w:eastAsiaTheme="minorEastAsia" w:hAnsiTheme="minorHAnsi" w:cstheme="minorBidi"/>
              <w:bCs w:val="0"/>
              <w:color w:val="auto"/>
              <w:sz w:val="28"/>
              <w:szCs w:val="28"/>
            </w:rPr>
          </w:pPr>
          <w:hyperlink w:anchor="_Toc6150523" w:history="1">
            <w:r w:rsidRPr="00871C8E">
              <w:rPr>
                <w:rStyle w:val="a4"/>
                <w:sz w:val="28"/>
                <w:szCs w:val="28"/>
              </w:rPr>
              <w:t>Глава 2. Анализ деятельности системы гарантирования вкладов</w:t>
            </w:r>
            <w:r w:rsidRPr="00871C8E">
              <w:rPr>
                <w:webHidden/>
                <w:sz w:val="28"/>
                <w:szCs w:val="28"/>
              </w:rPr>
              <w:tab/>
            </w:r>
            <w:r w:rsidRPr="00871C8E">
              <w:rPr>
                <w:webHidden/>
                <w:sz w:val="28"/>
                <w:szCs w:val="28"/>
              </w:rPr>
              <w:fldChar w:fldCharType="begin"/>
            </w:r>
            <w:r w:rsidRPr="00871C8E">
              <w:rPr>
                <w:webHidden/>
                <w:sz w:val="28"/>
                <w:szCs w:val="28"/>
              </w:rPr>
              <w:instrText xml:space="preserve"> PAGEREF _Toc6150523 \h </w:instrText>
            </w:r>
            <w:r w:rsidRPr="00871C8E">
              <w:rPr>
                <w:webHidden/>
                <w:sz w:val="28"/>
                <w:szCs w:val="28"/>
              </w:rPr>
            </w:r>
            <w:r w:rsidRPr="00871C8E">
              <w:rPr>
                <w:webHidden/>
                <w:sz w:val="28"/>
                <w:szCs w:val="28"/>
              </w:rPr>
              <w:fldChar w:fldCharType="separate"/>
            </w:r>
            <w:r w:rsidRPr="00871C8E">
              <w:rPr>
                <w:webHidden/>
                <w:sz w:val="28"/>
                <w:szCs w:val="28"/>
              </w:rPr>
              <w:t>19</w:t>
            </w:r>
            <w:r w:rsidRPr="00871C8E">
              <w:rPr>
                <w:webHidden/>
                <w:sz w:val="28"/>
                <w:szCs w:val="28"/>
              </w:rPr>
              <w:fldChar w:fldCharType="end"/>
            </w:r>
          </w:hyperlink>
        </w:p>
        <w:p w:rsidR="00871C8E" w:rsidRPr="00871C8E" w:rsidRDefault="00871C8E" w:rsidP="00871C8E">
          <w:pPr>
            <w:pStyle w:val="12"/>
            <w:jc w:val="both"/>
            <w:rPr>
              <w:rFonts w:asciiTheme="minorHAnsi" w:eastAsiaTheme="minorEastAsia" w:hAnsiTheme="minorHAnsi" w:cstheme="minorBidi"/>
              <w:bCs w:val="0"/>
              <w:color w:val="auto"/>
              <w:sz w:val="28"/>
              <w:szCs w:val="28"/>
            </w:rPr>
          </w:pPr>
          <w:hyperlink w:anchor="_Toc6150524" w:history="1">
            <w:r w:rsidRPr="00871C8E">
              <w:rPr>
                <w:rStyle w:val="a4"/>
                <w:sz w:val="28"/>
                <w:szCs w:val="28"/>
              </w:rPr>
              <w:t>2.1. Состояние рынка банковских вкладов в России</w:t>
            </w:r>
            <w:r w:rsidRPr="00871C8E">
              <w:rPr>
                <w:webHidden/>
                <w:sz w:val="28"/>
                <w:szCs w:val="28"/>
              </w:rPr>
              <w:tab/>
            </w:r>
            <w:r w:rsidRPr="00871C8E">
              <w:rPr>
                <w:webHidden/>
                <w:sz w:val="28"/>
                <w:szCs w:val="28"/>
              </w:rPr>
              <w:fldChar w:fldCharType="begin"/>
            </w:r>
            <w:r w:rsidRPr="00871C8E">
              <w:rPr>
                <w:webHidden/>
                <w:sz w:val="28"/>
                <w:szCs w:val="28"/>
              </w:rPr>
              <w:instrText xml:space="preserve"> PAGEREF _Toc6150524 \h </w:instrText>
            </w:r>
            <w:r w:rsidRPr="00871C8E">
              <w:rPr>
                <w:webHidden/>
                <w:sz w:val="28"/>
                <w:szCs w:val="28"/>
              </w:rPr>
            </w:r>
            <w:r w:rsidRPr="00871C8E">
              <w:rPr>
                <w:webHidden/>
                <w:sz w:val="28"/>
                <w:szCs w:val="28"/>
              </w:rPr>
              <w:fldChar w:fldCharType="separate"/>
            </w:r>
            <w:r w:rsidRPr="00871C8E">
              <w:rPr>
                <w:webHidden/>
                <w:sz w:val="28"/>
                <w:szCs w:val="28"/>
              </w:rPr>
              <w:t>19</w:t>
            </w:r>
            <w:r w:rsidRPr="00871C8E">
              <w:rPr>
                <w:webHidden/>
                <w:sz w:val="28"/>
                <w:szCs w:val="28"/>
              </w:rPr>
              <w:fldChar w:fldCharType="end"/>
            </w:r>
          </w:hyperlink>
        </w:p>
        <w:p w:rsidR="00871C8E" w:rsidRPr="00871C8E" w:rsidRDefault="00871C8E" w:rsidP="00871C8E">
          <w:pPr>
            <w:pStyle w:val="12"/>
            <w:jc w:val="both"/>
            <w:rPr>
              <w:rFonts w:asciiTheme="minorHAnsi" w:eastAsiaTheme="minorEastAsia" w:hAnsiTheme="minorHAnsi" w:cstheme="minorBidi"/>
              <w:bCs w:val="0"/>
              <w:color w:val="auto"/>
              <w:sz w:val="28"/>
              <w:szCs w:val="28"/>
            </w:rPr>
          </w:pPr>
          <w:hyperlink w:anchor="_Toc6150525" w:history="1">
            <w:r>
              <w:rPr>
                <w:rStyle w:val="a4"/>
                <w:sz w:val="28"/>
                <w:szCs w:val="28"/>
              </w:rPr>
              <w:t>2</w:t>
            </w:r>
            <w:r w:rsidRPr="00871C8E">
              <w:rPr>
                <w:rStyle w:val="a4"/>
                <w:sz w:val="28"/>
                <w:szCs w:val="28"/>
              </w:rPr>
              <w:t>.2. Анализ развития системы обязательного страхования вкладов на современном этапе</w:t>
            </w:r>
            <w:r w:rsidRPr="00871C8E">
              <w:rPr>
                <w:webHidden/>
                <w:sz w:val="28"/>
                <w:szCs w:val="28"/>
              </w:rPr>
              <w:tab/>
            </w:r>
            <w:r w:rsidRPr="00871C8E">
              <w:rPr>
                <w:webHidden/>
                <w:sz w:val="28"/>
                <w:szCs w:val="28"/>
              </w:rPr>
              <w:fldChar w:fldCharType="begin"/>
            </w:r>
            <w:r w:rsidRPr="00871C8E">
              <w:rPr>
                <w:webHidden/>
                <w:sz w:val="28"/>
                <w:szCs w:val="28"/>
              </w:rPr>
              <w:instrText xml:space="preserve"> PAGEREF _Toc6150525 \h </w:instrText>
            </w:r>
            <w:r w:rsidRPr="00871C8E">
              <w:rPr>
                <w:webHidden/>
                <w:sz w:val="28"/>
                <w:szCs w:val="28"/>
              </w:rPr>
            </w:r>
            <w:r w:rsidRPr="00871C8E">
              <w:rPr>
                <w:webHidden/>
                <w:sz w:val="28"/>
                <w:szCs w:val="28"/>
              </w:rPr>
              <w:fldChar w:fldCharType="separate"/>
            </w:r>
            <w:r w:rsidRPr="00871C8E">
              <w:rPr>
                <w:webHidden/>
                <w:sz w:val="28"/>
                <w:szCs w:val="28"/>
              </w:rPr>
              <w:t>24</w:t>
            </w:r>
            <w:r w:rsidRPr="00871C8E">
              <w:rPr>
                <w:webHidden/>
                <w:sz w:val="28"/>
                <w:szCs w:val="28"/>
              </w:rPr>
              <w:fldChar w:fldCharType="end"/>
            </w:r>
          </w:hyperlink>
        </w:p>
        <w:p w:rsidR="00871C8E" w:rsidRPr="00871C8E" w:rsidRDefault="00871C8E" w:rsidP="00871C8E">
          <w:pPr>
            <w:pStyle w:val="12"/>
            <w:jc w:val="both"/>
            <w:rPr>
              <w:rFonts w:asciiTheme="minorHAnsi" w:eastAsiaTheme="minorEastAsia" w:hAnsiTheme="minorHAnsi" w:cstheme="minorBidi"/>
              <w:bCs w:val="0"/>
              <w:color w:val="auto"/>
              <w:sz w:val="28"/>
              <w:szCs w:val="28"/>
            </w:rPr>
          </w:pPr>
          <w:hyperlink w:anchor="_Toc6150526" w:history="1">
            <w:r w:rsidRPr="00871C8E">
              <w:rPr>
                <w:rStyle w:val="a4"/>
                <w:sz w:val="28"/>
                <w:szCs w:val="28"/>
              </w:rPr>
              <w:t>2.3. Проблемы и перспективы развития системы гарантирования вкладов</w:t>
            </w:r>
            <w:r w:rsidRPr="00871C8E">
              <w:rPr>
                <w:webHidden/>
                <w:sz w:val="28"/>
                <w:szCs w:val="28"/>
              </w:rPr>
              <w:tab/>
            </w:r>
            <w:r w:rsidRPr="00871C8E">
              <w:rPr>
                <w:webHidden/>
                <w:sz w:val="28"/>
                <w:szCs w:val="28"/>
              </w:rPr>
              <w:fldChar w:fldCharType="begin"/>
            </w:r>
            <w:r w:rsidRPr="00871C8E">
              <w:rPr>
                <w:webHidden/>
                <w:sz w:val="28"/>
                <w:szCs w:val="28"/>
              </w:rPr>
              <w:instrText xml:space="preserve"> PAGEREF _Toc6150526 \h </w:instrText>
            </w:r>
            <w:r w:rsidRPr="00871C8E">
              <w:rPr>
                <w:webHidden/>
                <w:sz w:val="28"/>
                <w:szCs w:val="28"/>
              </w:rPr>
            </w:r>
            <w:r w:rsidRPr="00871C8E">
              <w:rPr>
                <w:webHidden/>
                <w:sz w:val="28"/>
                <w:szCs w:val="28"/>
              </w:rPr>
              <w:fldChar w:fldCharType="separate"/>
            </w:r>
            <w:r w:rsidRPr="00871C8E">
              <w:rPr>
                <w:webHidden/>
                <w:sz w:val="28"/>
                <w:szCs w:val="28"/>
              </w:rPr>
              <w:t>27</w:t>
            </w:r>
            <w:r w:rsidRPr="00871C8E">
              <w:rPr>
                <w:webHidden/>
                <w:sz w:val="28"/>
                <w:szCs w:val="28"/>
              </w:rPr>
              <w:fldChar w:fldCharType="end"/>
            </w:r>
          </w:hyperlink>
        </w:p>
        <w:p w:rsidR="00871C8E" w:rsidRPr="00871C8E" w:rsidRDefault="00871C8E" w:rsidP="00871C8E">
          <w:pPr>
            <w:pStyle w:val="12"/>
            <w:jc w:val="both"/>
            <w:rPr>
              <w:rFonts w:asciiTheme="minorHAnsi" w:eastAsiaTheme="minorEastAsia" w:hAnsiTheme="minorHAnsi" w:cstheme="minorBidi"/>
              <w:bCs w:val="0"/>
              <w:color w:val="auto"/>
              <w:sz w:val="28"/>
              <w:szCs w:val="28"/>
            </w:rPr>
          </w:pPr>
          <w:hyperlink w:anchor="_Toc6150527" w:history="1">
            <w:r w:rsidRPr="00871C8E">
              <w:rPr>
                <w:rStyle w:val="a4"/>
                <w:sz w:val="28"/>
                <w:szCs w:val="28"/>
              </w:rPr>
              <w:t>ЗАКЛЮЧЕНИЕ</w:t>
            </w:r>
            <w:r w:rsidRPr="00871C8E">
              <w:rPr>
                <w:webHidden/>
                <w:sz w:val="28"/>
                <w:szCs w:val="28"/>
              </w:rPr>
              <w:tab/>
            </w:r>
            <w:r w:rsidRPr="00871C8E">
              <w:rPr>
                <w:webHidden/>
                <w:sz w:val="28"/>
                <w:szCs w:val="28"/>
              </w:rPr>
              <w:fldChar w:fldCharType="begin"/>
            </w:r>
            <w:r w:rsidRPr="00871C8E">
              <w:rPr>
                <w:webHidden/>
                <w:sz w:val="28"/>
                <w:szCs w:val="28"/>
              </w:rPr>
              <w:instrText xml:space="preserve"> PAGEREF _Toc6150527 \h </w:instrText>
            </w:r>
            <w:r w:rsidRPr="00871C8E">
              <w:rPr>
                <w:webHidden/>
                <w:sz w:val="28"/>
                <w:szCs w:val="28"/>
              </w:rPr>
            </w:r>
            <w:r w:rsidRPr="00871C8E">
              <w:rPr>
                <w:webHidden/>
                <w:sz w:val="28"/>
                <w:szCs w:val="28"/>
              </w:rPr>
              <w:fldChar w:fldCharType="separate"/>
            </w:r>
            <w:r w:rsidRPr="00871C8E">
              <w:rPr>
                <w:webHidden/>
                <w:sz w:val="28"/>
                <w:szCs w:val="28"/>
              </w:rPr>
              <w:t>31</w:t>
            </w:r>
            <w:r w:rsidRPr="00871C8E">
              <w:rPr>
                <w:webHidden/>
                <w:sz w:val="28"/>
                <w:szCs w:val="28"/>
              </w:rPr>
              <w:fldChar w:fldCharType="end"/>
            </w:r>
          </w:hyperlink>
        </w:p>
        <w:p w:rsidR="00871C8E" w:rsidRPr="00871C8E" w:rsidRDefault="00871C8E" w:rsidP="00871C8E">
          <w:pPr>
            <w:pStyle w:val="12"/>
            <w:jc w:val="both"/>
            <w:rPr>
              <w:rFonts w:asciiTheme="minorHAnsi" w:eastAsiaTheme="minorEastAsia" w:hAnsiTheme="minorHAnsi" w:cstheme="minorBidi"/>
              <w:bCs w:val="0"/>
              <w:color w:val="auto"/>
              <w:sz w:val="28"/>
              <w:szCs w:val="28"/>
            </w:rPr>
          </w:pPr>
          <w:hyperlink w:anchor="_Toc6150528" w:history="1">
            <w:r w:rsidRPr="00871C8E">
              <w:rPr>
                <w:rStyle w:val="a4"/>
                <w:sz w:val="28"/>
                <w:szCs w:val="28"/>
              </w:rPr>
              <w:t>СПИСОК ИСПОЛЬЗОВАННОЙ ЛИТЕРАТУРЫ</w:t>
            </w:r>
            <w:r w:rsidRPr="00871C8E">
              <w:rPr>
                <w:webHidden/>
                <w:sz w:val="28"/>
                <w:szCs w:val="28"/>
              </w:rPr>
              <w:tab/>
            </w:r>
            <w:r w:rsidRPr="00871C8E">
              <w:rPr>
                <w:webHidden/>
                <w:sz w:val="28"/>
                <w:szCs w:val="28"/>
              </w:rPr>
              <w:fldChar w:fldCharType="begin"/>
            </w:r>
            <w:r w:rsidRPr="00871C8E">
              <w:rPr>
                <w:webHidden/>
                <w:sz w:val="28"/>
                <w:szCs w:val="28"/>
              </w:rPr>
              <w:instrText xml:space="preserve"> PAGEREF _Toc6150528 \h </w:instrText>
            </w:r>
            <w:r w:rsidRPr="00871C8E">
              <w:rPr>
                <w:webHidden/>
                <w:sz w:val="28"/>
                <w:szCs w:val="28"/>
              </w:rPr>
            </w:r>
            <w:r w:rsidRPr="00871C8E">
              <w:rPr>
                <w:webHidden/>
                <w:sz w:val="28"/>
                <w:szCs w:val="28"/>
              </w:rPr>
              <w:fldChar w:fldCharType="separate"/>
            </w:r>
            <w:r w:rsidRPr="00871C8E">
              <w:rPr>
                <w:webHidden/>
                <w:sz w:val="28"/>
                <w:szCs w:val="28"/>
              </w:rPr>
              <w:t>33</w:t>
            </w:r>
            <w:r w:rsidRPr="00871C8E">
              <w:rPr>
                <w:webHidden/>
                <w:sz w:val="28"/>
                <w:szCs w:val="28"/>
              </w:rPr>
              <w:fldChar w:fldCharType="end"/>
            </w:r>
          </w:hyperlink>
        </w:p>
        <w:p w:rsidR="00005584" w:rsidRPr="00860642" w:rsidRDefault="00B17D14" w:rsidP="004D7C58">
          <w:pPr>
            <w:pStyle w:val="12"/>
            <w:ind w:right="-2"/>
            <w:jc w:val="both"/>
            <w:rPr>
              <w:rFonts w:asciiTheme="minorHAnsi" w:eastAsiaTheme="minorEastAsia" w:hAnsiTheme="minorHAnsi" w:cstheme="minorBidi"/>
              <w:color w:val="auto"/>
              <w:sz w:val="22"/>
              <w:szCs w:val="22"/>
            </w:rPr>
          </w:pPr>
          <w:r w:rsidRPr="004D7C58">
            <w:rPr>
              <w:color w:val="auto"/>
              <w:sz w:val="28"/>
              <w:szCs w:val="28"/>
            </w:rPr>
            <w:fldChar w:fldCharType="end"/>
          </w:r>
        </w:p>
      </w:sdtContent>
    </w:sdt>
    <w:p w:rsidR="00005584" w:rsidRPr="00860642" w:rsidRDefault="00005584" w:rsidP="00005584">
      <w:pPr>
        <w:tabs>
          <w:tab w:val="left" w:pos="1418"/>
        </w:tabs>
        <w:spacing w:after="0" w:line="360" w:lineRule="auto"/>
        <w:ind w:right="282" w:firstLine="851"/>
        <w:rPr>
          <w:rFonts w:ascii="Times New Roman" w:hAnsi="Times New Roman" w:cs="Times New Roman"/>
          <w:noProof/>
          <w:sz w:val="28"/>
          <w:szCs w:val="28"/>
        </w:rPr>
      </w:pPr>
    </w:p>
    <w:p w:rsidR="00005584" w:rsidRPr="00860642" w:rsidRDefault="00005584" w:rsidP="00005584">
      <w:pPr>
        <w:tabs>
          <w:tab w:val="left" w:pos="1418"/>
        </w:tabs>
        <w:spacing w:after="0" w:line="360" w:lineRule="auto"/>
        <w:ind w:right="282" w:firstLine="851"/>
        <w:rPr>
          <w:rFonts w:ascii="Times New Roman" w:hAnsi="Times New Roman" w:cs="Times New Roman"/>
          <w:noProof/>
          <w:sz w:val="28"/>
          <w:szCs w:val="28"/>
        </w:rPr>
      </w:pPr>
    </w:p>
    <w:p w:rsidR="00005584" w:rsidRPr="00860642" w:rsidRDefault="00005584" w:rsidP="00005584">
      <w:pPr>
        <w:tabs>
          <w:tab w:val="left" w:pos="1418"/>
        </w:tabs>
        <w:spacing w:after="0" w:line="360" w:lineRule="auto"/>
        <w:ind w:right="282"/>
        <w:rPr>
          <w:rFonts w:ascii="Times New Roman" w:hAnsi="Times New Roman" w:cs="Times New Roman"/>
          <w:noProof/>
          <w:sz w:val="28"/>
          <w:szCs w:val="28"/>
        </w:rPr>
      </w:pPr>
    </w:p>
    <w:p w:rsidR="00005584" w:rsidRPr="00860642" w:rsidRDefault="00005584" w:rsidP="00005584">
      <w:pPr>
        <w:tabs>
          <w:tab w:val="left" w:pos="1418"/>
        </w:tabs>
        <w:spacing w:after="0" w:line="360" w:lineRule="auto"/>
        <w:ind w:right="282"/>
        <w:rPr>
          <w:rFonts w:ascii="Times New Roman" w:hAnsi="Times New Roman" w:cs="Times New Roman"/>
          <w:noProof/>
          <w:sz w:val="28"/>
          <w:szCs w:val="28"/>
        </w:rPr>
      </w:pPr>
    </w:p>
    <w:p w:rsidR="00005584" w:rsidRDefault="00005584" w:rsidP="00005584">
      <w:pPr>
        <w:tabs>
          <w:tab w:val="left" w:pos="1418"/>
        </w:tabs>
        <w:spacing w:after="0" w:line="360" w:lineRule="auto"/>
        <w:ind w:right="282"/>
        <w:rPr>
          <w:rFonts w:ascii="Times New Roman" w:hAnsi="Times New Roman" w:cs="Times New Roman"/>
          <w:noProof/>
          <w:sz w:val="28"/>
          <w:szCs w:val="28"/>
        </w:rPr>
      </w:pPr>
    </w:p>
    <w:p w:rsidR="00871C8E" w:rsidRDefault="00871C8E" w:rsidP="00005584">
      <w:pPr>
        <w:tabs>
          <w:tab w:val="left" w:pos="1418"/>
        </w:tabs>
        <w:spacing w:after="0" w:line="360" w:lineRule="auto"/>
        <w:ind w:right="282"/>
        <w:rPr>
          <w:rFonts w:ascii="Times New Roman" w:hAnsi="Times New Roman" w:cs="Times New Roman"/>
          <w:noProof/>
          <w:sz w:val="28"/>
          <w:szCs w:val="28"/>
        </w:rPr>
      </w:pPr>
    </w:p>
    <w:p w:rsidR="00871C8E" w:rsidRDefault="00871C8E" w:rsidP="00005584">
      <w:pPr>
        <w:tabs>
          <w:tab w:val="left" w:pos="1418"/>
        </w:tabs>
        <w:spacing w:after="0" w:line="360" w:lineRule="auto"/>
        <w:ind w:right="282"/>
        <w:rPr>
          <w:rFonts w:ascii="Times New Roman" w:hAnsi="Times New Roman" w:cs="Times New Roman"/>
          <w:noProof/>
          <w:sz w:val="28"/>
          <w:szCs w:val="28"/>
        </w:rPr>
      </w:pPr>
    </w:p>
    <w:p w:rsidR="00871C8E" w:rsidRPr="00860642" w:rsidRDefault="00871C8E" w:rsidP="00005584">
      <w:pPr>
        <w:tabs>
          <w:tab w:val="left" w:pos="1418"/>
        </w:tabs>
        <w:spacing w:after="0" w:line="360" w:lineRule="auto"/>
        <w:ind w:right="282"/>
        <w:rPr>
          <w:rFonts w:ascii="Times New Roman" w:hAnsi="Times New Roman" w:cs="Times New Roman"/>
          <w:noProof/>
          <w:sz w:val="28"/>
          <w:szCs w:val="28"/>
        </w:rPr>
      </w:pPr>
    </w:p>
    <w:p w:rsidR="00005584" w:rsidRPr="00860642" w:rsidRDefault="00005584" w:rsidP="00005584">
      <w:pPr>
        <w:tabs>
          <w:tab w:val="left" w:pos="1418"/>
        </w:tabs>
        <w:spacing w:after="0" w:line="360" w:lineRule="auto"/>
        <w:ind w:right="282"/>
        <w:rPr>
          <w:rFonts w:ascii="Times New Roman" w:hAnsi="Times New Roman" w:cs="Times New Roman"/>
          <w:noProof/>
          <w:sz w:val="28"/>
          <w:szCs w:val="28"/>
        </w:rPr>
      </w:pPr>
    </w:p>
    <w:p w:rsidR="00005584" w:rsidRPr="00860642" w:rsidRDefault="00005584" w:rsidP="00005584">
      <w:pPr>
        <w:tabs>
          <w:tab w:val="left" w:pos="1418"/>
        </w:tabs>
        <w:spacing w:after="0" w:line="360" w:lineRule="auto"/>
        <w:ind w:right="282"/>
        <w:rPr>
          <w:rFonts w:ascii="Times New Roman" w:hAnsi="Times New Roman" w:cs="Times New Roman"/>
          <w:noProof/>
          <w:sz w:val="28"/>
          <w:szCs w:val="28"/>
        </w:rPr>
      </w:pPr>
    </w:p>
    <w:p w:rsidR="00005584" w:rsidRPr="00860642" w:rsidRDefault="00005584" w:rsidP="00005584">
      <w:pPr>
        <w:tabs>
          <w:tab w:val="left" w:pos="1418"/>
        </w:tabs>
        <w:spacing w:after="0" w:line="360" w:lineRule="auto"/>
        <w:ind w:right="282"/>
        <w:rPr>
          <w:rFonts w:ascii="Times New Roman" w:hAnsi="Times New Roman" w:cs="Times New Roman"/>
          <w:noProof/>
          <w:sz w:val="28"/>
          <w:szCs w:val="28"/>
        </w:rPr>
      </w:pPr>
    </w:p>
    <w:p w:rsidR="002C5947" w:rsidRPr="00860642" w:rsidRDefault="002C5947" w:rsidP="009968EE">
      <w:pPr>
        <w:pStyle w:val="1"/>
        <w:tabs>
          <w:tab w:val="left" w:pos="1418"/>
        </w:tabs>
        <w:spacing w:before="0" w:line="360" w:lineRule="auto"/>
        <w:ind w:firstLine="851"/>
        <w:jc w:val="center"/>
        <w:rPr>
          <w:rFonts w:ascii="Times New Roman" w:hAnsi="Times New Roman" w:cs="Times New Roman"/>
          <w:b w:val="0"/>
          <w:color w:val="auto"/>
        </w:rPr>
      </w:pPr>
      <w:bookmarkStart w:id="0" w:name="_Toc6150518"/>
      <w:r w:rsidRPr="00860642">
        <w:rPr>
          <w:rFonts w:ascii="Times New Roman" w:hAnsi="Times New Roman" w:cs="Times New Roman"/>
          <w:b w:val="0"/>
          <w:color w:val="auto"/>
        </w:rPr>
        <w:lastRenderedPageBreak/>
        <w:t>ВВЕДЕНИЕ</w:t>
      </w:r>
      <w:bookmarkEnd w:id="0"/>
    </w:p>
    <w:p w:rsidR="00A7662F" w:rsidRPr="00860642" w:rsidRDefault="00A7662F" w:rsidP="009968EE">
      <w:pPr>
        <w:tabs>
          <w:tab w:val="left" w:pos="1418"/>
        </w:tabs>
        <w:spacing w:after="0" w:line="360" w:lineRule="auto"/>
        <w:ind w:firstLine="567"/>
        <w:jc w:val="both"/>
        <w:rPr>
          <w:rFonts w:ascii="Times New Roman" w:hAnsi="Times New Roman" w:cs="Times New Roman"/>
          <w:sz w:val="28"/>
          <w:szCs w:val="28"/>
        </w:rPr>
      </w:pPr>
    </w:p>
    <w:p w:rsidR="005645DD" w:rsidRPr="00860642" w:rsidRDefault="005645DD" w:rsidP="009968EE">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Основными задачами современной российской экономики в условиях кризиса являются сохранение капитализации банковской сферы, увеличение объемов инвестиций и долгосрочного кредитования реального сектора экономики, развитие ипотечного кредитования. В решении этих задач важнейшее значение имеет привлечение в банковскую сферу свободных денежных средств граждан. Поэтому задача увеличения мобилизации финансовых ресурсов физических лиц во вклады имеет для нашей страны первостепенное значение.</w:t>
      </w:r>
    </w:p>
    <w:p w:rsidR="005645DD" w:rsidRPr="00860642" w:rsidRDefault="005645DD" w:rsidP="009968EE">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Не привлеченные в хозяйственный оборот накопления населения теряют свою покупательную способность в результате инфляции и лишают предприятия необходимых кредитных и инвестиционных ресурсов. По мнению большинства отечественных экспертов, занимающихся данной проблемой, главным фактором, препятствующим решению этой задачи, является низкий уровень доверия граждан к коммерческим банкам.</w:t>
      </w:r>
    </w:p>
    <w:p w:rsidR="005645DD" w:rsidRPr="00860642" w:rsidRDefault="005645DD" w:rsidP="009968EE">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Таким образом, чтобы повысить доверие населения к банковской системе страны, развивать рынок банковских услуг, необходимо введение различных способов обеспечения исполнения банками обязательств перед гражданами - вкладчиками.</w:t>
      </w:r>
    </w:p>
    <w:p w:rsidR="005645DD" w:rsidRPr="00860642" w:rsidRDefault="005645DD" w:rsidP="009968EE">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Для этого Банк России и Правительство РФ реализуют различные мероприятия. Одним из основных можно назвать принятие в 2003 году Федерального Закона «О страховании вкладов физических лиц в банках Российской Федерации», который в целом положительно повлиял на развитие сберегательного дела в современной России. Этот закон устанавливает организационные основы системы страхования вкладов и обеспечивает необходимую правовую базу для защиты интересов вкладчиков.</w:t>
      </w:r>
    </w:p>
    <w:p w:rsidR="005645DD" w:rsidRPr="00860642" w:rsidRDefault="005645DD" w:rsidP="009968EE">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Проблема сохранности вкладов и депозитов, размещенных в банках, является актуальной в особенности для стран с переходной экономикой, к которым относится и Российская Федерация. В разные периоды времени с </w:t>
      </w:r>
      <w:r w:rsidRPr="00860642">
        <w:rPr>
          <w:rFonts w:ascii="Times New Roman" w:hAnsi="Times New Roman" w:cs="Times New Roman"/>
          <w:sz w:val="28"/>
          <w:szCs w:val="28"/>
        </w:rPr>
        <w:lastRenderedPageBreak/>
        <w:t>этим вопросом сталкивались практически все государства. Как следствие практически во всех развитых странах были разработаны в различной форме гарантийные системы компенсации банковских депозитных вкладов, представляющие собой комплекс мер, обеспечивающих защиту вкладов на случай невыполнения коммерческими банками обязательств по возврату привлеченных денег.</w:t>
      </w:r>
    </w:p>
    <w:p w:rsidR="005645DD" w:rsidRPr="00860642" w:rsidRDefault="005645DD" w:rsidP="009968EE">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Цель</w:t>
      </w:r>
      <w:r w:rsidR="00A7662F" w:rsidRPr="00860642">
        <w:rPr>
          <w:rFonts w:ascii="Times New Roman" w:hAnsi="Times New Roman" w:cs="Times New Roman"/>
          <w:sz w:val="28"/>
          <w:szCs w:val="28"/>
        </w:rPr>
        <w:t>ю</w:t>
      </w:r>
      <w:r w:rsidRPr="00860642">
        <w:rPr>
          <w:rFonts w:ascii="Times New Roman" w:hAnsi="Times New Roman" w:cs="Times New Roman"/>
          <w:sz w:val="28"/>
          <w:szCs w:val="28"/>
        </w:rPr>
        <w:t xml:space="preserve"> </w:t>
      </w:r>
      <w:r w:rsidR="00A7662F" w:rsidRPr="00860642">
        <w:rPr>
          <w:rFonts w:ascii="Times New Roman" w:hAnsi="Times New Roman" w:cs="Times New Roman"/>
          <w:sz w:val="28"/>
          <w:szCs w:val="28"/>
        </w:rPr>
        <w:t xml:space="preserve">написания курсовой </w:t>
      </w:r>
      <w:r w:rsidRPr="00860642">
        <w:rPr>
          <w:rFonts w:ascii="Times New Roman" w:hAnsi="Times New Roman" w:cs="Times New Roman"/>
          <w:sz w:val="28"/>
          <w:szCs w:val="28"/>
        </w:rPr>
        <w:t>работы являе</w:t>
      </w:r>
      <w:r w:rsidR="0019447D">
        <w:rPr>
          <w:rFonts w:ascii="Times New Roman" w:hAnsi="Times New Roman" w:cs="Times New Roman"/>
          <w:sz w:val="28"/>
          <w:szCs w:val="28"/>
        </w:rPr>
        <w:t>тся изучение системы гарантирования</w:t>
      </w:r>
      <w:r w:rsidRPr="00860642">
        <w:rPr>
          <w:rFonts w:ascii="Times New Roman" w:hAnsi="Times New Roman" w:cs="Times New Roman"/>
          <w:sz w:val="28"/>
          <w:szCs w:val="28"/>
        </w:rPr>
        <w:t xml:space="preserve"> вкладов, проблем и определение основных тенденций ее развития в РФ.</w:t>
      </w:r>
    </w:p>
    <w:p w:rsidR="000D25BE" w:rsidRPr="00860642" w:rsidRDefault="000D25BE" w:rsidP="009968EE">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В соответствии с указанной целью выделяются следующие задачи:</w:t>
      </w:r>
    </w:p>
    <w:p w:rsidR="005645DD" w:rsidRPr="00860642" w:rsidRDefault="00A7662F" w:rsidP="009968EE">
      <w:pPr>
        <w:pStyle w:val="a8"/>
        <w:numPr>
          <w:ilvl w:val="0"/>
          <w:numId w:val="20"/>
        </w:numPr>
        <w:tabs>
          <w:tab w:val="left" w:pos="1418"/>
        </w:tabs>
        <w:spacing w:after="0" w:line="360" w:lineRule="auto"/>
        <w:ind w:left="0" w:firstLine="709"/>
        <w:jc w:val="both"/>
        <w:rPr>
          <w:rFonts w:ascii="Times New Roman" w:hAnsi="Times New Roman" w:cs="Times New Roman"/>
          <w:sz w:val="28"/>
          <w:szCs w:val="28"/>
        </w:rPr>
      </w:pPr>
      <w:r w:rsidRPr="00860642">
        <w:rPr>
          <w:rFonts w:ascii="Times New Roman" w:hAnsi="Times New Roman" w:cs="Times New Roman"/>
          <w:sz w:val="28"/>
          <w:szCs w:val="28"/>
        </w:rPr>
        <w:t>и</w:t>
      </w:r>
      <w:r w:rsidR="005645DD" w:rsidRPr="00860642">
        <w:rPr>
          <w:rFonts w:ascii="Times New Roman" w:hAnsi="Times New Roman" w:cs="Times New Roman"/>
          <w:sz w:val="28"/>
          <w:szCs w:val="28"/>
        </w:rPr>
        <w:t>сследовать основные по</w:t>
      </w:r>
      <w:r w:rsidR="0019447D">
        <w:rPr>
          <w:rFonts w:ascii="Times New Roman" w:hAnsi="Times New Roman" w:cs="Times New Roman"/>
          <w:sz w:val="28"/>
          <w:szCs w:val="28"/>
        </w:rPr>
        <w:t>нятия и виды системы гарантирования</w:t>
      </w:r>
      <w:r w:rsidR="005645DD" w:rsidRPr="00860642">
        <w:rPr>
          <w:rFonts w:ascii="Times New Roman" w:hAnsi="Times New Roman" w:cs="Times New Roman"/>
          <w:sz w:val="28"/>
          <w:szCs w:val="28"/>
        </w:rPr>
        <w:t xml:space="preserve"> вкладов;</w:t>
      </w:r>
    </w:p>
    <w:p w:rsidR="005645DD" w:rsidRPr="00860642" w:rsidRDefault="00A7662F" w:rsidP="009968EE">
      <w:pPr>
        <w:pStyle w:val="a8"/>
        <w:numPr>
          <w:ilvl w:val="0"/>
          <w:numId w:val="20"/>
        </w:numPr>
        <w:tabs>
          <w:tab w:val="left" w:pos="1418"/>
        </w:tabs>
        <w:spacing w:after="0" w:line="360" w:lineRule="auto"/>
        <w:ind w:left="0" w:firstLine="709"/>
        <w:jc w:val="both"/>
        <w:rPr>
          <w:rFonts w:ascii="Times New Roman" w:hAnsi="Times New Roman" w:cs="Times New Roman"/>
          <w:sz w:val="28"/>
          <w:szCs w:val="28"/>
        </w:rPr>
      </w:pPr>
      <w:r w:rsidRPr="00860642">
        <w:rPr>
          <w:rFonts w:ascii="Times New Roman" w:hAnsi="Times New Roman" w:cs="Times New Roman"/>
          <w:sz w:val="28"/>
          <w:szCs w:val="28"/>
        </w:rPr>
        <w:t>и</w:t>
      </w:r>
      <w:r w:rsidR="005645DD" w:rsidRPr="00860642">
        <w:rPr>
          <w:rFonts w:ascii="Times New Roman" w:hAnsi="Times New Roman" w:cs="Times New Roman"/>
          <w:sz w:val="28"/>
          <w:szCs w:val="28"/>
        </w:rPr>
        <w:t>сследовать организационные основы функционирование системы страхования вкладов физических лиц в России;</w:t>
      </w:r>
    </w:p>
    <w:p w:rsidR="005645DD" w:rsidRPr="00860642" w:rsidRDefault="00A7662F" w:rsidP="009968EE">
      <w:pPr>
        <w:pStyle w:val="a8"/>
        <w:numPr>
          <w:ilvl w:val="0"/>
          <w:numId w:val="20"/>
        </w:numPr>
        <w:tabs>
          <w:tab w:val="left" w:pos="1418"/>
        </w:tabs>
        <w:spacing w:after="0" w:line="360" w:lineRule="auto"/>
        <w:ind w:left="0" w:firstLine="709"/>
        <w:jc w:val="both"/>
        <w:rPr>
          <w:rFonts w:ascii="Times New Roman" w:hAnsi="Times New Roman" w:cs="Times New Roman"/>
          <w:sz w:val="28"/>
          <w:szCs w:val="28"/>
        </w:rPr>
      </w:pPr>
      <w:r w:rsidRPr="00860642">
        <w:rPr>
          <w:rFonts w:ascii="Times New Roman" w:hAnsi="Times New Roman" w:cs="Times New Roman"/>
          <w:sz w:val="28"/>
          <w:szCs w:val="28"/>
        </w:rPr>
        <w:t>п</w:t>
      </w:r>
      <w:r w:rsidR="005645DD" w:rsidRPr="00860642">
        <w:rPr>
          <w:rFonts w:ascii="Times New Roman" w:hAnsi="Times New Roman" w:cs="Times New Roman"/>
          <w:sz w:val="28"/>
          <w:szCs w:val="28"/>
        </w:rPr>
        <w:t xml:space="preserve">роанализировать основные проблемы и перспективы развития российской системы </w:t>
      </w:r>
      <w:r w:rsidR="0019447D">
        <w:rPr>
          <w:rFonts w:ascii="Times New Roman" w:hAnsi="Times New Roman" w:cs="Times New Roman"/>
          <w:sz w:val="28"/>
          <w:szCs w:val="28"/>
        </w:rPr>
        <w:t>гарантирования</w:t>
      </w:r>
      <w:r w:rsidR="005645DD" w:rsidRPr="00860642">
        <w:rPr>
          <w:rFonts w:ascii="Times New Roman" w:hAnsi="Times New Roman" w:cs="Times New Roman"/>
          <w:sz w:val="28"/>
          <w:szCs w:val="28"/>
        </w:rPr>
        <w:t xml:space="preserve"> вкладов</w:t>
      </w:r>
      <w:r w:rsidR="0019447D">
        <w:rPr>
          <w:rFonts w:ascii="Times New Roman" w:hAnsi="Times New Roman" w:cs="Times New Roman"/>
          <w:sz w:val="28"/>
          <w:szCs w:val="28"/>
        </w:rPr>
        <w:t>;</w:t>
      </w:r>
    </w:p>
    <w:p w:rsidR="005645DD" w:rsidRPr="00860642" w:rsidRDefault="00A7662F" w:rsidP="009968EE">
      <w:pPr>
        <w:pStyle w:val="a8"/>
        <w:numPr>
          <w:ilvl w:val="0"/>
          <w:numId w:val="20"/>
        </w:numPr>
        <w:tabs>
          <w:tab w:val="left" w:pos="1418"/>
        </w:tabs>
        <w:spacing w:after="0" w:line="360" w:lineRule="auto"/>
        <w:ind w:left="0" w:firstLine="709"/>
        <w:jc w:val="both"/>
        <w:rPr>
          <w:rFonts w:ascii="Times New Roman" w:hAnsi="Times New Roman" w:cs="Times New Roman"/>
          <w:sz w:val="28"/>
          <w:szCs w:val="28"/>
        </w:rPr>
      </w:pPr>
      <w:r w:rsidRPr="00860642">
        <w:rPr>
          <w:rFonts w:ascii="Times New Roman" w:hAnsi="Times New Roman" w:cs="Times New Roman"/>
          <w:sz w:val="28"/>
          <w:szCs w:val="28"/>
        </w:rPr>
        <w:t>о</w:t>
      </w:r>
      <w:r w:rsidR="005645DD" w:rsidRPr="00860642">
        <w:rPr>
          <w:rFonts w:ascii="Times New Roman" w:hAnsi="Times New Roman" w:cs="Times New Roman"/>
          <w:sz w:val="28"/>
          <w:szCs w:val="28"/>
        </w:rPr>
        <w:t>ценить современное состояние и основные направления развития системы страхования вкладов в России и способы ее совершенствования.</w:t>
      </w:r>
    </w:p>
    <w:p w:rsidR="005645DD" w:rsidRPr="00860642" w:rsidRDefault="005645DD" w:rsidP="009968EE">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Объектом исследования </w:t>
      </w:r>
      <w:r w:rsidR="00A7662F" w:rsidRPr="00860642">
        <w:rPr>
          <w:rFonts w:ascii="Times New Roman" w:hAnsi="Times New Roman" w:cs="Times New Roman"/>
          <w:sz w:val="28"/>
          <w:szCs w:val="28"/>
        </w:rPr>
        <w:t xml:space="preserve">курсовой </w:t>
      </w:r>
      <w:r w:rsidRPr="00860642">
        <w:rPr>
          <w:rFonts w:ascii="Times New Roman" w:hAnsi="Times New Roman" w:cs="Times New Roman"/>
          <w:sz w:val="28"/>
          <w:szCs w:val="28"/>
        </w:rPr>
        <w:t>раб</w:t>
      </w:r>
      <w:r w:rsidR="0019447D">
        <w:rPr>
          <w:rFonts w:ascii="Times New Roman" w:hAnsi="Times New Roman" w:cs="Times New Roman"/>
          <w:sz w:val="28"/>
          <w:szCs w:val="28"/>
        </w:rPr>
        <w:t>оты является система гарантирования</w:t>
      </w:r>
      <w:r w:rsidRPr="00860642">
        <w:rPr>
          <w:rFonts w:ascii="Times New Roman" w:hAnsi="Times New Roman" w:cs="Times New Roman"/>
          <w:sz w:val="28"/>
          <w:szCs w:val="28"/>
        </w:rPr>
        <w:t xml:space="preserve"> вкладов Российской Федерации. Предметом исследования является функ</w:t>
      </w:r>
      <w:r w:rsidR="0019447D">
        <w:rPr>
          <w:rFonts w:ascii="Times New Roman" w:hAnsi="Times New Roman" w:cs="Times New Roman"/>
          <w:sz w:val="28"/>
          <w:szCs w:val="28"/>
        </w:rPr>
        <w:t>ционирование системы гарантирования</w:t>
      </w:r>
      <w:r w:rsidRPr="00860642">
        <w:rPr>
          <w:rFonts w:ascii="Times New Roman" w:hAnsi="Times New Roman" w:cs="Times New Roman"/>
          <w:sz w:val="28"/>
          <w:szCs w:val="28"/>
        </w:rPr>
        <w:t xml:space="preserve"> банковских вкладов.</w:t>
      </w:r>
    </w:p>
    <w:p w:rsidR="005645DD" w:rsidRPr="00860642" w:rsidRDefault="005645DD" w:rsidP="009968EE">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В качестве ме</w:t>
      </w:r>
      <w:r w:rsidR="00A7662F" w:rsidRPr="00860642">
        <w:rPr>
          <w:rFonts w:ascii="Times New Roman" w:hAnsi="Times New Roman" w:cs="Times New Roman"/>
          <w:sz w:val="28"/>
          <w:szCs w:val="28"/>
        </w:rPr>
        <w:t>тодов, применяемых при изучении</w:t>
      </w:r>
      <w:r w:rsidRPr="00860642">
        <w:rPr>
          <w:rFonts w:ascii="Times New Roman" w:hAnsi="Times New Roman" w:cs="Times New Roman"/>
          <w:sz w:val="28"/>
          <w:szCs w:val="28"/>
        </w:rPr>
        <w:t xml:space="preserve"> использованы формализация (представление информации в виде таблиц и схем), абстрагирование (попытка выделения объектов исследования и перенос их свойств на всю изучаемую совокупность явлений), а также идеализация (попытка поиска некого идеального решения существующих проблем, при которой происходит нивелирование влияния ряда факторов).</w:t>
      </w:r>
    </w:p>
    <w:p w:rsidR="005A58CA" w:rsidRPr="004D7C58" w:rsidRDefault="0019447D" w:rsidP="004D7C58">
      <w:pPr>
        <w:pStyle w:val="1"/>
        <w:spacing w:line="360" w:lineRule="auto"/>
        <w:ind w:firstLine="709"/>
        <w:jc w:val="center"/>
        <w:rPr>
          <w:rFonts w:ascii="Times New Roman" w:hAnsi="Times New Roman" w:cs="Times New Roman"/>
          <w:b w:val="0"/>
          <w:color w:val="auto"/>
        </w:rPr>
      </w:pPr>
      <w:bookmarkStart w:id="1" w:name="_Toc6150519"/>
      <w:r>
        <w:rPr>
          <w:rFonts w:ascii="Times New Roman" w:hAnsi="Times New Roman" w:cs="Times New Roman"/>
          <w:b w:val="0"/>
          <w:color w:val="auto"/>
        </w:rPr>
        <w:lastRenderedPageBreak/>
        <w:t xml:space="preserve">Глава </w:t>
      </w:r>
      <w:r w:rsidR="005A58CA" w:rsidRPr="004D7C58">
        <w:rPr>
          <w:rFonts w:ascii="Times New Roman" w:hAnsi="Times New Roman" w:cs="Times New Roman"/>
          <w:b w:val="0"/>
          <w:color w:val="auto"/>
        </w:rPr>
        <w:t>1. Т</w:t>
      </w:r>
      <w:r>
        <w:rPr>
          <w:rFonts w:ascii="Times New Roman" w:hAnsi="Times New Roman" w:cs="Times New Roman"/>
          <w:b w:val="0"/>
          <w:color w:val="auto"/>
        </w:rPr>
        <w:t>еоретические основы формирования системы гарантирования вкладов</w:t>
      </w:r>
      <w:bookmarkEnd w:id="1"/>
      <w:r>
        <w:rPr>
          <w:rFonts w:ascii="Times New Roman" w:hAnsi="Times New Roman" w:cs="Times New Roman"/>
          <w:b w:val="0"/>
          <w:color w:val="auto"/>
        </w:rPr>
        <w:t xml:space="preserve"> </w:t>
      </w:r>
    </w:p>
    <w:p w:rsidR="0055366C" w:rsidRPr="00860642" w:rsidRDefault="0055366C" w:rsidP="00A7662F">
      <w:pPr>
        <w:pStyle w:val="1"/>
        <w:tabs>
          <w:tab w:val="left" w:pos="1418"/>
        </w:tabs>
        <w:spacing w:before="0" w:line="360" w:lineRule="auto"/>
        <w:ind w:firstLine="709"/>
        <w:jc w:val="center"/>
        <w:rPr>
          <w:rFonts w:ascii="Times New Roman" w:eastAsia="Calibri" w:hAnsi="Times New Roman" w:cs="Times New Roman"/>
          <w:b w:val="0"/>
          <w:color w:val="auto"/>
        </w:rPr>
      </w:pPr>
      <w:bookmarkStart w:id="2" w:name="_Toc6150520"/>
      <w:r w:rsidRPr="00860642">
        <w:rPr>
          <w:rFonts w:ascii="Times New Roman" w:eastAsia="Calibri" w:hAnsi="Times New Roman" w:cs="Times New Roman"/>
          <w:b w:val="0"/>
          <w:color w:val="auto"/>
        </w:rPr>
        <w:t xml:space="preserve">1.1. </w:t>
      </w:r>
      <w:r w:rsidR="005A58CA" w:rsidRPr="00860642">
        <w:rPr>
          <w:rFonts w:ascii="Times New Roman" w:eastAsia="Calibri" w:hAnsi="Times New Roman" w:cs="Times New Roman"/>
          <w:b w:val="0"/>
          <w:color w:val="auto"/>
        </w:rPr>
        <w:t xml:space="preserve">Сущность, цель, организационные основы системы </w:t>
      </w:r>
      <w:r w:rsidR="0019447D">
        <w:rPr>
          <w:rFonts w:ascii="Times New Roman" w:eastAsia="Calibri" w:hAnsi="Times New Roman" w:cs="Times New Roman"/>
          <w:b w:val="0"/>
          <w:color w:val="auto"/>
        </w:rPr>
        <w:t xml:space="preserve">гарантирования </w:t>
      </w:r>
      <w:r w:rsidR="005A58CA" w:rsidRPr="00860642">
        <w:rPr>
          <w:rFonts w:ascii="Times New Roman" w:eastAsia="Calibri" w:hAnsi="Times New Roman" w:cs="Times New Roman"/>
          <w:b w:val="0"/>
          <w:color w:val="auto"/>
        </w:rPr>
        <w:t>вкладов</w:t>
      </w:r>
      <w:bookmarkEnd w:id="2"/>
    </w:p>
    <w:p w:rsidR="00A7662F" w:rsidRPr="00860642" w:rsidRDefault="00A7662F" w:rsidP="00A7662F">
      <w:pPr>
        <w:tabs>
          <w:tab w:val="left" w:pos="726"/>
          <w:tab w:val="left" w:pos="1418"/>
        </w:tabs>
        <w:spacing w:after="0" w:line="360" w:lineRule="auto"/>
        <w:ind w:firstLine="567"/>
        <w:mirrorIndents/>
        <w:jc w:val="both"/>
        <w:rPr>
          <w:rFonts w:ascii="Times New Roman" w:hAnsi="Times New Roman" w:cs="Times New Roman"/>
          <w:bCs/>
          <w:sz w:val="28"/>
          <w:szCs w:val="28"/>
        </w:rPr>
      </w:pPr>
    </w:p>
    <w:p w:rsidR="005C5DA5" w:rsidRPr="00860642" w:rsidRDefault="005C5DA5" w:rsidP="0019447D">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На данном этапе экономического развития нашей страны возникает необходимость изменения банковской системы России и дальнейшего ее улучшения. Необходимость в подобных реформациях банковской системы возникла частично из-за неспособности Банка России в некоторых моментах правильно оценивать ту или иную экономическую ситуацию в банках и делать прогнозы на развитие банковской системы</w:t>
      </w:r>
      <w:r w:rsidRPr="00860642">
        <w:rPr>
          <w:vertAlign w:val="superscript"/>
        </w:rPr>
        <w:footnoteReference w:id="2"/>
      </w:r>
      <w:r w:rsidR="00A7662F" w:rsidRPr="00860642">
        <w:rPr>
          <w:rFonts w:ascii="Times New Roman" w:hAnsi="Times New Roman" w:cs="Times New Roman"/>
          <w:bCs/>
          <w:sz w:val="28"/>
          <w:szCs w:val="28"/>
        </w:rPr>
        <w:t>.</w:t>
      </w:r>
    </w:p>
    <w:p w:rsidR="005C5DA5" w:rsidRPr="00860642" w:rsidRDefault="00F216A9"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 xml:space="preserve">За последние несколько лет наше </w:t>
      </w:r>
      <w:r w:rsidR="005C5DA5" w:rsidRPr="00860642">
        <w:rPr>
          <w:rFonts w:ascii="Times New Roman" w:hAnsi="Times New Roman" w:cs="Times New Roman"/>
          <w:bCs/>
          <w:sz w:val="28"/>
          <w:szCs w:val="28"/>
        </w:rPr>
        <w:t>государство</w:t>
      </w:r>
      <w:r w:rsidRPr="00860642">
        <w:rPr>
          <w:rFonts w:ascii="Times New Roman" w:hAnsi="Times New Roman" w:cs="Times New Roman"/>
          <w:bCs/>
          <w:sz w:val="28"/>
          <w:szCs w:val="28"/>
        </w:rPr>
        <w:t xml:space="preserve"> стало </w:t>
      </w:r>
      <w:r w:rsidR="005C5DA5" w:rsidRPr="00860642">
        <w:rPr>
          <w:rFonts w:ascii="Times New Roman" w:hAnsi="Times New Roman" w:cs="Times New Roman"/>
          <w:bCs/>
          <w:sz w:val="28"/>
          <w:szCs w:val="28"/>
        </w:rPr>
        <w:t>больше обращать внимание на ранее</w:t>
      </w:r>
      <w:r w:rsidRPr="00860642">
        <w:rPr>
          <w:rFonts w:ascii="Times New Roman" w:hAnsi="Times New Roman" w:cs="Times New Roman"/>
          <w:bCs/>
          <w:sz w:val="28"/>
          <w:szCs w:val="28"/>
        </w:rPr>
        <w:t xml:space="preserve"> незадействованный</w:t>
      </w:r>
      <w:r w:rsidR="005C5DA5" w:rsidRPr="00860642">
        <w:rPr>
          <w:rFonts w:ascii="Times New Roman" w:hAnsi="Times New Roman" w:cs="Times New Roman"/>
          <w:bCs/>
          <w:sz w:val="28"/>
          <w:szCs w:val="28"/>
        </w:rPr>
        <w:t xml:space="preserve"> ресурс и потенциал сбережений населения. Поскольку именно банки играют роль основного посредника между инвестором и производственным сектором, то объем финансовых ресурсов, направляемых банками в реальную экономику, сильно ограничен. Именно поэтому для российского государства, перед которым стоит проблема экономического роста, очень важно вернуть доверие населения к банкам, чтобы аккумулировать сбережения физических лиц в банковской системе и впоследствии инвестировать привлеченные средства в производство.</w:t>
      </w:r>
    </w:p>
    <w:p w:rsidR="005C5DA5"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Таким образом, экономическая задача - привлечение инвестиций, неразрывно связана с социальной проблемой - защитой интересов вкладчиков.</w:t>
      </w:r>
      <w:r w:rsidR="00BF5995" w:rsidRPr="00860642">
        <w:rPr>
          <w:rStyle w:val="af2"/>
          <w:rFonts w:ascii="Times New Roman" w:hAnsi="Times New Roman"/>
          <w:bCs/>
          <w:sz w:val="28"/>
          <w:szCs w:val="28"/>
        </w:rPr>
        <w:footnoteReference w:id="3"/>
      </w:r>
    </w:p>
    <w:p w:rsidR="005C5DA5"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 xml:space="preserve">В программных документах Президента Российской Федерации, Правительства Российской Федерации, Банка России ставилась задача о необходимости формирования общероссийской системы страхования вкладов. Эту позицию активно поддержали представительные и законодательные органы государственной власти и банковское сообщество. Одновременно </w:t>
      </w:r>
      <w:r w:rsidRPr="00860642">
        <w:rPr>
          <w:rFonts w:ascii="Times New Roman" w:hAnsi="Times New Roman" w:cs="Times New Roman"/>
          <w:bCs/>
          <w:sz w:val="28"/>
          <w:szCs w:val="28"/>
        </w:rPr>
        <w:lastRenderedPageBreak/>
        <w:t>успешное развитие экономики в последние годы позволило сформировать прочный фундамент для создания системы защиты банковских вкладов.</w:t>
      </w:r>
    </w:p>
    <w:p w:rsidR="0019447D" w:rsidRDefault="0019447D" w:rsidP="00A7662F">
      <w:pPr>
        <w:tabs>
          <w:tab w:val="left" w:pos="726"/>
          <w:tab w:val="left" w:pos="1418"/>
        </w:tabs>
        <w:spacing w:after="0" w:line="360" w:lineRule="auto"/>
        <w:ind w:firstLine="709"/>
        <w:mirrorIndents/>
        <w:jc w:val="both"/>
        <w:rPr>
          <w:rFonts w:ascii="Times New Roman" w:hAnsi="Times New Roman" w:cs="Times New Roman"/>
          <w:sz w:val="28"/>
          <w:szCs w:val="28"/>
        </w:rPr>
      </w:pPr>
      <w:r w:rsidRPr="0019447D">
        <w:rPr>
          <w:rFonts w:ascii="Times New Roman" w:hAnsi="Times New Roman" w:cs="Times New Roman"/>
          <w:sz w:val="28"/>
          <w:szCs w:val="28"/>
        </w:rPr>
        <w:t xml:space="preserve">Гарантирование вкладов – система правовых норм и механизмов, направленных на содействие образованию и мобилизации сбережений с целью защиты банковской системы от финансовых кризисов, а мелких вкладчиков – от рисков, которые они не способны оценить и учесть в своих инвестиционных решениях. </w:t>
      </w:r>
    </w:p>
    <w:p w:rsidR="0019447D" w:rsidRPr="0019447D" w:rsidRDefault="0019447D"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19447D">
        <w:rPr>
          <w:rFonts w:ascii="Times New Roman" w:hAnsi="Times New Roman" w:cs="Times New Roman"/>
          <w:sz w:val="28"/>
          <w:szCs w:val="28"/>
        </w:rPr>
        <w:t>Система гарантирования означает, что в случае возникновения банковского кризиса все убытки возмещаются за счет средств фондов, специально создаваемых для этих целей. Эта система может отличаться полнотой охвата депозитов (депозиты физических и юридических лиц, межбанковские депозиты, депозиты в иностранной валюте местных и иностранных банков и пр.), характером и лимитами возмещения.</w:t>
      </w:r>
    </w:p>
    <w:p w:rsidR="005C5DA5"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Для решения поставленной задачи важнейшим актом в этой сфере является принятие ФЗ «О страховании вкладов физических лиц в банках Российской Федерации» в 2003 году и создание системы страхования вкладов.</w:t>
      </w:r>
      <w:r w:rsidR="00BF5995" w:rsidRPr="00860642">
        <w:rPr>
          <w:rStyle w:val="af2"/>
          <w:rFonts w:ascii="Times New Roman" w:hAnsi="Times New Roman"/>
          <w:bCs/>
          <w:sz w:val="28"/>
          <w:szCs w:val="28"/>
        </w:rPr>
        <w:footnoteReference w:id="4"/>
      </w:r>
    </w:p>
    <w:p w:rsidR="005C5DA5" w:rsidRPr="00860642" w:rsidRDefault="005C5DA5" w:rsidP="00A7662F">
      <w:pPr>
        <w:tabs>
          <w:tab w:val="left" w:pos="726"/>
          <w:tab w:val="left" w:pos="1418"/>
        </w:tabs>
        <w:spacing w:after="0" w:line="360" w:lineRule="auto"/>
        <w:ind w:firstLine="709"/>
        <w:jc w:val="both"/>
        <w:rPr>
          <w:rFonts w:ascii="Times New Roman" w:hAnsi="Times New Roman" w:cs="Times New Roman"/>
          <w:bCs/>
          <w:sz w:val="28"/>
          <w:szCs w:val="28"/>
        </w:rPr>
      </w:pPr>
      <w:r w:rsidRPr="00860642">
        <w:rPr>
          <w:rFonts w:ascii="Times New Roman" w:hAnsi="Times New Roman" w:cs="Times New Roman"/>
          <w:bCs/>
          <w:sz w:val="28"/>
          <w:szCs w:val="28"/>
        </w:rPr>
        <w:t>В настоящее время система защиты банковских вкладов существует в странах с исторически сложившейся рыночной экономикой, являясь при этом неотъемлемой частью банковской системы. На Западе данная схема получила большое распространение и в силу своей развитости подразумевает под собой более широкое понятие, а именно «систему страхования вкладов».</w:t>
      </w:r>
    </w:p>
    <w:p w:rsidR="005C5DA5" w:rsidRPr="00860642" w:rsidRDefault="005C5DA5" w:rsidP="00A7662F">
      <w:pPr>
        <w:tabs>
          <w:tab w:val="left" w:pos="726"/>
          <w:tab w:val="left" w:pos="1418"/>
        </w:tabs>
        <w:spacing w:after="0" w:line="360" w:lineRule="auto"/>
        <w:ind w:firstLine="709"/>
        <w:jc w:val="both"/>
        <w:rPr>
          <w:rFonts w:ascii="Times New Roman" w:hAnsi="Times New Roman" w:cs="Times New Roman"/>
          <w:bCs/>
          <w:sz w:val="28"/>
          <w:szCs w:val="28"/>
        </w:rPr>
      </w:pPr>
      <w:r w:rsidRPr="00860642">
        <w:rPr>
          <w:rFonts w:ascii="Times New Roman" w:hAnsi="Times New Roman" w:cs="Times New Roman"/>
          <w:bCs/>
          <w:sz w:val="28"/>
          <w:szCs w:val="28"/>
        </w:rPr>
        <w:t xml:space="preserve">Страхование банковских вкладов можно определить, как правоотношения по защите интересов физических лиц, заключивших с банком договор банковского вклада или банковского счета, при наступлении определенных страховых случаев за счет фонда обязательного страхования </w:t>
      </w:r>
      <w:r w:rsidRPr="00860642">
        <w:rPr>
          <w:rFonts w:ascii="Times New Roman" w:hAnsi="Times New Roman" w:cs="Times New Roman"/>
          <w:bCs/>
          <w:sz w:val="28"/>
          <w:szCs w:val="28"/>
        </w:rPr>
        <w:lastRenderedPageBreak/>
        <w:t>вкладов, формируемого Агентством по страхованию вкладов из уплаченных банками страховых взносов, а также за счет иных средств.</w:t>
      </w:r>
      <w:r w:rsidR="00BF5995" w:rsidRPr="00860642">
        <w:rPr>
          <w:rStyle w:val="af2"/>
          <w:rFonts w:ascii="Times New Roman" w:hAnsi="Times New Roman"/>
          <w:bCs/>
          <w:sz w:val="28"/>
          <w:szCs w:val="28"/>
        </w:rPr>
        <w:footnoteReference w:id="5"/>
      </w:r>
    </w:p>
    <w:p w:rsidR="005C5DA5" w:rsidRPr="00860642" w:rsidRDefault="005C5DA5" w:rsidP="00A7662F">
      <w:pPr>
        <w:tabs>
          <w:tab w:val="left" w:pos="726"/>
          <w:tab w:val="left" w:pos="1418"/>
        </w:tabs>
        <w:spacing w:after="0" w:line="360" w:lineRule="auto"/>
        <w:ind w:firstLine="709"/>
        <w:jc w:val="both"/>
        <w:rPr>
          <w:rFonts w:ascii="Times New Roman" w:hAnsi="Times New Roman" w:cs="Times New Roman"/>
          <w:bCs/>
          <w:sz w:val="28"/>
          <w:szCs w:val="28"/>
        </w:rPr>
      </w:pPr>
      <w:r w:rsidRPr="00860642">
        <w:rPr>
          <w:rFonts w:ascii="Times New Roman" w:hAnsi="Times New Roman" w:cs="Times New Roman"/>
          <w:bCs/>
          <w:sz w:val="28"/>
          <w:szCs w:val="28"/>
        </w:rPr>
        <w:t>Страхование вкладов осуществляется в силу Закона о страховании вкладов и не требует заключения договора страхования. Участие в системе страхования вкладов обязательно для всех банков, имеющих разрешение Банка России на привлечение во вклады денежных средств физических лиц и на открытие и ведение банковских счетов физических лиц. Поэтому рассматриваемые отношения отнесены к такой форме страхования как обязательное страх</w:t>
      </w:r>
      <w:r w:rsidR="00E07D0D" w:rsidRPr="00860642">
        <w:rPr>
          <w:rFonts w:ascii="Times New Roman" w:hAnsi="Times New Roman" w:cs="Times New Roman"/>
          <w:bCs/>
          <w:sz w:val="28"/>
          <w:szCs w:val="28"/>
        </w:rPr>
        <w:t>ование</w:t>
      </w:r>
      <w:r w:rsidRPr="00860642">
        <w:rPr>
          <w:rFonts w:ascii="Times New Roman" w:hAnsi="Times New Roman" w:cs="Times New Roman"/>
          <w:bCs/>
          <w:sz w:val="28"/>
          <w:szCs w:val="28"/>
        </w:rPr>
        <w:t>.</w:t>
      </w:r>
      <w:r w:rsidR="00BF5995" w:rsidRPr="00860642">
        <w:rPr>
          <w:rStyle w:val="af2"/>
          <w:rFonts w:ascii="Times New Roman" w:hAnsi="Times New Roman"/>
          <w:bCs/>
          <w:sz w:val="28"/>
          <w:szCs w:val="28"/>
        </w:rPr>
        <w:footnoteReference w:id="6"/>
      </w:r>
    </w:p>
    <w:p w:rsidR="00A7662F" w:rsidRPr="00860642" w:rsidRDefault="005C5DA5" w:rsidP="00A7662F">
      <w:pPr>
        <w:tabs>
          <w:tab w:val="left" w:pos="726"/>
          <w:tab w:val="left" w:pos="1418"/>
        </w:tabs>
        <w:spacing w:after="0" w:line="360" w:lineRule="auto"/>
        <w:ind w:firstLine="709"/>
        <w:jc w:val="both"/>
        <w:rPr>
          <w:rFonts w:ascii="Times New Roman" w:hAnsi="Times New Roman" w:cs="Times New Roman"/>
          <w:bCs/>
          <w:sz w:val="28"/>
          <w:szCs w:val="28"/>
        </w:rPr>
      </w:pPr>
      <w:r w:rsidRPr="00860642">
        <w:rPr>
          <w:rFonts w:ascii="Times New Roman" w:hAnsi="Times New Roman" w:cs="Times New Roman"/>
          <w:bCs/>
          <w:sz w:val="28"/>
          <w:szCs w:val="28"/>
        </w:rPr>
        <w:t xml:space="preserve">Кредитная организация несет обязанность обеспечивать сохранность вкладов и своевременность исполнения своих обязательств перед вкладчиками, обеспечивать возврат вкладов граждан путем обязательного страхования. Важнейшим способом законодательного обеспечения защиты прав и интересов граждан, заключивших договор банковского вклада или банковского счета является введение системы обязательного страхования вкладов физических лиц. Правовые, финансовые и организационные основы функционирования указанной системы установлены Федеральным законом от 23 декабря 2003 г. № 177-ФЗ «О страховании вкладов физических лиц в банках Российской Федерации». </w:t>
      </w:r>
      <w:r w:rsidR="00AB702C" w:rsidRPr="00860642">
        <w:rPr>
          <w:rStyle w:val="af2"/>
          <w:rFonts w:ascii="Times New Roman" w:hAnsi="Times New Roman"/>
          <w:bCs/>
          <w:sz w:val="28"/>
          <w:szCs w:val="28"/>
        </w:rPr>
        <w:footnoteReference w:id="7"/>
      </w:r>
    </w:p>
    <w:p w:rsidR="005C5DA5" w:rsidRPr="00860642" w:rsidRDefault="005C5DA5" w:rsidP="00A7662F">
      <w:pPr>
        <w:tabs>
          <w:tab w:val="left" w:pos="726"/>
          <w:tab w:val="left" w:pos="1418"/>
        </w:tabs>
        <w:spacing w:after="0" w:line="360" w:lineRule="auto"/>
        <w:ind w:firstLine="709"/>
        <w:jc w:val="both"/>
        <w:rPr>
          <w:rFonts w:ascii="Times New Roman" w:hAnsi="Times New Roman" w:cs="Times New Roman"/>
          <w:bCs/>
          <w:sz w:val="28"/>
          <w:szCs w:val="28"/>
        </w:rPr>
      </w:pPr>
      <w:r w:rsidRPr="00860642">
        <w:rPr>
          <w:rFonts w:ascii="Times New Roman" w:hAnsi="Times New Roman" w:cs="Times New Roman"/>
          <w:bCs/>
          <w:sz w:val="28"/>
          <w:szCs w:val="28"/>
        </w:rPr>
        <w:t xml:space="preserve">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 Помимо названного закона, отношения, возникающие в связи с созданием и функционированием системы страхования вкладов, регулируются иными федеральными законами, </w:t>
      </w:r>
      <w:r w:rsidRPr="00860642">
        <w:rPr>
          <w:rFonts w:ascii="Times New Roman" w:hAnsi="Times New Roman" w:cs="Times New Roman"/>
          <w:bCs/>
          <w:sz w:val="28"/>
          <w:szCs w:val="28"/>
        </w:rPr>
        <w:lastRenderedPageBreak/>
        <w:t>принимаемыми в соответствии с ним нормативными правовыми актами Правительства РФ и нормативными актами Банка России.</w:t>
      </w:r>
    </w:p>
    <w:p w:rsidR="00A7662F"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Основой для принятия решения о размере страхового возмещения служат два основных показателя: отношение лимита страхового покрытия к доле ВВП на душу населения и процент вкладчиков, получающих полное возмещение.</w:t>
      </w:r>
    </w:p>
    <w:p w:rsidR="00A7662F"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Лимит страхования (лимит страхового покрытия) — максимальная денежная сумма, на которую можно застраховать материальные ценности, жизнь, здоровье и т.д. исходя из произведенной оценки риска</w:t>
      </w:r>
      <w:r w:rsidR="003A227C" w:rsidRPr="00860642">
        <w:rPr>
          <w:rStyle w:val="af2"/>
          <w:rFonts w:ascii="Times New Roman" w:hAnsi="Times New Roman"/>
          <w:bCs/>
          <w:sz w:val="28"/>
          <w:szCs w:val="28"/>
        </w:rPr>
        <w:footnoteReference w:id="8"/>
      </w:r>
      <w:r w:rsidRPr="00860642">
        <w:rPr>
          <w:rFonts w:ascii="Times New Roman" w:hAnsi="Times New Roman" w:cs="Times New Roman"/>
          <w:bCs/>
          <w:sz w:val="28"/>
          <w:szCs w:val="28"/>
        </w:rPr>
        <w:t>. Лимит страхования может быть дифференцирован с учетом конкретных рисковых обстоятельств. На практике лимит страхования устанавливается страховщиком, исходя из накопленных данных</w:t>
      </w:r>
      <w:r w:rsidRPr="00860642">
        <w:rPr>
          <w:rFonts w:ascii="Times New Roman" w:hAnsi="Times New Roman" w:cs="Times New Roman"/>
          <w:bCs/>
          <w:sz w:val="28"/>
          <w:szCs w:val="28"/>
          <w:vertAlign w:val="superscript"/>
        </w:rPr>
        <w:footnoteReference w:id="9"/>
      </w:r>
      <w:r w:rsidRPr="00860642">
        <w:rPr>
          <w:rFonts w:ascii="Times New Roman" w:hAnsi="Times New Roman" w:cs="Times New Roman"/>
          <w:bCs/>
          <w:sz w:val="28"/>
          <w:szCs w:val="28"/>
        </w:rPr>
        <w:t xml:space="preserve">. </w:t>
      </w:r>
    </w:p>
    <w:p w:rsidR="005C5DA5"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В соответствии со сложившейся международной практикой для эффективной работы систем защиты вкладов размер страхового возмещения рекомендуется устанавливать в пределах 1-2 долей ВВП на душу населения. В России при принятии Закона размер страхового возмещения соответствовал 1,34 доли ВВП на душу населения, что характеризовало национальную систему защиты вкладов как соответствующую наилучшей мировой практике.</w:t>
      </w:r>
    </w:p>
    <w:p w:rsidR="005C5DA5"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К плюсам такой системы можно отнести простоту расчета страхового возмещения, что делает систему страхования понятной для общества. Недостатком такой системы является снижение заинтересованности вкладчиков в мониторинге финансового состояния банков</w:t>
      </w:r>
      <w:r w:rsidR="00AB702C" w:rsidRPr="00860642">
        <w:rPr>
          <w:rStyle w:val="af2"/>
          <w:rFonts w:ascii="Times New Roman" w:hAnsi="Times New Roman"/>
          <w:bCs/>
          <w:sz w:val="28"/>
          <w:szCs w:val="28"/>
        </w:rPr>
        <w:footnoteReference w:id="10"/>
      </w:r>
      <w:r w:rsidRPr="00860642">
        <w:rPr>
          <w:rFonts w:ascii="Times New Roman" w:hAnsi="Times New Roman" w:cs="Times New Roman"/>
          <w:bCs/>
          <w:sz w:val="28"/>
          <w:szCs w:val="28"/>
        </w:rPr>
        <w:t>.</w:t>
      </w:r>
    </w:p>
    <w:p w:rsidR="005C5DA5"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 xml:space="preserve">В результате, в Законе учтены все возможные и необходимые величины по формированию и возмещению средств для функционирования системы страхования вкладов. Таким образом, обеспечены равные условия поддержки со стороны государства для большинства вкладчиков в стране, одинаковые </w:t>
      </w:r>
      <w:r w:rsidRPr="00860642">
        <w:rPr>
          <w:rFonts w:ascii="Times New Roman" w:hAnsi="Times New Roman" w:cs="Times New Roman"/>
          <w:bCs/>
          <w:sz w:val="28"/>
          <w:szCs w:val="28"/>
        </w:rPr>
        <w:lastRenderedPageBreak/>
        <w:t>конкурентные условия по привлечению вкладов граждан для всех банков, в том числе для бан</w:t>
      </w:r>
      <w:r w:rsidR="003A227C" w:rsidRPr="00860642">
        <w:rPr>
          <w:rFonts w:ascii="Times New Roman" w:hAnsi="Times New Roman" w:cs="Times New Roman"/>
          <w:bCs/>
          <w:sz w:val="28"/>
          <w:szCs w:val="28"/>
        </w:rPr>
        <w:t>ков с государственным участием.</w:t>
      </w:r>
    </w:p>
    <w:p w:rsidR="005C5DA5"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 xml:space="preserve">Принятие и реализация законодательства о страховании вкладов привели к тому, что многие российские банки заново пересмотрели свои стратегические планы. </w:t>
      </w:r>
    </w:p>
    <w:p w:rsidR="005C5DA5"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Участие в системе страхования вкладов и уплата страховых взносов в фонд страхования вкладов обязательны для всех кредитных организаций, имеющих лицензию Банка России на привлечение во вклады денежных средств физических лиц и на открытие и ведение ба</w:t>
      </w:r>
      <w:r w:rsidR="003A227C" w:rsidRPr="00860642">
        <w:rPr>
          <w:rFonts w:ascii="Times New Roman" w:hAnsi="Times New Roman" w:cs="Times New Roman"/>
          <w:bCs/>
          <w:sz w:val="28"/>
          <w:szCs w:val="28"/>
        </w:rPr>
        <w:t>нковских счетов физических лиц.</w:t>
      </w:r>
    </w:p>
    <w:p w:rsidR="009968EE" w:rsidRPr="00860642" w:rsidRDefault="009968EE" w:rsidP="009968EE">
      <w:pPr>
        <w:tabs>
          <w:tab w:val="left" w:pos="726"/>
          <w:tab w:val="left" w:pos="1418"/>
        </w:tabs>
        <w:spacing w:after="0" w:line="360" w:lineRule="auto"/>
        <w:ind w:firstLine="567"/>
        <w:mirrorIndents/>
        <w:jc w:val="both"/>
        <w:rPr>
          <w:rFonts w:ascii="Times New Roman" w:hAnsi="Times New Roman" w:cs="Times New Roman"/>
          <w:bCs/>
          <w:sz w:val="28"/>
          <w:szCs w:val="28"/>
        </w:rPr>
      </w:pPr>
      <w:r w:rsidRPr="00860642">
        <w:rPr>
          <w:rFonts w:ascii="Times New Roman" w:hAnsi="Times New Roman" w:cs="Times New Roman"/>
          <w:bCs/>
          <w:sz w:val="28"/>
          <w:szCs w:val="28"/>
        </w:rPr>
        <w:t xml:space="preserve">Правовой основой страхования вкладов выступают в настоящее время положения ст. 38 и 39 Федерального закона «О банках и банковской деятельности», </w:t>
      </w:r>
      <w:r w:rsidRPr="00860642">
        <w:rPr>
          <w:rStyle w:val="af2"/>
          <w:rFonts w:ascii="Times New Roman" w:hAnsi="Times New Roman"/>
          <w:bCs/>
          <w:sz w:val="28"/>
          <w:szCs w:val="28"/>
        </w:rPr>
        <w:footnoteReference w:id="11"/>
      </w:r>
      <w:r w:rsidRPr="00860642">
        <w:rPr>
          <w:rFonts w:ascii="Times New Roman" w:hAnsi="Times New Roman" w:cs="Times New Roman"/>
          <w:bCs/>
          <w:sz w:val="28"/>
          <w:szCs w:val="28"/>
        </w:rPr>
        <w:t>нормы гражданского законодательства, а также Федеральный закон от 23.12.2003 № 177-ФЗ «О страховании вкладов физических лиц в банках Российской Федерации».</w:t>
      </w:r>
      <w:r w:rsidRPr="00860642">
        <w:rPr>
          <w:rStyle w:val="af2"/>
          <w:rFonts w:ascii="Times New Roman" w:hAnsi="Times New Roman"/>
          <w:bCs/>
          <w:sz w:val="28"/>
          <w:szCs w:val="28"/>
        </w:rPr>
        <w:footnoteReference w:id="12"/>
      </w:r>
    </w:p>
    <w:p w:rsidR="009968EE" w:rsidRPr="00860642" w:rsidRDefault="009968EE" w:rsidP="009968EE">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С правовой точки зрения вклад это:</w:t>
      </w:r>
    </w:p>
    <w:p w:rsidR="005C5DA5" w:rsidRPr="00860642" w:rsidRDefault="005C5DA5" w:rsidP="00A7662F">
      <w:pPr>
        <w:pStyle w:val="a8"/>
        <w:numPr>
          <w:ilvl w:val="0"/>
          <w:numId w:val="23"/>
        </w:numPr>
        <w:tabs>
          <w:tab w:val="left" w:pos="0"/>
          <w:tab w:val="left" w:pos="726"/>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денежные средства в валюте Российской Федерации или иностранной валюте, размещаемые физическими лицами в целях хранения и получения дохода</w:t>
      </w:r>
    </w:p>
    <w:p w:rsidR="005C5DA5" w:rsidRPr="00860642" w:rsidRDefault="005C5DA5" w:rsidP="00A7662F">
      <w:pPr>
        <w:pStyle w:val="a8"/>
        <w:numPr>
          <w:ilvl w:val="0"/>
          <w:numId w:val="23"/>
        </w:numPr>
        <w:tabs>
          <w:tab w:val="left" w:pos="0"/>
          <w:tab w:val="left" w:pos="726"/>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возвращается вкладчику по его первому требованию в порядке, предусмотренном для вклада данного вида федеральным законом и соответствующим договором</w:t>
      </w:r>
    </w:p>
    <w:p w:rsidR="005C5DA5" w:rsidRPr="00860642" w:rsidRDefault="005C5DA5" w:rsidP="00A7662F">
      <w:pPr>
        <w:pStyle w:val="a8"/>
        <w:numPr>
          <w:ilvl w:val="0"/>
          <w:numId w:val="23"/>
        </w:numPr>
        <w:tabs>
          <w:tab w:val="left" w:pos="0"/>
          <w:tab w:val="left" w:pos="726"/>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принимается только банками, имеющими такое право в соответствии с лицензией, выдаваемой ЦБ РФ, участвующими в системе обязательного страхования вкладов физических лиц в банках и состоящими на учете в организации, осуществляющей функции по обязательному страхованию вкладов</w:t>
      </w:r>
    </w:p>
    <w:p w:rsidR="005C5DA5" w:rsidRPr="00860642" w:rsidRDefault="005C5DA5" w:rsidP="00A7662F">
      <w:pPr>
        <w:pStyle w:val="a8"/>
        <w:numPr>
          <w:ilvl w:val="0"/>
          <w:numId w:val="23"/>
        </w:numPr>
        <w:tabs>
          <w:tab w:val="left" w:pos="0"/>
          <w:tab w:val="left" w:pos="726"/>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lastRenderedPageBreak/>
        <w:t>оформляется договором в письменной форме в двух экземплярах, один из которых выдается вкладчику</w:t>
      </w:r>
    </w:p>
    <w:p w:rsidR="005C5DA5" w:rsidRPr="00860642" w:rsidRDefault="005C5DA5" w:rsidP="00A7662F">
      <w:pPr>
        <w:pStyle w:val="a8"/>
        <w:numPr>
          <w:ilvl w:val="0"/>
          <w:numId w:val="23"/>
        </w:numPr>
        <w:tabs>
          <w:tab w:val="left" w:pos="0"/>
          <w:tab w:val="left" w:pos="726"/>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обеспечивает доход в виде процентов по вкладу, выплачиваемых в денежной форме.</w:t>
      </w:r>
    </w:p>
    <w:p w:rsidR="005C5DA5" w:rsidRPr="00860642" w:rsidRDefault="005C5DA5" w:rsidP="00A7662F">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Право привлечения во вклады денежных средств физических лиц предоставляется банкам, с даты государственной регистрации которых прошло не менее двух лет. При слиянии банков указанный срок рассчитывается по банку, имеющему более раннюю дату государственной регистрации. При преобразовании банка</w:t>
      </w:r>
      <w:r w:rsidR="003A227C" w:rsidRPr="00860642">
        <w:rPr>
          <w:rFonts w:ascii="Times New Roman" w:hAnsi="Times New Roman" w:cs="Times New Roman"/>
          <w:bCs/>
          <w:sz w:val="28"/>
          <w:szCs w:val="28"/>
        </w:rPr>
        <w:t xml:space="preserve"> указанный срок не прерывается.</w:t>
      </w:r>
    </w:p>
    <w:p w:rsidR="005C5DA5" w:rsidRPr="00860642" w:rsidRDefault="005C5DA5" w:rsidP="006E6A5D">
      <w:pPr>
        <w:tabs>
          <w:tab w:val="left" w:pos="726"/>
          <w:tab w:val="left" w:pos="1418"/>
        </w:tabs>
        <w:spacing w:after="0" w:line="360" w:lineRule="auto"/>
        <w:ind w:firstLine="567"/>
        <w:mirrorIndents/>
        <w:jc w:val="both"/>
        <w:rPr>
          <w:rFonts w:ascii="Times New Roman" w:hAnsi="Times New Roman" w:cs="Times New Roman"/>
          <w:bCs/>
          <w:sz w:val="28"/>
          <w:szCs w:val="28"/>
        </w:rPr>
      </w:pPr>
      <w:r w:rsidRPr="00860642">
        <w:rPr>
          <w:rFonts w:ascii="Times New Roman" w:hAnsi="Times New Roman" w:cs="Times New Roman"/>
          <w:bCs/>
          <w:sz w:val="28"/>
          <w:szCs w:val="28"/>
        </w:rPr>
        <w:t>Участниками системы обязательного страхования вкладов являются:</w:t>
      </w:r>
    </w:p>
    <w:p w:rsidR="005C5DA5" w:rsidRPr="00860642" w:rsidRDefault="005C5DA5" w:rsidP="00A7662F">
      <w:pPr>
        <w:pStyle w:val="a8"/>
        <w:numPr>
          <w:ilvl w:val="0"/>
          <w:numId w:val="25"/>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организация, осуществляющая функции по обя</w:t>
      </w:r>
      <w:r w:rsidR="00A7662F" w:rsidRPr="00860642">
        <w:rPr>
          <w:rFonts w:ascii="Times New Roman" w:hAnsi="Times New Roman" w:cs="Times New Roman"/>
          <w:bCs/>
          <w:sz w:val="28"/>
          <w:szCs w:val="28"/>
        </w:rPr>
        <w:t>зательному страхованию вкладов -</w:t>
      </w:r>
      <w:r w:rsidRPr="00860642">
        <w:rPr>
          <w:rFonts w:ascii="Times New Roman" w:hAnsi="Times New Roman" w:cs="Times New Roman"/>
          <w:bCs/>
          <w:sz w:val="28"/>
          <w:szCs w:val="28"/>
        </w:rPr>
        <w:t xml:space="preserve"> Агентство по страхованию вкладов (страховщик)</w:t>
      </w:r>
      <w:r w:rsidR="00A7662F" w:rsidRPr="00860642">
        <w:rPr>
          <w:rFonts w:ascii="Times New Roman" w:hAnsi="Times New Roman" w:cs="Times New Roman"/>
          <w:bCs/>
          <w:sz w:val="28"/>
          <w:szCs w:val="28"/>
        </w:rPr>
        <w:t>,</w:t>
      </w:r>
    </w:p>
    <w:p w:rsidR="005C5DA5" w:rsidRPr="00860642" w:rsidRDefault="005C5DA5" w:rsidP="00A7662F">
      <w:pPr>
        <w:pStyle w:val="a8"/>
        <w:numPr>
          <w:ilvl w:val="0"/>
          <w:numId w:val="25"/>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банки, внесенные в реестр и привлекающие средства граждан (страхователи)</w:t>
      </w:r>
      <w:r w:rsidR="00A7662F" w:rsidRPr="00860642">
        <w:rPr>
          <w:rFonts w:ascii="Times New Roman" w:hAnsi="Times New Roman" w:cs="Times New Roman"/>
          <w:bCs/>
          <w:sz w:val="28"/>
          <w:szCs w:val="28"/>
        </w:rPr>
        <w:t>,</w:t>
      </w:r>
    </w:p>
    <w:p w:rsidR="005C5DA5" w:rsidRPr="00860642" w:rsidRDefault="005C5DA5" w:rsidP="00A7662F">
      <w:pPr>
        <w:pStyle w:val="a8"/>
        <w:numPr>
          <w:ilvl w:val="0"/>
          <w:numId w:val="25"/>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вкладчики (выгодоприобретатели)</w:t>
      </w:r>
      <w:r w:rsidR="00A7662F" w:rsidRPr="00860642">
        <w:rPr>
          <w:rFonts w:ascii="Times New Roman" w:hAnsi="Times New Roman" w:cs="Times New Roman"/>
          <w:bCs/>
          <w:sz w:val="28"/>
          <w:szCs w:val="28"/>
        </w:rPr>
        <w:t>,</w:t>
      </w:r>
    </w:p>
    <w:p w:rsidR="005C5DA5" w:rsidRPr="00860642" w:rsidRDefault="005C5DA5" w:rsidP="00A7662F">
      <w:pPr>
        <w:pStyle w:val="a8"/>
        <w:numPr>
          <w:ilvl w:val="0"/>
          <w:numId w:val="25"/>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Банк России</w:t>
      </w:r>
      <w:r w:rsidR="001A7111" w:rsidRPr="00860642">
        <w:rPr>
          <w:rFonts w:ascii="Times New Roman" w:hAnsi="Times New Roman" w:cs="Times New Roman"/>
          <w:bCs/>
          <w:sz w:val="28"/>
          <w:szCs w:val="28"/>
        </w:rPr>
        <w:t xml:space="preserve"> (рис. 1)</w:t>
      </w:r>
      <w:r w:rsidR="00A7662F" w:rsidRPr="00860642">
        <w:rPr>
          <w:rFonts w:ascii="Times New Roman" w:hAnsi="Times New Roman" w:cs="Times New Roman"/>
          <w:bCs/>
          <w:sz w:val="28"/>
          <w:szCs w:val="28"/>
        </w:rPr>
        <w:t>.</w:t>
      </w:r>
    </w:p>
    <w:p w:rsidR="001A7111" w:rsidRPr="00860642" w:rsidRDefault="001A7111" w:rsidP="001A7111">
      <w:pPr>
        <w:tabs>
          <w:tab w:val="left" w:pos="726"/>
          <w:tab w:val="left" w:pos="1418"/>
        </w:tabs>
        <w:spacing w:after="0" w:line="360" w:lineRule="auto"/>
        <w:mirrorIndents/>
        <w:jc w:val="both"/>
        <w:rPr>
          <w:rFonts w:ascii="Times New Roman" w:hAnsi="Times New Roman" w:cs="Times New Roman"/>
          <w:bCs/>
          <w:sz w:val="28"/>
          <w:szCs w:val="28"/>
        </w:rPr>
      </w:pPr>
      <w:r w:rsidRPr="00860642">
        <w:rPr>
          <w:noProof/>
          <w:lang w:eastAsia="ru-RU"/>
        </w:rPr>
        <w:drawing>
          <wp:inline distT="0" distB="0" distL="0" distR="0">
            <wp:extent cx="5175885" cy="2752725"/>
            <wp:effectExtent l="19050" t="0" r="5715" b="0"/>
            <wp:docPr id="2" name="Рисунок 1" descr="https://cf.ppt-online.org/files/slide/6/6X18iBIyocsAQtdwx9Z3Lm0EebNOFnHqfPSMGR/slid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6/6X18iBIyocsAQtdwx9Z3Lm0EebNOFnHqfPSMGR/slide-45.jpg"/>
                    <pic:cNvPicPr>
                      <a:picLocks noChangeAspect="1" noChangeArrowheads="1"/>
                    </pic:cNvPicPr>
                  </pic:nvPicPr>
                  <pic:blipFill>
                    <a:blip r:embed="rId8"/>
                    <a:srcRect l="6575" t="24839" r="6346" b="13276"/>
                    <a:stretch>
                      <a:fillRect/>
                    </a:stretch>
                  </pic:blipFill>
                  <pic:spPr bwMode="auto">
                    <a:xfrm>
                      <a:off x="0" y="0"/>
                      <a:ext cx="5175885" cy="2752725"/>
                    </a:xfrm>
                    <a:prstGeom prst="rect">
                      <a:avLst/>
                    </a:prstGeom>
                    <a:noFill/>
                    <a:ln w="9525">
                      <a:noFill/>
                      <a:miter lim="800000"/>
                      <a:headEnd/>
                      <a:tailEnd/>
                    </a:ln>
                  </pic:spPr>
                </pic:pic>
              </a:graphicData>
            </a:graphic>
          </wp:inline>
        </w:drawing>
      </w:r>
    </w:p>
    <w:p w:rsidR="001A7111" w:rsidRPr="00860642" w:rsidRDefault="001A7111" w:rsidP="001A7111">
      <w:pPr>
        <w:tabs>
          <w:tab w:val="left" w:pos="726"/>
          <w:tab w:val="left" w:pos="1418"/>
        </w:tabs>
        <w:spacing w:after="0" w:line="360" w:lineRule="auto"/>
        <w:mirrorIndents/>
        <w:jc w:val="center"/>
        <w:rPr>
          <w:rFonts w:ascii="Times New Roman" w:hAnsi="Times New Roman" w:cs="Times New Roman"/>
          <w:bCs/>
          <w:sz w:val="28"/>
          <w:szCs w:val="28"/>
        </w:rPr>
      </w:pPr>
      <w:r w:rsidRPr="00860642">
        <w:rPr>
          <w:rFonts w:ascii="Times New Roman" w:hAnsi="Times New Roman" w:cs="Times New Roman"/>
          <w:bCs/>
          <w:sz w:val="28"/>
          <w:szCs w:val="28"/>
        </w:rPr>
        <w:t>Рисунок 1</w:t>
      </w:r>
      <w:r w:rsidR="0019447D">
        <w:rPr>
          <w:rFonts w:ascii="Times New Roman" w:hAnsi="Times New Roman" w:cs="Times New Roman"/>
          <w:bCs/>
          <w:sz w:val="28"/>
          <w:szCs w:val="28"/>
        </w:rPr>
        <w:t xml:space="preserve"> - Участники системы страхования и гарантирования</w:t>
      </w:r>
      <w:r w:rsidRPr="00860642">
        <w:rPr>
          <w:rFonts w:ascii="Times New Roman" w:hAnsi="Times New Roman" w:cs="Times New Roman"/>
          <w:bCs/>
          <w:sz w:val="28"/>
          <w:szCs w:val="28"/>
        </w:rPr>
        <w:t xml:space="preserve"> вкладов</w:t>
      </w:r>
    </w:p>
    <w:p w:rsidR="001A7111" w:rsidRPr="00860642" w:rsidRDefault="001A7111" w:rsidP="001A7111">
      <w:pPr>
        <w:tabs>
          <w:tab w:val="left" w:pos="726"/>
          <w:tab w:val="left" w:pos="1418"/>
        </w:tabs>
        <w:spacing w:after="0" w:line="360" w:lineRule="auto"/>
        <w:mirrorIndents/>
        <w:jc w:val="both"/>
        <w:rPr>
          <w:rFonts w:ascii="Times New Roman" w:hAnsi="Times New Roman" w:cs="Times New Roman"/>
          <w:bCs/>
          <w:sz w:val="28"/>
          <w:szCs w:val="28"/>
        </w:rPr>
      </w:pPr>
    </w:p>
    <w:p w:rsidR="001A7111" w:rsidRPr="00860642" w:rsidRDefault="001A7111" w:rsidP="001A7111">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Банки обеспечивают сохранность вкладов и своевременность исполнения своих обязательств перед вкладчиками.</w:t>
      </w:r>
    </w:p>
    <w:p w:rsidR="001A7111" w:rsidRPr="00860642" w:rsidRDefault="001A7111" w:rsidP="001A7111">
      <w:pPr>
        <w:tabs>
          <w:tab w:val="left" w:pos="726"/>
          <w:tab w:val="left" w:pos="1418"/>
        </w:tabs>
        <w:spacing w:after="0" w:line="360" w:lineRule="auto"/>
        <w:ind w:firstLine="567"/>
        <w:mirrorIndents/>
        <w:jc w:val="both"/>
        <w:rPr>
          <w:rFonts w:ascii="Times New Roman" w:hAnsi="Times New Roman" w:cs="Times New Roman"/>
          <w:bCs/>
          <w:sz w:val="28"/>
          <w:szCs w:val="28"/>
        </w:rPr>
      </w:pPr>
      <w:r w:rsidRPr="00860642">
        <w:rPr>
          <w:rFonts w:ascii="Times New Roman" w:hAnsi="Times New Roman" w:cs="Times New Roman"/>
          <w:bCs/>
          <w:sz w:val="28"/>
          <w:szCs w:val="28"/>
        </w:rPr>
        <w:lastRenderedPageBreak/>
        <w:t>Система обязательного страхования вкладов в банках создается в следующих целях:</w:t>
      </w:r>
    </w:p>
    <w:p w:rsidR="001A7111" w:rsidRPr="00860642" w:rsidRDefault="001A7111" w:rsidP="001A7111">
      <w:pPr>
        <w:pStyle w:val="a8"/>
        <w:numPr>
          <w:ilvl w:val="0"/>
          <w:numId w:val="24"/>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для обеспечения гарантий возврата привлекаемых банками средств граждан</w:t>
      </w:r>
    </w:p>
    <w:p w:rsidR="001A7111" w:rsidRPr="00860642" w:rsidRDefault="001A7111" w:rsidP="001A7111">
      <w:pPr>
        <w:pStyle w:val="a8"/>
        <w:numPr>
          <w:ilvl w:val="0"/>
          <w:numId w:val="24"/>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компенсации потери дохода по вложенным средствам.</w:t>
      </w:r>
    </w:p>
    <w:p w:rsidR="001A7111" w:rsidRPr="00860642" w:rsidRDefault="001A7111" w:rsidP="001A7111">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Одной из главных гарантий сохранности выступает институт страхования банковских вкладов. В зарубежных странах с развитой правовой системой такое страхование является обязательным условием предоставления денежных средств во вклад. В Российской Федерации отношения по страхованию банковских вкладов находятся на стадии становления.</w:t>
      </w:r>
    </w:p>
    <w:p w:rsidR="001A7111" w:rsidRPr="00860642" w:rsidRDefault="001A7111" w:rsidP="0019447D">
      <w:pPr>
        <w:tabs>
          <w:tab w:val="left" w:pos="726"/>
          <w:tab w:val="left" w:pos="1418"/>
        </w:tabs>
        <w:spacing w:after="0" w:line="360" w:lineRule="auto"/>
        <w:mirrorIndents/>
        <w:jc w:val="both"/>
        <w:rPr>
          <w:rFonts w:ascii="Times New Roman" w:hAnsi="Times New Roman" w:cs="Times New Roman"/>
          <w:bCs/>
          <w:sz w:val="28"/>
          <w:szCs w:val="28"/>
        </w:rPr>
      </w:pPr>
    </w:p>
    <w:p w:rsidR="00986B33" w:rsidRPr="00860642" w:rsidRDefault="00986B33" w:rsidP="0019447D">
      <w:pPr>
        <w:pStyle w:val="1"/>
        <w:spacing w:before="0"/>
        <w:jc w:val="center"/>
        <w:rPr>
          <w:rFonts w:ascii="Times New Roman" w:hAnsi="Times New Roman" w:cs="Times New Roman"/>
          <w:b w:val="0"/>
          <w:color w:val="auto"/>
        </w:rPr>
      </w:pPr>
      <w:bookmarkStart w:id="3" w:name="_Toc6150521"/>
      <w:r w:rsidRPr="00860642">
        <w:rPr>
          <w:rFonts w:ascii="Times New Roman" w:hAnsi="Times New Roman" w:cs="Times New Roman"/>
          <w:b w:val="0"/>
          <w:color w:val="auto"/>
        </w:rPr>
        <w:t>1.2. Принципы организации системы страхования вкладов</w:t>
      </w:r>
      <w:bookmarkEnd w:id="3"/>
    </w:p>
    <w:p w:rsidR="00986B33" w:rsidRPr="00860642" w:rsidRDefault="00986B33" w:rsidP="0019447D">
      <w:pPr>
        <w:tabs>
          <w:tab w:val="left" w:pos="726"/>
          <w:tab w:val="left" w:pos="1418"/>
        </w:tabs>
        <w:spacing w:after="0" w:line="360" w:lineRule="auto"/>
        <w:ind w:firstLine="567"/>
        <w:mirrorIndents/>
        <w:jc w:val="both"/>
        <w:rPr>
          <w:rFonts w:ascii="Times New Roman" w:hAnsi="Times New Roman" w:cs="Times New Roman"/>
          <w:bCs/>
          <w:sz w:val="28"/>
          <w:szCs w:val="28"/>
        </w:rPr>
      </w:pPr>
    </w:p>
    <w:p w:rsidR="00986B33" w:rsidRPr="00860642" w:rsidRDefault="00986B33" w:rsidP="0019447D">
      <w:pPr>
        <w:tabs>
          <w:tab w:val="left" w:pos="726"/>
          <w:tab w:val="left" w:pos="1418"/>
        </w:tabs>
        <w:spacing w:after="0" w:line="360" w:lineRule="auto"/>
        <w:ind w:firstLine="567"/>
        <w:mirrorIndents/>
        <w:jc w:val="both"/>
        <w:rPr>
          <w:rFonts w:ascii="Times New Roman" w:hAnsi="Times New Roman" w:cs="Times New Roman"/>
          <w:bCs/>
          <w:sz w:val="28"/>
          <w:szCs w:val="28"/>
        </w:rPr>
      </w:pPr>
      <w:r w:rsidRPr="00860642">
        <w:rPr>
          <w:rFonts w:ascii="Times New Roman" w:hAnsi="Times New Roman" w:cs="Times New Roman"/>
          <w:bCs/>
          <w:sz w:val="28"/>
          <w:szCs w:val="28"/>
        </w:rPr>
        <w:t>Система страхования вкладов работает следующим образом. Если в отношении банка наступает страховой случай (у него отзывается лицензия на осуществление банковских операций или вводится мораторий на удовлетворение требований кредиторов банка), его вкладчику в короткие сроки выплачивается денежная компенсация: возмещение по вкладам в установленном размере. В случае ликвидации банка его расчеты с вкладчиком в части, превышающей указанную выплату, проводятся позднее - в ходе ликвидационных процедур в банке.</w:t>
      </w:r>
    </w:p>
    <w:p w:rsidR="005C5DA5" w:rsidRPr="00860642" w:rsidRDefault="005C5DA5" w:rsidP="006E6A5D">
      <w:pPr>
        <w:tabs>
          <w:tab w:val="left" w:pos="726"/>
          <w:tab w:val="left" w:pos="1418"/>
        </w:tabs>
        <w:spacing w:after="0" w:line="360" w:lineRule="auto"/>
        <w:ind w:firstLine="567"/>
        <w:mirrorIndents/>
        <w:jc w:val="both"/>
        <w:rPr>
          <w:rFonts w:ascii="Times New Roman" w:hAnsi="Times New Roman" w:cs="Times New Roman"/>
          <w:bCs/>
          <w:sz w:val="28"/>
          <w:szCs w:val="28"/>
        </w:rPr>
      </w:pPr>
      <w:r w:rsidRPr="00860642">
        <w:rPr>
          <w:rFonts w:ascii="Times New Roman" w:hAnsi="Times New Roman" w:cs="Times New Roman"/>
          <w:bCs/>
          <w:sz w:val="28"/>
          <w:szCs w:val="28"/>
        </w:rPr>
        <w:t>Основные принципы системы страхования вкладов состоят в следующем:</w:t>
      </w:r>
    </w:p>
    <w:p w:rsidR="005C5DA5" w:rsidRPr="00860642" w:rsidRDefault="005C5DA5" w:rsidP="00986B33">
      <w:pPr>
        <w:pStyle w:val="a8"/>
        <w:numPr>
          <w:ilvl w:val="0"/>
          <w:numId w:val="26"/>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обязательность участия банков в системе страхования вкладов</w:t>
      </w:r>
      <w:r w:rsidR="00986B33" w:rsidRPr="00860642">
        <w:rPr>
          <w:rFonts w:ascii="Times New Roman" w:hAnsi="Times New Roman" w:cs="Times New Roman"/>
          <w:bCs/>
          <w:sz w:val="28"/>
          <w:szCs w:val="28"/>
        </w:rPr>
        <w:t>,</w:t>
      </w:r>
    </w:p>
    <w:p w:rsidR="005C5DA5" w:rsidRPr="00860642" w:rsidRDefault="005C5DA5" w:rsidP="00986B33">
      <w:pPr>
        <w:pStyle w:val="a8"/>
        <w:numPr>
          <w:ilvl w:val="0"/>
          <w:numId w:val="26"/>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сокращение рисков наступления неблагоприятных последствий для вкладчиков в случае неисполнения банками своих обязательств</w:t>
      </w:r>
      <w:r w:rsidR="00986B33" w:rsidRPr="00860642">
        <w:rPr>
          <w:rFonts w:ascii="Times New Roman" w:hAnsi="Times New Roman" w:cs="Times New Roman"/>
          <w:bCs/>
          <w:sz w:val="28"/>
          <w:szCs w:val="28"/>
        </w:rPr>
        <w:t>,</w:t>
      </w:r>
    </w:p>
    <w:p w:rsidR="005C5DA5" w:rsidRPr="00860642" w:rsidRDefault="005C5DA5" w:rsidP="00986B33">
      <w:pPr>
        <w:pStyle w:val="a8"/>
        <w:numPr>
          <w:ilvl w:val="0"/>
          <w:numId w:val="26"/>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прозрачность деятельности системы страхования вкладов</w:t>
      </w:r>
      <w:r w:rsidR="00986B33" w:rsidRPr="00860642">
        <w:rPr>
          <w:rFonts w:ascii="Times New Roman" w:hAnsi="Times New Roman" w:cs="Times New Roman"/>
          <w:bCs/>
          <w:sz w:val="28"/>
          <w:szCs w:val="28"/>
        </w:rPr>
        <w:t>,</w:t>
      </w:r>
    </w:p>
    <w:p w:rsidR="005C5DA5" w:rsidRPr="00860642" w:rsidRDefault="005C5DA5" w:rsidP="00986B33">
      <w:pPr>
        <w:pStyle w:val="a8"/>
        <w:numPr>
          <w:ilvl w:val="0"/>
          <w:numId w:val="26"/>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lastRenderedPageBreak/>
        <w:t>накопительный характер формирования фонда обязательного страхования вкладов за счет регулярных страхо</w:t>
      </w:r>
      <w:r w:rsidR="00986B33" w:rsidRPr="00860642">
        <w:rPr>
          <w:rFonts w:ascii="Times New Roman" w:hAnsi="Times New Roman" w:cs="Times New Roman"/>
          <w:bCs/>
          <w:sz w:val="28"/>
          <w:szCs w:val="28"/>
        </w:rPr>
        <w:t>вых взносов банков -</w:t>
      </w:r>
      <w:r w:rsidRPr="00860642">
        <w:rPr>
          <w:rFonts w:ascii="Times New Roman" w:hAnsi="Times New Roman" w:cs="Times New Roman"/>
          <w:bCs/>
          <w:sz w:val="28"/>
          <w:szCs w:val="28"/>
        </w:rPr>
        <w:t xml:space="preserve"> участников системы страхования вкладов</w:t>
      </w:r>
      <w:r w:rsidR="008B4F36">
        <w:rPr>
          <w:rStyle w:val="af2"/>
          <w:rFonts w:ascii="Times New Roman" w:hAnsi="Times New Roman"/>
          <w:bCs/>
          <w:sz w:val="28"/>
          <w:szCs w:val="28"/>
        </w:rPr>
        <w:footnoteReference w:id="13"/>
      </w:r>
      <w:r w:rsidRPr="00860642">
        <w:rPr>
          <w:rFonts w:ascii="Times New Roman" w:hAnsi="Times New Roman" w:cs="Times New Roman"/>
          <w:bCs/>
          <w:sz w:val="28"/>
          <w:szCs w:val="28"/>
        </w:rPr>
        <w:t>.</w:t>
      </w:r>
    </w:p>
    <w:p w:rsidR="005C5DA5" w:rsidRPr="00860642" w:rsidRDefault="005C5DA5" w:rsidP="006E6A5D">
      <w:pPr>
        <w:tabs>
          <w:tab w:val="left" w:pos="726"/>
          <w:tab w:val="left" w:pos="1418"/>
        </w:tabs>
        <w:spacing w:after="0" w:line="360" w:lineRule="auto"/>
        <w:ind w:firstLine="567"/>
        <w:mirrorIndents/>
        <w:jc w:val="both"/>
        <w:rPr>
          <w:rFonts w:ascii="Times New Roman" w:hAnsi="Times New Roman" w:cs="Times New Roman"/>
          <w:bCs/>
          <w:sz w:val="28"/>
          <w:szCs w:val="28"/>
        </w:rPr>
      </w:pPr>
      <w:r w:rsidRPr="00860642">
        <w:rPr>
          <w:rFonts w:ascii="Times New Roman" w:hAnsi="Times New Roman" w:cs="Times New Roman"/>
          <w:bCs/>
          <w:sz w:val="28"/>
          <w:szCs w:val="28"/>
        </w:rPr>
        <w:t>Не подлежат страхованию в системе обязательного страхования следующие денежные средства:</w:t>
      </w:r>
    </w:p>
    <w:p w:rsidR="005C5DA5" w:rsidRPr="00860642" w:rsidRDefault="005C5DA5" w:rsidP="00986B33">
      <w:pPr>
        <w:pStyle w:val="a8"/>
        <w:numPr>
          <w:ilvl w:val="0"/>
          <w:numId w:val="27"/>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размещенные на банковских счетах физических лиц, занимающихся предпринимательской деятельностью без образования юридического лица, если эти счета открыты в связи с указанной деятельностью</w:t>
      </w:r>
      <w:r w:rsidR="00986B33" w:rsidRPr="00860642">
        <w:rPr>
          <w:rFonts w:ascii="Times New Roman" w:hAnsi="Times New Roman" w:cs="Times New Roman"/>
          <w:bCs/>
          <w:sz w:val="28"/>
          <w:szCs w:val="28"/>
        </w:rPr>
        <w:t>,</w:t>
      </w:r>
    </w:p>
    <w:p w:rsidR="005C5DA5" w:rsidRPr="00860642" w:rsidRDefault="005C5DA5" w:rsidP="00986B33">
      <w:pPr>
        <w:pStyle w:val="a8"/>
        <w:numPr>
          <w:ilvl w:val="0"/>
          <w:numId w:val="27"/>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размещенные физическими лицами в банковские вклады на предъявителя, в том числе удостоверенные сберегательным сертификатом и (или) сберегательной книжкой на предъявителя;</w:t>
      </w:r>
    </w:p>
    <w:p w:rsidR="005C5DA5" w:rsidRPr="00860642" w:rsidRDefault="005C5DA5" w:rsidP="00986B33">
      <w:pPr>
        <w:pStyle w:val="a8"/>
        <w:numPr>
          <w:ilvl w:val="0"/>
          <w:numId w:val="27"/>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переданные физическими лицами банкам в доверительное управление;</w:t>
      </w:r>
    </w:p>
    <w:p w:rsidR="005C5DA5" w:rsidRPr="00860642" w:rsidRDefault="005C5DA5" w:rsidP="00986B33">
      <w:pPr>
        <w:pStyle w:val="a8"/>
        <w:numPr>
          <w:ilvl w:val="0"/>
          <w:numId w:val="27"/>
        </w:numPr>
        <w:tabs>
          <w:tab w:val="left" w:pos="726"/>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размещенные во вклады в находящихся за пределами территории Российско</w:t>
      </w:r>
      <w:r w:rsidR="00986B33" w:rsidRPr="00860642">
        <w:rPr>
          <w:rFonts w:ascii="Times New Roman" w:hAnsi="Times New Roman" w:cs="Times New Roman"/>
          <w:bCs/>
          <w:sz w:val="28"/>
          <w:szCs w:val="28"/>
        </w:rPr>
        <w:t>й Федерации филиалах банков РФ.</w:t>
      </w:r>
    </w:p>
    <w:p w:rsidR="005C5DA5" w:rsidRPr="00860642" w:rsidRDefault="005C5DA5" w:rsidP="006E6A5D">
      <w:pPr>
        <w:tabs>
          <w:tab w:val="left" w:pos="726"/>
          <w:tab w:val="left" w:pos="1418"/>
        </w:tabs>
        <w:spacing w:after="0" w:line="360" w:lineRule="auto"/>
        <w:ind w:firstLine="567"/>
        <w:mirrorIndents/>
        <w:jc w:val="both"/>
        <w:rPr>
          <w:rFonts w:ascii="Times New Roman" w:hAnsi="Times New Roman" w:cs="Times New Roman"/>
          <w:bCs/>
          <w:sz w:val="28"/>
          <w:szCs w:val="28"/>
        </w:rPr>
      </w:pPr>
      <w:r w:rsidRPr="00860642">
        <w:rPr>
          <w:rFonts w:ascii="Times New Roman" w:hAnsi="Times New Roman" w:cs="Times New Roman"/>
          <w:bCs/>
          <w:sz w:val="28"/>
          <w:szCs w:val="28"/>
        </w:rPr>
        <w:t xml:space="preserve">По способам организации систем страхования существуют два основных вида, которые выделяются согласно методологии </w:t>
      </w:r>
      <w:r w:rsidR="00986B33" w:rsidRPr="00860642">
        <w:rPr>
          <w:rFonts w:ascii="Times New Roman" w:hAnsi="Times New Roman" w:cs="Times New Roman"/>
          <w:bCs/>
          <w:sz w:val="28"/>
          <w:szCs w:val="28"/>
        </w:rPr>
        <w:t>Международного валютного фонда</w:t>
      </w:r>
      <w:r w:rsidRPr="00860642">
        <w:rPr>
          <w:rFonts w:ascii="Times New Roman" w:hAnsi="Times New Roman" w:cs="Times New Roman"/>
          <w:bCs/>
          <w:sz w:val="28"/>
          <w:szCs w:val="28"/>
        </w:rPr>
        <w:t>:</w:t>
      </w:r>
    </w:p>
    <w:p w:rsidR="005C5DA5" w:rsidRPr="00860642" w:rsidRDefault="005C5DA5" w:rsidP="00986B33">
      <w:pPr>
        <w:numPr>
          <w:ilvl w:val="0"/>
          <w:numId w:val="28"/>
        </w:numPr>
        <w:tabs>
          <w:tab w:val="left" w:pos="0"/>
          <w:tab w:val="left" w:pos="1418"/>
        </w:tabs>
        <w:spacing w:after="0" w:line="360" w:lineRule="auto"/>
        <w:ind w:left="0"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Система положительно-выраженных гарантий;</w:t>
      </w:r>
    </w:p>
    <w:p w:rsidR="005C5DA5" w:rsidRPr="00860642" w:rsidRDefault="005C5DA5" w:rsidP="00986B33">
      <w:pPr>
        <w:numPr>
          <w:ilvl w:val="0"/>
          <w:numId w:val="28"/>
        </w:numPr>
        <w:tabs>
          <w:tab w:val="left" w:pos="0"/>
          <w:tab w:val="left" w:pos="1418"/>
        </w:tabs>
        <w:spacing w:after="0" w:line="360" w:lineRule="auto"/>
        <w:ind w:left="0"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Система не выраженных прямо гарантий;</w:t>
      </w:r>
    </w:p>
    <w:p w:rsidR="005C5DA5" w:rsidRPr="00860642" w:rsidRDefault="005C5DA5" w:rsidP="006E6A5D">
      <w:pPr>
        <w:tabs>
          <w:tab w:val="left" w:pos="726"/>
          <w:tab w:val="left" w:pos="1418"/>
        </w:tabs>
        <w:spacing w:after="0" w:line="360" w:lineRule="auto"/>
        <w:ind w:firstLine="567"/>
        <w:mirrorIndents/>
        <w:jc w:val="both"/>
        <w:rPr>
          <w:rFonts w:ascii="Times New Roman" w:hAnsi="Times New Roman" w:cs="Times New Roman"/>
          <w:bCs/>
          <w:sz w:val="28"/>
          <w:szCs w:val="28"/>
        </w:rPr>
      </w:pPr>
      <w:r w:rsidRPr="00860642">
        <w:rPr>
          <w:rFonts w:ascii="Times New Roman" w:hAnsi="Times New Roman" w:cs="Times New Roman"/>
          <w:bCs/>
          <w:sz w:val="28"/>
          <w:szCs w:val="28"/>
        </w:rPr>
        <w:t xml:space="preserve">В соответствии с законом "О страховании вкладов физических лиц в банках Российской федерации" возмещение по вкладам выплачивается вкладчику в размере 100 процентов суммы </w:t>
      </w:r>
      <w:r w:rsidR="00986B33" w:rsidRPr="00860642">
        <w:rPr>
          <w:rFonts w:ascii="Times New Roman" w:hAnsi="Times New Roman" w:cs="Times New Roman"/>
          <w:bCs/>
          <w:sz w:val="28"/>
          <w:szCs w:val="28"/>
        </w:rPr>
        <w:t>вкладов в банке, но не более 1400</w:t>
      </w:r>
      <w:r w:rsidRPr="00860642">
        <w:rPr>
          <w:rFonts w:ascii="Times New Roman" w:hAnsi="Times New Roman" w:cs="Times New Roman"/>
          <w:bCs/>
          <w:sz w:val="28"/>
          <w:szCs w:val="28"/>
        </w:rPr>
        <w:t xml:space="preserve"> 000 рублей. Валютные вклады пересчитываются по курсу ЦБ на дату наступления страхового случая.</w:t>
      </w:r>
    </w:p>
    <w:p w:rsidR="005C5DA5" w:rsidRPr="00860642" w:rsidRDefault="005C5DA5" w:rsidP="003614D8">
      <w:pPr>
        <w:tabs>
          <w:tab w:val="left" w:pos="726"/>
          <w:tab w:val="left" w:pos="1418"/>
        </w:tabs>
        <w:spacing w:after="0" w:line="360" w:lineRule="auto"/>
        <w:ind w:firstLine="567"/>
        <w:mirrorIndents/>
        <w:jc w:val="both"/>
        <w:rPr>
          <w:rFonts w:ascii="Times New Roman" w:hAnsi="Times New Roman" w:cs="Times New Roman"/>
          <w:bCs/>
          <w:sz w:val="28"/>
          <w:szCs w:val="28"/>
        </w:rPr>
      </w:pPr>
      <w:r w:rsidRPr="00860642">
        <w:rPr>
          <w:rFonts w:ascii="Times New Roman" w:hAnsi="Times New Roman" w:cs="Times New Roman"/>
          <w:bCs/>
          <w:sz w:val="28"/>
          <w:szCs w:val="28"/>
        </w:rPr>
        <w:t>Сумма ко</w:t>
      </w:r>
      <w:r w:rsidR="00986B33" w:rsidRPr="00860642">
        <w:rPr>
          <w:rFonts w:ascii="Times New Roman" w:hAnsi="Times New Roman" w:cs="Times New Roman"/>
          <w:bCs/>
          <w:sz w:val="28"/>
          <w:szCs w:val="28"/>
        </w:rPr>
        <w:t>мпенсации не может превышать 1400</w:t>
      </w:r>
      <w:r w:rsidRPr="00860642">
        <w:rPr>
          <w:rFonts w:ascii="Times New Roman" w:hAnsi="Times New Roman" w:cs="Times New Roman"/>
          <w:bCs/>
          <w:sz w:val="28"/>
          <w:szCs w:val="28"/>
        </w:rPr>
        <w:t xml:space="preserve"> 000 рублей, даже если вкладчик хранит деньги в одном банке на нескольких счетах. Однако если он </w:t>
      </w:r>
      <w:r w:rsidRPr="00860642">
        <w:rPr>
          <w:rFonts w:ascii="Times New Roman" w:hAnsi="Times New Roman" w:cs="Times New Roman"/>
          <w:bCs/>
          <w:sz w:val="28"/>
          <w:szCs w:val="28"/>
        </w:rPr>
        <w:lastRenderedPageBreak/>
        <w:t>имеет вклады в разных банках, в каждом из них ему гарантируются равные выплаты.</w:t>
      </w:r>
    </w:p>
    <w:p w:rsidR="005C5DA5" w:rsidRPr="00860642" w:rsidRDefault="005C5DA5" w:rsidP="006E6A5D">
      <w:pPr>
        <w:tabs>
          <w:tab w:val="left" w:pos="726"/>
          <w:tab w:val="left" w:pos="1418"/>
        </w:tabs>
        <w:spacing w:after="0" w:line="360" w:lineRule="auto"/>
        <w:ind w:firstLine="567"/>
        <w:mirrorIndents/>
        <w:jc w:val="both"/>
        <w:rPr>
          <w:rFonts w:ascii="Times New Roman" w:hAnsi="Times New Roman" w:cs="Times New Roman"/>
          <w:bCs/>
          <w:sz w:val="28"/>
          <w:szCs w:val="28"/>
        </w:rPr>
      </w:pPr>
      <w:r w:rsidRPr="00860642">
        <w:rPr>
          <w:rFonts w:ascii="Times New Roman" w:hAnsi="Times New Roman" w:cs="Times New Roman"/>
          <w:bCs/>
          <w:sz w:val="28"/>
          <w:szCs w:val="28"/>
        </w:rPr>
        <w:t>По вкладам в банке, в котором страховой случай наступил:</w:t>
      </w:r>
    </w:p>
    <w:p w:rsidR="005C5DA5" w:rsidRPr="00860642" w:rsidRDefault="005C5DA5" w:rsidP="00986B33">
      <w:pPr>
        <w:numPr>
          <w:ilvl w:val="0"/>
          <w:numId w:val="29"/>
        </w:numPr>
        <w:tabs>
          <w:tab w:val="left" w:pos="0"/>
          <w:tab w:val="left" w:pos="1418"/>
        </w:tabs>
        <w:spacing w:after="0" w:line="360" w:lineRule="auto"/>
        <w:ind w:left="0"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до 9 августа 2006 г. - максимальная сумма страхового возмещения составляет 100 тысяч рублей;</w:t>
      </w:r>
    </w:p>
    <w:p w:rsidR="005C5DA5" w:rsidRPr="00860642" w:rsidRDefault="005C5DA5" w:rsidP="00986B33">
      <w:pPr>
        <w:numPr>
          <w:ilvl w:val="0"/>
          <w:numId w:val="29"/>
        </w:numPr>
        <w:tabs>
          <w:tab w:val="left" w:pos="0"/>
          <w:tab w:val="left" w:pos="1418"/>
        </w:tabs>
        <w:spacing w:after="0" w:line="360" w:lineRule="auto"/>
        <w:ind w:left="0"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с 9 августа 2006 г. по 25 марта 2007 г. - максимальная сумма страхового возмещения составляет 190 тысяч рублей;</w:t>
      </w:r>
    </w:p>
    <w:p w:rsidR="005C5DA5" w:rsidRPr="00860642" w:rsidRDefault="005C5DA5" w:rsidP="00986B33">
      <w:pPr>
        <w:numPr>
          <w:ilvl w:val="0"/>
          <w:numId w:val="29"/>
        </w:numPr>
        <w:tabs>
          <w:tab w:val="left" w:pos="0"/>
          <w:tab w:val="left" w:pos="1418"/>
        </w:tabs>
        <w:spacing w:after="0" w:line="360" w:lineRule="auto"/>
        <w:ind w:left="0"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с 26 марта 2007 г по 1 октября 2008 г. - максимальная сумма страхового возмещения составляет 400 тысяч рублей;</w:t>
      </w:r>
    </w:p>
    <w:p w:rsidR="005C5DA5" w:rsidRPr="00860642" w:rsidRDefault="005C5DA5" w:rsidP="00986B33">
      <w:pPr>
        <w:numPr>
          <w:ilvl w:val="0"/>
          <w:numId w:val="29"/>
        </w:numPr>
        <w:tabs>
          <w:tab w:val="left" w:pos="0"/>
          <w:tab w:val="left" w:pos="1418"/>
        </w:tabs>
        <w:spacing w:after="0" w:line="360" w:lineRule="auto"/>
        <w:ind w:left="0"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после 1 октября 2008 г. - максимальная сумма страхового возмещения составляет 700 тысяч рублей.</w:t>
      </w:r>
      <w:r w:rsidR="009968EE" w:rsidRPr="00860642">
        <w:rPr>
          <w:rFonts w:ascii="Times New Roman" w:hAnsi="Times New Roman" w:cs="Times New Roman"/>
          <w:bCs/>
          <w:sz w:val="28"/>
          <w:szCs w:val="28"/>
        </w:rPr>
        <w:t xml:space="preserve"> В настоящее время размер страхового возмещения составляет 1400 тысяч рублей.</w:t>
      </w:r>
    </w:p>
    <w:p w:rsidR="005C5DA5" w:rsidRPr="00860642" w:rsidRDefault="005C5DA5" w:rsidP="009968EE">
      <w:pPr>
        <w:tabs>
          <w:tab w:val="left" w:pos="0"/>
          <w:tab w:val="left" w:pos="1418"/>
        </w:tabs>
        <w:spacing w:after="0" w:line="360" w:lineRule="auto"/>
        <w:ind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Страхованию подлежат все денежные средства физических лиц в банках за исключением:</w:t>
      </w:r>
    </w:p>
    <w:p w:rsidR="005C5DA5" w:rsidRPr="00860642" w:rsidRDefault="005C5DA5" w:rsidP="00986B33">
      <w:pPr>
        <w:numPr>
          <w:ilvl w:val="0"/>
          <w:numId w:val="29"/>
        </w:numPr>
        <w:tabs>
          <w:tab w:val="left" w:pos="0"/>
          <w:tab w:val="left" w:pos="1418"/>
        </w:tabs>
        <w:spacing w:after="0" w:line="360" w:lineRule="auto"/>
        <w:ind w:left="0"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средств на счетах физических лиц-предпринимателей без образования юридического лица, если они открыты в связи с указанной деятельностью;</w:t>
      </w:r>
    </w:p>
    <w:p w:rsidR="005C5DA5" w:rsidRPr="00860642" w:rsidRDefault="005C5DA5" w:rsidP="00986B33">
      <w:pPr>
        <w:numPr>
          <w:ilvl w:val="0"/>
          <w:numId w:val="29"/>
        </w:numPr>
        <w:tabs>
          <w:tab w:val="left" w:pos="0"/>
          <w:tab w:val="left" w:pos="1418"/>
        </w:tabs>
        <w:spacing w:after="0" w:line="360" w:lineRule="auto"/>
        <w:ind w:left="0"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вкладов на предъявителя;</w:t>
      </w:r>
    </w:p>
    <w:p w:rsidR="005C5DA5" w:rsidRPr="00860642" w:rsidRDefault="005C5DA5" w:rsidP="00986B33">
      <w:pPr>
        <w:numPr>
          <w:ilvl w:val="0"/>
          <w:numId w:val="29"/>
        </w:numPr>
        <w:tabs>
          <w:tab w:val="left" w:pos="0"/>
          <w:tab w:val="left" w:pos="1418"/>
        </w:tabs>
        <w:spacing w:after="0" w:line="360" w:lineRule="auto"/>
        <w:ind w:left="0"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средств, переданных банкам в доверительное управление;</w:t>
      </w:r>
    </w:p>
    <w:p w:rsidR="005C5DA5" w:rsidRPr="00860642" w:rsidRDefault="005C5DA5" w:rsidP="00986B33">
      <w:pPr>
        <w:numPr>
          <w:ilvl w:val="0"/>
          <w:numId w:val="29"/>
        </w:numPr>
        <w:tabs>
          <w:tab w:val="left" w:pos="0"/>
          <w:tab w:val="left" w:pos="1418"/>
        </w:tabs>
        <w:spacing w:after="0" w:line="360" w:lineRule="auto"/>
        <w:ind w:left="0" w:firstLine="709"/>
        <w:contextualSpacing/>
        <w:mirrorIndents/>
        <w:jc w:val="both"/>
        <w:rPr>
          <w:rFonts w:ascii="Times New Roman" w:hAnsi="Times New Roman" w:cs="Times New Roman"/>
          <w:bCs/>
          <w:sz w:val="28"/>
          <w:szCs w:val="28"/>
        </w:rPr>
      </w:pPr>
      <w:r w:rsidRPr="00860642">
        <w:rPr>
          <w:rFonts w:ascii="Times New Roman" w:hAnsi="Times New Roman" w:cs="Times New Roman"/>
          <w:bCs/>
          <w:sz w:val="28"/>
          <w:szCs w:val="28"/>
        </w:rPr>
        <w:t>вкладов в зарубежных филиалах российских банков.</w:t>
      </w:r>
      <w:r w:rsidR="0048547F" w:rsidRPr="00860642">
        <w:rPr>
          <w:rStyle w:val="af2"/>
          <w:rFonts w:ascii="Times New Roman" w:hAnsi="Times New Roman"/>
          <w:bCs/>
          <w:sz w:val="28"/>
          <w:szCs w:val="28"/>
        </w:rPr>
        <w:footnoteReference w:id="14"/>
      </w:r>
    </w:p>
    <w:p w:rsidR="009968EE" w:rsidRPr="00860642" w:rsidRDefault="009968EE" w:rsidP="009968EE">
      <w:pPr>
        <w:pStyle w:val="aa"/>
        <w:spacing w:before="0" w:beforeAutospacing="0" w:after="0" w:afterAutospacing="0" w:line="360" w:lineRule="auto"/>
        <w:ind w:firstLine="709"/>
        <w:jc w:val="both"/>
        <w:textAlignment w:val="baseline"/>
        <w:rPr>
          <w:sz w:val="28"/>
          <w:szCs w:val="28"/>
        </w:rPr>
      </w:pPr>
      <w:r w:rsidRPr="00860642">
        <w:rPr>
          <w:sz w:val="28"/>
          <w:szCs w:val="28"/>
        </w:rPr>
        <w:t>С 1 января 2019 года вступают в силу изменения, внесенные в Федеральный закон от 23 декабря 2003 года № 177-ФЗ «О страховании вкладов физических лиц в банках Российской Федерации», которые распространяют действие системы страхования вкладов (ССВ) на денежные средства юридических лиц, отнесенных в соответствии с законодательством Российской Федерации к малым предприятиям, сведения о которых содержатся в Едином реестре субъектов малого и среднего предпринимательства.</w:t>
      </w:r>
    </w:p>
    <w:p w:rsidR="009968EE" w:rsidRPr="00860642" w:rsidRDefault="009968EE" w:rsidP="009968EE">
      <w:pPr>
        <w:pStyle w:val="aa"/>
        <w:spacing w:before="0" w:beforeAutospacing="0" w:after="0" w:afterAutospacing="0" w:line="360" w:lineRule="auto"/>
        <w:ind w:firstLine="709"/>
        <w:jc w:val="both"/>
        <w:textAlignment w:val="baseline"/>
        <w:rPr>
          <w:sz w:val="28"/>
          <w:szCs w:val="28"/>
        </w:rPr>
      </w:pPr>
      <w:r w:rsidRPr="00860642">
        <w:rPr>
          <w:sz w:val="28"/>
          <w:szCs w:val="28"/>
        </w:rPr>
        <w:lastRenderedPageBreak/>
        <w:t>Новой редакцией Федерального закона, получившего наименование «О страховании вкладов в банках Российской Федерации», предусмотрено страхование денежных средств малого предприятия в рублях и иностранной валюте, размещенных на основании договора банковского вклада или банковского счета в банке – участнике ССВ, имеющем право на привлечение во вклады денежных средств физических лиц.</w:t>
      </w:r>
    </w:p>
    <w:p w:rsidR="009968EE" w:rsidRPr="00860642" w:rsidRDefault="009968EE" w:rsidP="009968EE">
      <w:pPr>
        <w:pStyle w:val="aa"/>
        <w:spacing w:before="0" w:beforeAutospacing="0" w:after="0" w:afterAutospacing="0" w:line="360" w:lineRule="auto"/>
        <w:ind w:firstLine="709"/>
        <w:jc w:val="both"/>
        <w:textAlignment w:val="baseline"/>
        <w:rPr>
          <w:sz w:val="28"/>
          <w:szCs w:val="28"/>
        </w:rPr>
      </w:pPr>
      <w:r w:rsidRPr="00860642">
        <w:rPr>
          <w:sz w:val="28"/>
          <w:szCs w:val="28"/>
        </w:rPr>
        <w:t>Размер страхового возмещения для вкладчика - малого предприятия при наступлении страхового случая в банке после 1 января 2019 года устанавливается в рублях по тем же правилам, что и для физического лица: в размере 100 процентов суммы всех застрахованных обязательств банка перед таким вкладчиком (за вычетом суммы встречных требований банка к вкладчику), но не более 1,4 млн рублей в совокупности.</w:t>
      </w:r>
    </w:p>
    <w:p w:rsidR="009968EE" w:rsidRPr="00860642" w:rsidRDefault="009968EE" w:rsidP="009968EE">
      <w:pPr>
        <w:pStyle w:val="aa"/>
        <w:spacing w:before="0" w:beforeAutospacing="0" w:after="0" w:afterAutospacing="0" w:line="360" w:lineRule="auto"/>
        <w:ind w:firstLine="709"/>
        <w:jc w:val="both"/>
        <w:textAlignment w:val="baseline"/>
        <w:rPr>
          <w:sz w:val="28"/>
          <w:szCs w:val="28"/>
        </w:rPr>
      </w:pPr>
      <w:r w:rsidRPr="00860642">
        <w:rPr>
          <w:sz w:val="28"/>
          <w:szCs w:val="28"/>
        </w:rPr>
        <w:t>Таким образом, в соответствии с Федеральным законом с 1 января 2019 года к числу вкладчиков, у которых средства на банковских счетах (вкладах) застрахованы в системе страхования вкладов, наряду с физическими лицами и индивидуальными предпринимателями, дополнительно отнесены малые предприятия.</w:t>
      </w:r>
    </w:p>
    <w:p w:rsidR="00860642" w:rsidRDefault="00860642" w:rsidP="009968EE">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Механизм работы системы страхования вкладов представлен на рисунке 2.</w:t>
      </w:r>
      <w:r w:rsidR="00871C8E" w:rsidRPr="00871C8E">
        <w:rPr>
          <w:rFonts w:ascii="Times New Roman" w:hAnsi="Times New Roman" w:cs="Times New Roman"/>
          <w:bCs/>
          <w:sz w:val="28"/>
          <w:szCs w:val="28"/>
        </w:rPr>
        <w:t xml:space="preserve"> </w:t>
      </w:r>
      <w:r w:rsidR="00871C8E" w:rsidRPr="00860642">
        <w:rPr>
          <w:rFonts w:ascii="Times New Roman" w:hAnsi="Times New Roman" w:cs="Times New Roman"/>
          <w:bCs/>
          <w:sz w:val="28"/>
          <w:szCs w:val="28"/>
        </w:rPr>
        <w:t>Совокупность денежных средств и иного имущества, которые формируются и используются в соответствии с Федеральным законом «О страховании вкладов физических лиц в банках РФ», составляет Фонд обязательного страхования вкладов. Этот фонд принадлежит Агентству по страхованию вкладов на праве собственности и предназначен для финансирования выплаты возмещения по вкладам.</w:t>
      </w:r>
    </w:p>
    <w:p w:rsidR="00871C8E" w:rsidRPr="00860642" w:rsidRDefault="00871C8E" w:rsidP="009968EE">
      <w:pPr>
        <w:tabs>
          <w:tab w:val="left" w:pos="726"/>
          <w:tab w:val="left" w:pos="1418"/>
        </w:tabs>
        <w:spacing w:after="0" w:line="360" w:lineRule="auto"/>
        <w:ind w:firstLine="709"/>
        <w:mirrorIndents/>
        <w:jc w:val="both"/>
        <w:rPr>
          <w:rFonts w:ascii="Times New Roman" w:hAnsi="Times New Roman" w:cs="Times New Roman"/>
          <w:bCs/>
          <w:sz w:val="28"/>
          <w:szCs w:val="28"/>
        </w:rPr>
      </w:pPr>
    </w:p>
    <w:p w:rsidR="00860642" w:rsidRPr="00860642" w:rsidRDefault="00860642" w:rsidP="00860642">
      <w:pPr>
        <w:tabs>
          <w:tab w:val="left" w:pos="726"/>
          <w:tab w:val="left" w:pos="1418"/>
        </w:tabs>
        <w:spacing w:after="0" w:line="360" w:lineRule="auto"/>
        <w:mirrorIndents/>
        <w:jc w:val="both"/>
        <w:rPr>
          <w:rFonts w:ascii="Times New Roman" w:hAnsi="Times New Roman" w:cs="Times New Roman"/>
          <w:bCs/>
          <w:sz w:val="28"/>
          <w:szCs w:val="28"/>
        </w:rPr>
      </w:pPr>
      <w:r w:rsidRPr="00860642">
        <w:rPr>
          <w:noProof/>
          <w:lang w:eastAsia="ru-RU"/>
        </w:rPr>
        <w:lastRenderedPageBreak/>
        <w:drawing>
          <wp:inline distT="0" distB="0" distL="0" distR="0">
            <wp:extent cx="5939790" cy="4800600"/>
            <wp:effectExtent l="19050" t="0" r="3810" b="0"/>
            <wp:docPr id="4" name="Рисунок 4" descr="http://cdn01.ru/files/users/images/ea/06/ea06d6dcbb26724be626888043b78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01.ru/files/users/images/ea/06/ea06d6dcbb26724be626888043b78064.jpg"/>
                    <pic:cNvPicPr>
                      <a:picLocks noChangeAspect="1" noChangeArrowheads="1"/>
                    </pic:cNvPicPr>
                  </pic:nvPicPr>
                  <pic:blipFill>
                    <a:blip r:embed="rId9"/>
                    <a:srcRect/>
                    <a:stretch>
                      <a:fillRect/>
                    </a:stretch>
                  </pic:blipFill>
                  <pic:spPr bwMode="auto">
                    <a:xfrm>
                      <a:off x="0" y="0"/>
                      <a:ext cx="5939790" cy="4800600"/>
                    </a:xfrm>
                    <a:prstGeom prst="rect">
                      <a:avLst/>
                    </a:prstGeom>
                    <a:noFill/>
                    <a:ln w="9525">
                      <a:noFill/>
                      <a:miter lim="800000"/>
                      <a:headEnd/>
                      <a:tailEnd/>
                    </a:ln>
                  </pic:spPr>
                </pic:pic>
              </a:graphicData>
            </a:graphic>
          </wp:inline>
        </w:drawing>
      </w:r>
    </w:p>
    <w:p w:rsidR="00860642" w:rsidRPr="00860642" w:rsidRDefault="00860642" w:rsidP="00860642">
      <w:pPr>
        <w:tabs>
          <w:tab w:val="left" w:pos="726"/>
          <w:tab w:val="left" w:pos="1418"/>
        </w:tabs>
        <w:spacing w:after="0" w:line="360" w:lineRule="auto"/>
        <w:ind w:firstLine="709"/>
        <w:mirrorIndents/>
        <w:jc w:val="center"/>
        <w:rPr>
          <w:rFonts w:ascii="Times New Roman" w:hAnsi="Times New Roman" w:cs="Times New Roman"/>
          <w:bCs/>
          <w:sz w:val="28"/>
          <w:szCs w:val="28"/>
        </w:rPr>
      </w:pPr>
      <w:r w:rsidRPr="00860642">
        <w:rPr>
          <w:rFonts w:ascii="Times New Roman" w:hAnsi="Times New Roman" w:cs="Times New Roman"/>
          <w:bCs/>
          <w:sz w:val="28"/>
          <w:szCs w:val="28"/>
        </w:rPr>
        <w:t>Рисунок 2 - Механизм работы системы страхования вкладов</w:t>
      </w:r>
    </w:p>
    <w:p w:rsidR="0019447D" w:rsidRDefault="0019447D" w:rsidP="009968EE">
      <w:pPr>
        <w:tabs>
          <w:tab w:val="left" w:pos="726"/>
          <w:tab w:val="left" w:pos="1418"/>
        </w:tabs>
        <w:spacing w:after="0" w:line="360" w:lineRule="auto"/>
        <w:ind w:firstLine="709"/>
        <w:mirrorIndents/>
        <w:jc w:val="both"/>
        <w:rPr>
          <w:rFonts w:ascii="Times New Roman" w:hAnsi="Times New Roman" w:cs="Times New Roman"/>
          <w:bCs/>
          <w:sz w:val="28"/>
          <w:szCs w:val="28"/>
        </w:rPr>
      </w:pPr>
    </w:p>
    <w:p w:rsidR="005C5DA5" w:rsidRPr="00860642" w:rsidRDefault="005C5DA5" w:rsidP="009968EE">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По фонду обязательного страхования вкладов ведется обособленный учет, на фонд не может быть обращено взыскание по обязательствам Российской Федерации, субъектов РФ, муниципальных образований, банков, иных третьих лиц, а также Агентства по страхованию вкладов, за исключением случаев, когда обязательства Агентства возникли в связи с неисполнением им обязанностей по выплате возмещения по вкладам.</w:t>
      </w:r>
    </w:p>
    <w:p w:rsidR="005C5DA5" w:rsidRPr="00860642" w:rsidRDefault="005C5DA5" w:rsidP="009968EE">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Источники формирования фонда обязательного страхования вкладов:</w:t>
      </w:r>
    </w:p>
    <w:p w:rsidR="005C5DA5" w:rsidRPr="00860642" w:rsidRDefault="005C5DA5" w:rsidP="009968EE">
      <w:pPr>
        <w:pStyle w:val="a8"/>
        <w:numPr>
          <w:ilvl w:val="0"/>
          <w:numId w:val="30"/>
        </w:numPr>
        <w:tabs>
          <w:tab w:val="left" w:pos="0"/>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страховые взносы</w:t>
      </w:r>
    </w:p>
    <w:p w:rsidR="005C5DA5" w:rsidRPr="00860642" w:rsidRDefault="005C5DA5" w:rsidP="009968EE">
      <w:pPr>
        <w:pStyle w:val="a8"/>
        <w:numPr>
          <w:ilvl w:val="0"/>
          <w:numId w:val="30"/>
        </w:numPr>
        <w:tabs>
          <w:tab w:val="left" w:pos="0"/>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пени за несвоевременную и (или) неполную уплату страховых взносов</w:t>
      </w:r>
    </w:p>
    <w:p w:rsidR="005C5DA5" w:rsidRPr="00860642" w:rsidRDefault="005C5DA5" w:rsidP="009968EE">
      <w:pPr>
        <w:pStyle w:val="a8"/>
        <w:numPr>
          <w:ilvl w:val="0"/>
          <w:numId w:val="30"/>
        </w:numPr>
        <w:tabs>
          <w:tab w:val="left" w:pos="0"/>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lastRenderedPageBreak/>
        <w:t>денежные средства и иное имущество, которые получены от удовлетворения прав требования Агентства по страхованию вкладов, приобретенных в результате выплаты им возмещения по вкладам</w:t>
      </w:r>
    </w:p>
    <w:p w:rsidR="005C5DA5" w:rsidRPr="00860642" w:rsidRDefault="005C5DA5" w:rsidP="009968EE">
      <w:pPr>
        <w:pStyle w:val="a8"/>
        <w:numPr>
          <w:ilvl w:val="0"/>
          <w:numId w:val="30"/>
        </w:numPr>
        <w:tabs>
          <w:tab w:val="left" w:pos="0"/>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средства федерального бюджета в случаях, предусмотренных законом</w:t>
      </w:r>
    </w:p>
    <w:p w:rsidR="005C5DA5" w:rsidRPr="00860642" w:rsidRDefault="005C5DA5" w:rsidP="009968EE">
      <w:pPr>
        <w:pStyle w:val="a8"/>
        <w:numPr>
          <w:ilvl w:val="0"/>
          <w:numId w:val="30"/>
        </w:numPr>
        <w:tabs>
          <w:tab w:val="left" w:pos="0"/>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доходы от размещения и (или) инвестирования временно свободных денежных средств фонда обязательного страхования вкладов</w:t>
      </w:r>
    </w:p>
    <w:p w:rsidR="005C5DA5" w:rsidRPr="00860642" w:rsidRDefault="005C5DA5" w:rsidP="009968EE">
      <w:pPr>
        <w:pStyle w:val="a8"/>
        <w:numPr>
          <w:ilvl w:val="0"/>
          <w:numId w:val="30"/>
        </w:numPr>
        <w:tabs>
          <w:tab w:val="left" w:pos="0"/>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 xml:space="preserve"> первоначальный имущественный взнос</w:t>
      </w:r>
    </w:p>
    <w:p w:rsidR="005C5DA5" w:rsidRPr="00860642" w:rsidRDefault="005C5DA5" w:rsidP="009968EE">
      <w:pPr>
        <w:pStyle w:val="a8"/>
        <w:numPr>
          <w:ilvl w:val="0"/>
          <w:numId w:val="30"/>
        </w:numPr>
        <w:tabs>
          <w:tab w:val="left" w:pos="0"/>
          <w:tab w:val="left" w:pos="1418"/>
        </w:tabs>
        <w:spacing w:after="0" w:line="360" w:lineRule="auto"/>
        <w:ind w:left="0"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другие доходы, не запрещенные законодательством.</w:t>
      </w:r>
      <w:r w:rsidR="00AB702C" w:rsidRPr="00860642">
        <w:rPr>
          <w:rStyle w:val="af2"/>
          <w:rFonts w:ascii="Times New Roman" w:hAnsi="Times New Roman"/>
          <w:bCs/>
          <w:sz w:val="28"/>
          <w:szCs w:val="28"/>
        </w:rPr>
        <w:footnoteReference w:id="15"/>
      </w:r>
    </w:p>
    <w:p w:rsidR="005C5DA5" w:rsidRPr="00860642" w:rsidRDefault="005C5DA5" w:rsidP="009968EE">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Помимо обязательного страхования банковских вкладов имеет место и добровольное страхование. Банки вправе создавать фонды добровольного страхования вкладов для обеспечения возврата вкладов и выплаты доходов по ним. Такие фонды создаются как некоммерческие организации.</w:t>
      </w:r>
    </w:p>
    <w:p w:rsidR="005C5DA5" w:rsidRPr="00860642" w:rsidRDefault="005C5DA5" w:rsidP="009968EE">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Число банков — учредителей фонда добровольного страхования вкладов должно быть не менее пяти с совокупным уставным капиталом не менее 20-кратного минимального размера уставного капитала, установленного ЦБ РФ для банков на дату создания фонда.</w:t>
      </w:r>
    </w:p>
    <w:p w:rsidR="005C5DA5" w:rsidRPr="00860642" w:rsidRDefault="005C5DA5" w:rsidP="009968EE">
      <w:pPr>
        <w:tabs>
          <w:tab w:val="left" w:pos="726"/>
          <w:tab w:val="left" w:pos="1418"/>
        </w:tabs>
        <w:spacing w:after="0" w:line="360" w:lineRule="auto"/>
        <w:ind w:firstLine="709"/>
        <w:mirrorIndents/>
        <w:jc w:val="both"/>
        <w:rPr>
          <w:rFonts w:ascii="Times New Roman" w:hAnsi="Times New Roman" w:cs="Times New Roman"/>
          <w:bCs/>
          <w:sz w:val="28"/>
          <w:szCs w:val="28"/>
        </w:rPr>
      </w:pPr>
      <w:r w:rsidRPr="00860642">
        <w:rPr>
          <w:rFonts w:ascii="Times New Roman" w:hAnsi="Times New Roman" w:cs="Times New Roman"/>
          <w:bCs/>
          <w:sz w:val="28"/>
          <w:szCs w:val="28"/>
        </w:rPr>
        <w:t>Порядок создания, управления и деятельности фондов добровольного страхования вкладов определятся их уставами и законодательством.</w:t>
      </w:r>
    </w:p>
    <w:p w:rsidR="00A7662F" w:rsidRPr="00860642" w:rsidRDefault="00A7662F" w:rsidP="009968EE">
      <w:pPr>
        <w:tabs>
          <w:tab w:val="left" w:pos="726"/>
          <w:tab w:val="left" w:pos="1418"/>
        </w:tabs>
        <w:spacing w:after="0" w:line="360" w:lineRule="auto"/>
        <w:ind w:firstLine="709"/>
        <w:mirrorIndents/>
        <w:jc w:val="both"/>
        <w:rPr>
          <w:rFonts w:ascii="Times New Roman" w:hAnsi="Times New Roman" w:cs="Times New Roman"/>
          <w:bCs/>
          <w:sz w:val="28"/>
          <w:szCs w:val="28"/>
        </w:rPr>
      </w:pPr>
    </w:p>
    <w:p w:rsidR="002A6B60" w:rsidRPr="00860642" w:rsidRDefault="00986B33" w:rsidP="006E6A5D">
      <w:pPr>
        <w:pStyle w:val="1"/>
        <w:tabs>
          <w:tab w:val="left" w:pos="1418"/>
        </w:tabs>
        <w:spacing w:before="0" w:line="360" w:lineRule="auto"/>
        <w:ind w:right="282" w:firstLine="851"/>
        <w:jc w:val="center"/>
        <w:rPr>
          <w:rFonts w:ascii="Times New Roman" w:hAnsi="Times New Roman" w:cs="Times New Roman"/>
          <w:b w:val="0"/>
          <w:color w:val="auto"/>
        </w:rPr>
      </w:pPr>
      <w:bookmarkStart w:id="4" w:name="_Toc6150522"/>
      <w:r w:rsidRPr="00860642">
        <w:rPr>
          <w:rFonts w:ascii="Times New Roman" w:hAnsi="Times New Roman" w:cs="Times New Roman"/>
          <w:b w:val="0"/>
          <w:color w:val="auto"/>
        </w:rPr>
        <w:t xml:space="preserve">1.3. </w:t>
      </w:r>
      <w:r w:rsidR="006E6A5D" w:rsidRPr="00860642">
        <w:rPr>
          <w:rFonts w:ascii="Times New Roman" w:hAnsi="Times New Roman" w:cs="Times New Roman"/>
          <w:b w:val="0"/>
          <w:color w:val="auto"/>
        </w:rPr>
        <w:t>Условия и порядок вхождения российских банков в систему страхования вкладов</w:t>
      </w:r>
      <w:bookmarkEnd w:id="4"/>
    </w:p>
    <w:p w:rsidR="00D33EBF" w:rsidRPr="00860642" w:rsidRDefault="00D33EBF" w:rsidP="006E6A5D">
      <w:pPr>
        <w:tabs>
          <w:tab w:val="left" w:pos="1418"/>
        </w:tabs>
        <w:spacing w:after="0" w:line="360" w:lineRule="auto"/>
        <w:ind w:firstLine="567"/>
        <w:mirrorIndents/>
        <w:jc w:val="both"/>
        <w:rPr>
          <w:rFonts w:ascii="Times New Roman" w:hAnsi="Times New Roman" w:cs="Times New Roman"/>
          <w:sz w:val="28"/>
          <w:szCs w:val="28"/>
        </w:rPr>
      </w:pPr>
    </w:p>
    <w:p w:rsidR="00D33EBF" w:rsidRPr="00860642" w:rsidRDefault="00D33EBF" w:rsidP="006E6A5D">
      <w:pPr>
        <w:tabs>
          <w:tab w:val="left" w:pos="1418"/>
        </w:tabs>
        <w:spacing w:after="0" w:line="360" w:lineRule="auto"/>
        <w:ind w:firstLine="567"/>
        <w:mirrorIndents/>
        <w:jc w:val="both"/>
        <w:rPr>
          <w:rFonts w:ascii="Times New Roman" w:hAnsi="Times New Roman" w:cs="Times New Roman"/>
          <w:sz w:val="28"/>
          <w:szCs w:val="28"/>
        </w:rPr>
      </w:pPr>
      <w:r w:rsidRPr="00860642">
        <w:rPr>
          <w:rFonts w:ascii="Times New Roman" w:hAnsi="Times New Roman" w:cs="Times New Roman"/>
          <w:sz w:val="28"/>
          <w:szCs w:val="28"/>
        </w:rPr>
        <w:t>Чтобы быть участником Системы Страхования Вкладов</w:t>
      </w:r>
      <w:r w:rsidR="00986B33" w:rsidRPr="00860642">
        <w:rPr>
          <w:rFonts w:ascii="Times New Roman" w:hAnsi="Times New Roman" w:cs="Times New Roman"/>
          <w:sz w:val="28"/>
          <w:szCs w:val="28"/>
        </w:rPr>
        <w:t xml:space="preserve"> </w:t>
      </w:r>
      <w:r w:rsidRPr="00860642">
        <w:rPr>
          <w:rFonts w:ascii="Times New Roman" w:hAnsi="Times New Roman" w:cs="Times New Roman"/>
          <w:sz w:val="28"/>
          <w:szCs w:val="28"/>
        </w:rPr>
        <w:t xml:space="preserve">(ССВ), необходимо соответствовать Федеральному закону от 23.12.2003 N 177-ФЗ (ред. от 23.04.2018) "О страховании вкладов физических лиц в банках Российской Федерации", Банк, ходатайствующий о выдаче разрешения Банка России, признается удовлетворяющим требованиям к участию в системе </w:t>
      </w:r>
      <w:r w:rsidRPr="00860642">
        <w:rPr>
          <w:rFonts w:ascii="Times New Roman" w:hAnsi="Times New Roman" w:cs="Times New Roman"/>
          <w:sz w:val="28"/>
          <w:szCs w:val="28"/>
        </w:rPr>
        <w:lastRenderedPageBreak/>
        <w:t>страхования вкладов при соответствии им одновременно следующим условиям:</w:t>
      </w:r>
    </w:p>
    <w:p w:rsidR="00D33EBF" w:rsidRPr="00860642" w:rsidRDefault="00D33EBF" w:rsidP="00986B33">
      <w:pPr>
        <w:numPr>
          <w:ilvl w:val="0"/>
          <w:numId w:val="35"/>
        </w:numPr>
        <w:tabs>
          <w:tab w:val="left" w:pos="1418"/>
        </w:tabs>
        <w:spacing w:after="0" w:line="360" w:lineRule="auto"/>
        <w:ind w:left="0" w:firstLine="709"/>
        <w:contextualSpacing/>
        <w:mirrorIndents/>
        <w:jc w:val="both"/>
        <w:rPr>
          <w:rFonts w:ascii="Times New Roman" w:hAnsi="Times New Roman" w:cs="Times New Roman"/>
          <w:sz w:val="28"/>
          <w:szCs w:val="28"/>
        </w:rPr>
      </w:pPr>
      <w:r w:rsidRPr="00860642">
        <w:rPr>
          <w:rFonts w:ascii="Times New Roman" w:hAnsi="Times New Roman" w:cs="Times New Roman"/>
          <w:sz w:val="28"/>
          <w:szCs w:val="28"/>
        </w:rPr>
        <w:t>если учет и отчетность банка признаются Банком России достоверными;</w:t>
      </w:r>
    </w:p>
    <w:p w:rsidR="00D33EBF" w:rsidRPr="00860642" w:rsidRDefault="00D33EBF" w:rsidP="00986B33">
      <w:pPr>
        <w:numPr>
          <w:ilvl w:val="0"/>
          <w:numId w:val="35"/>
        </w:numPr>
        <w:tabs>
          <w:tab w:val="left" w:pos="1418"/>
        </w:tabs>
        <w:spacing w:after="0" w:line="360" w:lineRule="auto"/>
        <w:ind w:left="0" w:firstLine="709"/>
        <w:contextualSpacing/>
        <w:mirrorIndents/>
        <w:jc w:val="both"/>
        <w:rPr>
          <w:rFonts w:ascii="Times New Roman" w:hAnsi="Times New Roman" w:cs="Times New Roman"/>
          <w:sz w:val="28"/>
          <w:szCs w:val="28"/>
        </w:rPr>
      </w:pPr>
      <w:r w:rsidRPr="00860642">
        <w:rPr>
          <w:rFonts w:ascii="Times New Roman" w:hAnsi="Times New Roman" w:cs="Times New Roman"/>
          <w:sz w:val="28"/>
          <w:szCs w:val="28"/>
        </w:rPr>
        <w:t>если банк выполняет "обязательные нормативы", установленные Банком России;</w:t>
      </w:r>
    </w:p>
    <w:p w:rsidR="00D33EBF" w:rsidRPr="00860642" w:rsidRDefault="00D33EBF" w:rsidP="00986B33">
      <w:pPr>
        <w:numPr>
          <w:ilvl w:val="0"/>
          <w:numId w:val="35"/>
        </w:numPr>
        <w:tabs>
          <w:tab w:val="left" w:pos="1418"/>
        </w:tabs>
        <w:spacing w:after="0" w:line="360" w:lineRule="auto"/>
        <w:ind w:left="0" w:firstLine="709"/>
        <w:contextualSpacing/>
        <w:mirrorIndents/>
        <w:jc w:val="both"/>
        <w:rPr>
          <w:rFonts w:ascii="Times New Roman" w:hAnsi="Times New Roman" w:cs="Times New Roman"/>
          <w:sz w:val="28"/>
          <w:szCs w:val="28"/>
        </w:rPr>
      </w:pPr>
      <w:r w:rsidRPr="00860642">
        <w:rPr>
          <w:rFonts w:ascii="Times New Roman" w:hAnsi="Times New Roman" w:cs="Times New Roman"/>
          <w:sz w:val="28"/>
          <w:szCs w:val="28"/>
        </w:rPr>
        <w:t>если финансовая устойчивость банка признается Банком России достаточной;</w:t>
      </w:r>
    </w:p>
    <w:p w:rsidR="00D33EBF" w:rsidRPr="00860642" w:rsidRDefault="00D33EBF" w:rsidP="00986B33">
      <w:pPr>
        <w:numPr>
          <w:ilvl w:val="0"/>
          <w:numId w:val="35"/>
        </w:numPr>
        <w:tabs>
          <w:tab w:val="left" w:pos="1418"/>
        </w:tabs>
        <w:spacing w:after="0" w:line="360" w:lineRule="auto"/>
        <w:ind w:left="0" w:firstLine="709"/>
        <w:contextualSpacing/>
        <w:mirrorIndents/>
        <w:jc w:val="both"/>
        <w:rPr>
          <w:rFonts w:ascii="Times New Roman" w:hAnsi="Times New Roman" w:cs="Times New Roman"/>
          <w:sz w:val="28"/>
          <w:szCs w:val="28"/>
        </w:rPr>
      </w:pPr>
      <w:r w:rsidRPr="00860642">
        <w:rPr>
          <w:rFonts w:ascii="Times New Roman" w:hAnsi="Times New Roman" w:cs="Times New Roman"/>
          <w:sz w:val="28"/>
          <w:szCs w:val="28"/>
        </w:rPr>
        <w:t>если меры, предусмотренные статьей 74 Федерального закона "О Центральном банке Российской Федерации (Банке России)", статьей 20 Федерального закона "О банках и банковской деятельности", статьей 189.9 Федерального закона "О несостоятельности (банкротстве)", к банку не применяются;</w:t>
      </w:r>
    </w:p>
    <w:p w:rsidR="00D33EBF" w:rsidRPr="00860642" w:rsidRDefault="00D33EBF" w:rsidP="00986B33">
      <w:pPr>
        <w:numPr>
          <w:ilvl w:val="0"/>
          <w:numId w:val="35"/>
        </w:numPr>
        <w:tabs>
          <w:tab w:val="left" w:pos="1418"/>
        </w:tabs>
        <w:spacing w:after="0" w:line="360" w:lineRule="auto"/>
        <w:ind w:left="0" w:firstLine="709"/>
        <w:contextualSpacing/>
        <w:mirrorIndents/>
        <w:jc w:val="both"/>
        <w:rPr>
          <w:rFonts w:ascii="Times New Roman" w:hAnsi="Times New Roman" w:cs="Times New Roman"/>
          <w:sz w:val="28"/>
          <w:szCs w:val="28"/>
        </w:rPr>
      </w:pPr>
      <w:r w:rsidRPr="00860642">
        <w:rPr>
          <w:rFonts w:ascii="Times New Roman" w:hAnsi="Times New Roman" w:cs="Times New Roman"/>
          <w:sz w:val="28"/>
          <w:szCs w:val="28"/>
        </w:rPr>
        <w:t>если банк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банк.(п. 5 введен Федеральным законом от 02.12.2013 N 335-ФЗ)</w:t>
      </w:r>
      <w:r w:rsidRPr="00860642">
        <w:rPr>
          <w:rFonts w:ascii="Times New Roman" w:hAnsi="Times New Roman" w:cs="Times New Roman"/>
          <w:sz w:val="28"/>
          <w:szCs w:val="28"/>
          <w:vertAlign w:val="superscript"/>
        </w:rPr>
        <w:footnoteReference w:id="16"/>
      </w:r>
    </w:p>
    <w:p w:rsidR="00D33EBF" w:rsidRPr="00860642" w:rsidRDefault="00D33EBF" w:rsidP="006E6A5D">
      <w:pPr>
        <w:tabs>
          <w:tab w:val="left" w:pos="1418"/>
        </w:tabs>
        <w:spacing w:after="0" w:line="360" w:lineRule="auto"/>
        <w:ind w:firstLine="567"/>
        <w:mirrorIndents/>
        <w:jc w:val="both"/>
        <w:rPr>
          <w:rFonts w:ascii="Times New Roman" w:hAnsi="Times New Roman" w:cs="Times New Roman"/>
          <w:sz w:val="28"/>
          <w:szCs w:val="28"/>
        </w:rPr>
      </w:pPr>
      <w:r w:rsidRPr="00860642">
        <w:rPr>
          <w:rFonts w:ascii="Times New Roman" w:hAnsi="Times New Roman" w:cs="Times New Roman"/>
          <w:sz w:val="28"/>
          <w:szCs w:val="28"/>
        </w:rPr>
        <w:t>2. Учет и отчетность банка признаются Банком России достоверными в случае, если одновременно:</w:t>
      </w:r>
    </w:p>
    <w:p w:rsidR="00D33EBF" w:rsidRPr="00860642" w:rsidRDefault="00D33EBF" w:rsidP="00986B33">
      <w:pPr>
        <w:numPr>
          <w:ilvl w:val="0"/>
          <w:numId w:val="36"/>
        </w:numPr>
        <w:tabs>
          <w:tab w:val="left" w:pos="1418"/>
        </w:tabs>
        <w:spacing w:after="0" w:line="360" w:lineRule="auto"/>
        <w:ind w:left="0" w:firstLine="709"/>
        <w:contextualSpacing/>
        <w:mirrorIndents/>
        <w:jc w:val="both"/>
        <w:rPr>
          <w:rFonts w:ascii="Times New Roman" w:hAnsi="Times New Roman" w:cs="Times New Roman"/>
          <w:sz w:val="28"/>
          <w:szCs w:val="28"/>
        </w:rPr>
      </w:pPr>
      <w:r w:rsidRPr="00860642">
        <w:rPr>
          <w:rFonts w:ascii="Times New Roman" w:hAnsi="Times New Roman" w:cs="Times New Roman"/>
          <w:sz w:val="28"/>
          <w:szCs w:val="28"/>
        </w:rPr>
        <w:t>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D33EBF" w:rsidRPr="00860642" w:rsidRDefault="00D33EBF" w:rsidP="00986B33">
      <w:pPr>
        <w:numPr>
          <w:ilvl w:val="0"/>
          <w:numId w:val="36"/>
        </w:numPr>
        <w:tabs>
          <w:tab w:val="left" w:pos="1418"/>
        </w:tabs>
        <w:spacing w:after="0" w:line="360" w:lineRule="auto"/>
        <w:ind w:left="0" w:firstLine="709"/>
        <w:contextualSpacing/>
        <w:mirrorIndents/>
        <w:jc w:val="both"/>
        <w:rPr>
          <w:rFonts w:ascii="Times New Roman" w:hAnsi="Times New Roman" w:cs="Times New Roman"/>
          <w:sz w:val="28"/>
          <w:szCs w:val="28"/>
        </w:rPr>
      </w:pPr>
      <w:r w:rsidRPr="00860642">
        <w:rPr>
          <w:rFonts w:ascii="Times New Roman" w:hAnsi="Times New Roman" w:cs="Times New Roman"/>
          <w:sz w:val="28"/>
          <w:szCs w:val="28"/>
        </w:rPr>
        <w:t>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D33EBF" w:rsidRPr="00860642" w:rsidRDefault="00D33EBF" w:rsidP="006E6A5D">
      <w:pPr>
        <w:tabs>
          <w:tab w:val="left" w:pos="1418"/>
        </w:tabs>
        <w:spacing w:after="0" w:line="360" w:lineRule="auto"/>
        <w:ind w:firstLine="567"/>
        <w:mirrorIndents/>
        <w:jc w:val="both"/>
        <w:rPr>
          <w:rFonts w:ascii="Times New Roman" w:hAnsi="Times New Roman" w:cs="Times New Roman"/>
          <w:sz w:val="28"/>
          <w:szCs w:val="28"/>
        </w:rPr>
      </w:pPr>
      <w:r w:rsidRPr="00860642">
        <w:rPr>
          <w:rFonts w:ascii="Times New Roman" w:hAnsi="Times New Roman" w:cs="Times New Roman"/>
          <w:sz w:val="28"/>
          <w:szCs w:val="28"/>
        </w:rPr>
        <w:t xml:space="preserve">3. Финансовая устойчивость банка оценивается Банком России по следующим группам показателей с определением по каждой из них </w:t>
      </w:r>
      <w:r w:rsidRPr="00860642">
        <w:rPr>
          <w:rFonts w:ascii="Times New Roman" w:hAnsi="Times New Roman" w:cs="Times New Roman"/>
          <w:sz w:val="28"/>
          <w:szCs w:val="28"/>
        </w:rPr>
        <w:lastRenderedPageBreak/>
        <w:t>обобщающего результата и присвоением обобщающему результату оценки "удовлетворительно" или "неудовлетворительно":</w:t>
      </w:r>
    </w:p>
    <w:p w:rsidR="00D33EBF" w:rsidRPr="00860642" w:rsidRDefault="00D33EBF" w:rsidP="00986B33">
      <w:pPr>
        <w:pStyle w:val="a8"/>
        <w:numPr>
          <w:ilvl w:val="0"/>
          <w:numId w:val="37"/>
        </w:numPr>
        <w:tabs>
          <w:tab w:val="left" w:pos="1418"/>
        </w:tabs>
        <w:spacing w:after="0" w:line="360" w:lineRule="auto"/>
        <w:ind w:left="0" w:firstLine="709"/>
        <w:mirrorIndents/>
        <w:jc w:val="both"/>
        <w:rPr>
          <w:rFonts w:ascii="Times New Roman" w:hAnsi="Times New Roman" w:cs="Times New Roman"/>
          <w:sz w:val="28"/>
          <w:szCs w:val="28"/>
        </w:rPr>
      </w:pPr>
      <w:r w:rsidRPr="00860642">
        <w:rPr>
          <w:rFonts w:ascii="Times New Roman" w:hAnsi="Times New Roman" w:cs="Times New Roman"/>
          <w:sz w:val="28"/>
          <w:szCs w:val="28"/>
        </w:rPr>
        <w:t>группа показателей собственных средств (капитала), включая показатели, характеризующие достаточность и качество капитала;</w:t>
      </w:r>
    </w:p>
    <w:p w:rsidR="00D33EBF" w:rsidRPr="00860642" w:rsidRDefault="00D33EBF" w:rsidP="00986B33">
      <w:pPr>
        <w:pStyle w:val="a8"/>
        <w:numPr>
          <w:ilvl w:val="0"/>
          <w:numId w:val="37"/>
        </w:numPr>
        <w:tabs>
          <w:tab w:val="left" w:pos="1418"/>
        </w:tabs>
        <w:spacing w:after="0" w:line="360" w:lineRule="auto"/>
        <w:ind w:left="0" w:firstLine="709"/>
        <w:mirrorIndents/>
        <w:jc w:val="both"/>
        <w:rPr>
          <w:rFonts w:ascii="Times New Roman" w:hAnsi="Times New Roman" w:cs="Times New Roman"/>
          <w:sz w:val="28"/>
          <w:szCs w:val="28"/>
        </w:rPr>
      </w:pPr>
      <w:r w:rsidRPr="00860642">
        <w:rPr>
          <w:rFonts w:ascii="Times New Roman" w:hAnsi="Times New Roman" w:cs="Times New Roman"/>
          <w:sz w:val="28"/>
          <w:szCs w:val="28"/>
        </w:rPr>
        <w:t>группа показателей активов,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D33EBF" w:rsidRPr="00860642" w:rsidRDefault="00D33EBF" w:rsidP="00986B33">
      <w:pPr>
        <w:pStyle w:val="a8"/>
        <w:numPr>
          <w:ilvl w:val="0"/>
          <w:numId w:val="37"/>
        </w:numPr>
        <w:tabs>
          <w:tab w:val="left" w:pos="1418"/>
        </w:tabs>
        <w:spacing w:after="0" w:line="360" w:lineRule="auto"/>
        <w:ind w:left="0" w:firstLine="709"/>
        <w:mirrorIndents/>
        <w:jc w:val="both"/>
        <w:rPr>
          <w:rFonts w:ascii="Times New Roman" w:hAnsi="Times New Roman" w:cs="Times New Roman"/>
          <w:sz w:val="28"/>
          <w:szCs w:val="28"/>
        </w:rPr>
      </w:pPr>
      <w:r w:rsidRPr="00860642">
        <w:rPr>
          <w:rFonts w:ascii="Times New Roman" w:hAnsi="Times New Roman" w:cs="Times New Roman"/>
          <w:sz w:val="28"/>
          <w:szCs w:val="28"/>
        </w:rPr>
        <w:t>группа показателей доходности,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D33EBF" w:rsidRPr="00860642" w:rsidRDefault="00D33EBF" w:rsidP="00986B33">
      <w:pPr>
        <w:pStyle w:val="a8"/>
        <w:numPr>
          <w:ilvl w:val="0"/>
          <w:numId w:val="37"/>
        </w:numPr>
        <w:tabs>
          <w:tab w:val="left" w:pos="1418"/>
        </w:tabs>
        <w:spacing w:after="0" w:line="360" w:lineRule="auto"/>
        <w:ind w:left="0" w:firstLine="709"/>
        <w:mirrorIndents/>
        <w:jc w:val="both"/>
        <w:rPr>
          <w:rFonts w:ascii="Times New Roman" w:hAnsi="Times New Roman" w:cs="Times New Roman"/>
          <w:sz w:val="28"/>
          <w:szCs w:val="28"/>
        </w:rPr>
      </w:pPr>
      <w:r w:rsidRPr="00860642">
        <w:rPr>
          <w:rFonts w:ascii="Times New Roman" w:hAnsi="Times New Roman" w:cs="Times New Roman"/>
          <w:sz w:val="28"/>
          <w:szCs w:val="28"/>
        </w:rPr>
        <w:t>группа показателей ликвидности,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D33EBF" w:rsidRPr="00860642" w:rsidRDefault="00D33EBF" w:rsidP="00986B33">
      <w:pPr>
        <w:pStyle w:val="a8"/>
        <w:numPr>
          <w:ilvl w:val="0"/>
          <w:numId w:val="37"/>
        </w:numPr>
        <w:tabs>
          <w:tab w:val="left" w:pos="1418"/>
        </w:tabs>
        <w:spacing w:after="0" w:line="360" w:lineRule="auto"/>
        <w:ind w:left="0" w:firstLine="709"/>
        <w:mirrorIndents/>
        <w:jc w:val="both"/>
        <w:rPr>
          <w:rFonts w:ascii="Times New Roman" w:hAnsi="Times New Roman" w:cs="Times New Roman"/>
          <w:sz w:val="28"/>
          <w:szCs w:val="28"/>
        </w:rPr>
      </w:pPr>
      <w:r w:rsidRPr="00860642">
        <w:rPr>
          <w:rFonts w:ascii="Times New Roman" w:hAnsi="Times New Roman" w:cs="Times New Roman"/>
          <w:sz w:val="28"/>
          <w:szCs w:val="28"/>
        </w:rPr>
        <w:t>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w:t>
      </w:r>
    </w:p>
    <w:p w:rsidR="00D33EBF" w:rsidRPr="00860642" w:rsidRDefault="00D33EBF" w:rsidP="00986B33">
      <w:pPr>
        <w:pStyle w:val="a8"/>
        <w:numPr>
          <w:ilvl w:val="0"/>
          <w:numId w:val="37"/>
        </w:numPr>
        <w:tabs>
          <w:tab w:val="left" w:pos="1418"/>
        </w:tabs>
        <w:spacing w:after="0" w:line="360" w:lineRule="auto"/>
        <w:ind w:left="0" w:firstLine="709"/>
        <w:mirrorIndents/>
        <w:jc w:val="both"/>
        <w:rPr>
          <w:rFonts w:ascii="Times New Roman" w:hAnsi="Times New Roman" w:cs="Times New Roman"/>
          <w:sz w:val="28"/>
          <w:szCs w:val="28"/>
        </w:rPr>
      </w:pPr>
      <w:r w:rsidRPr="00860642">
        <w:rPr>
          <w:rFonts w:ascii="Times New Roman" w:hAnsi="Times New Roman" w:cs="Times New Roman"/>
          <w:sz w:val="28"/>
          <w:szCs w:val="28"/>
        </w:rPr>
        <w:t>группа показателей прозрачности структуры собственности.</w:t>
      </w:r>
    </w:p>
    <w:p w:rsidR="00D33EBF" w:rsidRPr="00860642" w:rsidRDefault="00D33EBF" w:rsidP="006E6A5D">
      <w:pPr>
        <w:tabs>
          <w:tab w:val="left" w:pos="1418"/>
        </w:tabs>
        <w:spacing w:after="0" w:line="360" w:lineRule="auto"/>
        <w:ind w:firstLine="567"/>
        <w:contextualSpacing/>
        <w:mirrorIndents/>
        <w:jc w:val="both"/>
        <w:rPr>
          <w:rFonts w:ascii="Times New Roman" w:hAnsi="Times New Roman" w:cs="Times New Roman"/>
          <w:sz w:val="28"/>
          <w:szCs w:val="28"/>
        </w:rPr>
      </w:pPr>
      <w:r w:rsidRPr="00860642">
        <w:rPr>
          <w:rFonts w:ascii="Times New Roman" w:hAnsi="Times New Roman" w:cs="Times New Roman"/>
          <w:sz w:val="28"/>
          <w:szCs w:val="28"/>
        </w:rPr>
        <w:t>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частью 3 настоящей статьи.</w:t>
      </w:r>
    </w:p>
    <w:p w:rsidR="00D33EBF" w:rsidRPr="00860642" w:rsidRDefault="006E6A5D" w:rsidP="006E6A5D">
      <w:pPr>
        <w:tabs>
          <w:tab w:val="left" w:pos="1418"/>
        </w:tabs>
        <w:spacing w:after="0" w:line="360" w:lineRule="auto"/>
        <w:ind w:firstLine="567"/>
        <w:contextualSpacing/>
        <w:mirrorIndents/>
        <w:jc w:val="both"/>
        <w:rPr>
          <w:rFonts w:ascii="Times New Roman" w:hAnsi="Times New Roman" w:cs="Times New Roman"/>
          <w:sz w:val="28"/>
          <w:szCs w:val="28"/>
        </w:rPr>
      </w:pPr>
      <w:r w:rsidRPr="00860642">
        <w:rPr>
          <w:rFonts w:ascii="Times New Roman" w:hAnsi="Times New Roman" w:cs="Times New Roman"/>
          <w:sz w:val="28"/>
          <w:szCs w:val="28"/>
        </w:rPr>
        <w:t>5</w:t>
      </w:r>
      <w:r w:rsidR="00D33EBF" w:rsidRPr="00860642">
        <w:rPr>
          <w:rFonts w:ascii="Times New Roman" w:hAnsi="Times New Roman" w:cs="Times New Roman"/>
          <w:sz w:val="28"/>
          <w:szCs w:val="28"/>
        </w:rPr>
        <w:t>. Методики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порядок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D33EBF" w:rsidRPr="00860642" w:rsidRDefault="00D33EBF" w:rsidP="006E6A5D">
      <w:pPr>
        <w:tabs>
          <w:tab w:val="left" w:pos="1418"/>
        </w:tabs>
        <w:spacing w:after="0" w:line="360" w:lineRule="auto"/>
        <w:ind w:firstLine="567"/>
        <w:contextualSpacing/>
        <w:mirrorIndents/>
        <w:jc w:val="both"/>
        <w:rPr>
          <w:rFonts w:ascii="Times New Roman" w:hAnsi="Times New Roman" w:cs="Times New Roman"/>
          <w:sz w:val="28"/>
          <w:szCs w:val="28"/>
        </w:rPr>
      </w:pPr>
      <w:r w:rsidRPr="00860642">
        <w:rPr>
          <w:rFonts w:ascii="Times New Roman" w:hAnsi="Times New Roman" w:cs="Times New Roman"/>
          <w:sz w:val="28"/>
          <w:szCs w:val="28"/>
        </w:rPr>
        <w:lastRenderedPageBreak/>
        <w:t>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частей пятой и шестой статьи 73 Федерального закона "О Центральном банке Российской Федерации (Банке России)".</w:t>
      </w:r>
    </w:p>
    <w:p w:rsidR="00871C8E" w:rsidRDefault="00871C8E">
      <w:pPr>
        <w:rPr>
          <w:rFonts w:ascii="Times New Roman" w:hAnsi="Times New Roman" w:cs="Times New Roman"/>
          <w:sz w:val="28"/>
          <w:szCs w:val="28"/>
        </w:rPr>
      </w:pPr>
      <w:r>
        <w:rPr>
          <w:rFonts w:ascii="Times New Roman" w:hAnsi="Times New Roman" w:cs="Times New Roman"/>
          <w:sz w:val="28"/>
          <w:szCs w:val="28"/>
        </w:rPr>
        <w:br w:type="page"/>
      </w:r>
    </w:p>
    <w:p w:rsidR="0019447D" w:rsidRDefault="0019447D" w:rsidP="00C31DB9">
      <w:pPr>
        <w:pStyle w:val="1"/>
        <w:spacing w:before="0" w:line="360" w:lineRule="auto"/>
        <w:ind w:firstLine="709"/>
        <w:jc w:val="center"/>
        <w:rPr>
          <w:rFonts w:ascii="Times New Roman" w:hAnsi="Times New Roman" w:cs="Times New Roman"/>
          <w:b w:val="0"/>
          <w:color w:val="auto"/>
        </w:rPr>
      </w:pPr>
      <w:bookmarkStart w:id="6" w:name="_Toc6150523"/>
      <w:r>
        <w:rPr>
          <w:rFonts w:ascii="Times New Roman" w:hAnsi="Times New Roman" w:cs="Times New Roman"/>
          <w:b w:val="0"/>
          <w:color w:val="auto"/>
        </w:rPr>
        <w:lastRenderedPageBreak/>
        <w:t xml:space="preserve">Глава </w:t>
      </w:r>
      <w:r w:rsidR="00ED73E0" w:rsidRPr="00860642">
        <w:rPr>
          <w:rFonts w:ascii="Times New Roman" w:hAnsi="Times New Roman" w:cs="Times New Roman"/>
          <w:b w:val="0"/>
          <w:color w:val="auto"/>
        </w:rPr>
        <w:t>2. А</w:t>
      </w:r>
      <w:r>
        <w:rPr>
          <w:rFonts w:ascii="Times New Roman" w:hAnsi="Times New Roman" w:cs="Times New Roman"/>
          <w:b w:val="0"/>
          <w:color w:val="auto"/>
        </w:rPr>
        <w:t>нализ деятельности системы гарантирования вкладов</w:t>
      </w:r>
      <w:bookmarkEnd w:id="6"/>
    </w:p>
    <w:p w:rsidR="00ED73E0" w:rsidRPr="00860642" w:rsidRDefault="00ED73E0" w:rsidP="00C31DB9">
      <w:pPr>
        <w:pStyle w:val="1"/>
        <w:spacing w:before="0" w:line="360" w:lineRule="auto"/>
        <w:ind w:firstLine="709"/>
        <w:jc w:val="center"/>
        <w:rPr>
          <w:rFonts w:ascii="Times New Roman" w:hAnsi="Times New Roman" w:cs="Times New Roman"/>
          <w:b w:val="0"/>
          <w:color w:val="auto"/>
        </w:rPr>
      </w:pPr>
      <w:bookmarkStart w:id="7" w:name="_Toc6150524"/>
      <w:r w:rsidRPr="00860642">
        <w:rPr>
          <w:rFonts w:ascii="Times New Roman" w:hAnsi="Times New Roman" w:cs="Times New Roman"/>
          <w:b w:val="0"/>
          <w:color w:val="auto"/>
        </w:rPr>
        <w:t>2.1.</w:t>
      </w:r>
      <w:r w:rsidR="00C31DB9" w:rsidRPr="00860642">
        <w:rPr>
          <w:rFonts w:ascii="Times New Roman" w:hAnsi="Times New Roman" w:cs="Times New Roman"/>
          <w:b w:val="0"/>
          <w:color w:val="auto"/>
        </w:rPr>
        <w:t xml:space="preserve"> Состояние рынка банковских вкладов в России</w:t>
      </w:r>
      <w:bookmarkEnd w:id="7"/>
    </w:p>
    <w:p w:rsidR="00C31DB9" w:rsidRPr="00860642" w:rsidRDefault="00C31DB9" w:rsidP="00C31DB9">
      <w:pPr>
        <w:spacing w:after="0" w:line="360" w:lineRule="auto"/>
        <w:ind w:firstLine="709"/>
        <w:jc w:val="center"/>
        <w:rPr>
          <w:rFonts w:ascii="Times New Roman" w:hAnsi="Times New Roman" w:cs="Times New Roman"/>
        </w:rPr>
      </w:pPr>
    </w:p>
    <w:p w:rsidR="005832CA" w:rsidRPr="00860642" w:rsidRDefault="00673476" w:rsidP="005832CA">
      <w:pPr>
        <w:pStyle w:val="aa"/>
        <w:spacing w:before="0" w:beforeAutospacing="0" w:after="0" w:afterAutospacing="0" w:line="360" w:lineRule="auto"/>
        <w:ind w:firstLine="709"/>
        <w:jc w:val="both"/>
        <w:textAlignment w:val="baseline"/>
        <w:rPr>
          <w:rFonts w:eastAsia="Calibri"/>
          <w:sz w:val="28"/>
          <w:szCs w:val="28"/>
        </w:rPr>
      </w:pPr>
      <w:r w:rsidRPr="00860642">
        <w:rPr>
          <w:sz w:val="28"/>
          <w:szCs w:val="28"/>
        </w:rPr>
        <w:t xml:space="preserve">В 2018 году вклады физических лиц в банках продолжили свой рост. </w:t>
      </w:r>
      <w:r w:rsidRPr="00860642">
        <w:rPr>
          <w:rFonts w:eastAsia="Calibri"/>
          <w:sz w:val="28"/>
          <w:szCs w:val="28"/>
        </w:rPr>
        <w:t xml:space="preserve">При этом ССВ оставалась важным стабилизирующим фактором рынка вкладов физических лиц. </w:t>
      </w:r>
    </w:p>
    <w:p w:rsidR="005832CA" w:rsidRPr="00860642" w:rsidRDefault="005832CA" w:rsidP="005832CA">
      <w:pPr>
        <w:pStyle w:val="aa"/>
        <w:spacing w:before="0" w:beforeAutospacing="0" w:after="0" w:afterAutospacing="0" w:line="360" w:lineRule="auto"/>
        <w:ind w:firstLine="709"/>
        <w:jc w:val="both"/>
        <w:textAlignment w:val="baseline"/>
        <w:rPr>
          <w:sz w:val="28"/>
          <w:szCs w:val="28"/>
        </w:rPr>
      </w:pPr>
      <w:r w:rsidRPr="00860642">
        <w:rPr>
          <w:sz w:val="28"/>
          <w:szCs w:val="28"/>
        </w:rPr>
        <w:t>С 1 января 2019 года вступили в силу изменения, внесенные в Федеральный закон от 23 декабря 2003 года № 177-ФЗ «О страховании вкладов физических лиц в банках Российской Федерации», которые распространяют действие системы страхования вкладов (ССВ) на денежные средства юридических лиц, отнесенных в соответствии с законодательством Российской Федерации к малым предприятиям, сведения о которых содержатся в Едином реестре субъектов малого и среднего предпринимательства.</w:t>
      </w:r>
    </w:p>
    <w:p w:rsidR="005832CA" w:rsidRPr="00860642" w:rsidRDefault="005832CA" w:rsidP="005832CA">
      <w:pPr>
        <w:pStyle w:val="aa"/>
        <w:spacing w:before="0" w:beforeAutospacing="0" w:after="0" w:afterAutospacing="0" w:line="360" w:lineRule="auto"/>
        <w:ind w:firstLine="709"/>
        <w:jc w:val="both"/>
        <w:textAlignment w:val="baseline"/>
        <w:rPr>
          <w:sz w:val="28"/>
          <w:szCs w:val="28"/>
        </w:rPr>
      </w:pPr>
      <w:r w:rsidRPr="00860642">
        <w:rPr>
          <w:sz w:val="28"/>
          <w:szCs w:val="28"/>
        </w:rPr>
        <w:t>Новой редакцией Федерального закона, получившего наименование «О страховании вкладов в банках Российской Федерации», предусмотрено страхование денежных средств малого предприятия в рублях и иностранной валюте, размещенных на основании договора банковского вклада или банковского счета в банке – участнике ССВ, имеющем право на привлечение во вклады денежных средств физических лиц.</w:t>
      </w:r>
    </w:p>
    <w:p w:rsidR="005832CA" w:rsidRPr="00860642" w:rsidRDefault="005832CA" w:rsidP="005832CA">
      <w:pPr>
        <w:pStyle w:val="aa"/>
        <w:spacing w:before="0" w:beforeAutospacing="0" w:after="0" w:afterAutospacing="0" w:line="360" w:lineRule="auto"/>
        <w:ind w:firstLine="709"/>
        <w:jc w:val="both"/>
        <w:textAlignment w:val="baseline"/>
        <w:rPr>
          <w:sz w:val="28"/>
          <w:szCs w:val="28"/>
        </w:rPr>
      </w:pPr>
      <w:r w:rsidRPr="00860642">
        <w:rPr>
          <w:sz w:val="28"/>
          <w:szCs w:val="28"/>
        </w:rPr>
        <w:t>Размер страхового возмещения для вкладчика - малого предприятия при наступлении страхового случая в банке после 1 января 2019 года устанавливается в рублях по тем же правилам, что и для физического лица: в размере 100 процентов суммы всех застрахованных обязательств банка перед таким вкладчиком (за вычетом суммы встречных требований банка к вкладчику), но не более 1,4 млн рублей в совокупности.</w:t>
      </w:r>
    </w:p>
    <w:p w:rsidR="005832CA" w:rsidRPr="00860642" w:rsidRDefault="005832CA" w:rsidP="005832CA">
      <w:pPr>
        <w:pStyle w:val="aa"/>
        <w:spacing w:before="0" w:beforeAutospacing="0" w:after="0" w:afterAutospacing="0" w:line="360" w:lineRule="auto"/>
        <w:ind w:firstLine="709"/>
        <w:jc w:val="both"/>
        <w:textAlignment w:val="baseline"/>
        <w:rPr>
          <w:sz w:val="28"/>
          <w:szCs w:val="28"/>
        </w:rPr>
      </w:pPr>
      <w:r w:rsidRPr="00860642">
        <w:rPr>
          <w:sz w:val="28"/>
          <w:szCs w:val="28"/>
        </w:rPr>
        <w:t xml:space="preserve">Таким образом, в соответствии с Федеральным законом с 1 января 2019 года к числу вкладчиков, у которых средства на банковских счетах (вкладах) застрахованы в системе страхования вкладов, наряду с физическими лицами и </w:t>
      </w:r>
      <w:r w:rsidRPr="00860642">
        <w:rPr>
          <w:sz w:val="28"/>
          <w:szCs w:val="28"/>
        </w:rPr>
        <w:lastRenderedPageBreak/>
        <w:t>индивидуальными предпринимателями, дополнительно отнесены малые предприятия.</w:t>
      </w:r>
    </w:p>
    <w:p w:rsidR="00673476" w:rsidRPr="00860642" w:rsidRDefault="00673476" w:rsidP="00C31DB9">
      <w:pPr>
        <w:spacing w:after="0" w:line="360" w:lineRule="auto"/>
        <w:ind w:right="76" w:firstLine="720"/>
        <w:jc w:val="both"/>
        <w:rPr>
          <w:rFonts w:ascii="Times New Roman" w:hAnsi="Times New Roman" w:cs="Times New Roman"/>
          <w:sz w:val="28"/>
          <w:szCs w:val="28"/>
        </w:rPr>
      </w:pPr>
      <w:r w:rsidRPr="00860642">
        <w:rPr>
          <w:rFonts w:ascii="Times New Roman" w:hAnsi="Times New Roman" w:cs="Times New Roman"/>
          <w:sz w:val="28"/>
          <w:szCs w:val="28"/>
        </w:rPr>
        <w:t xml:space="preserve">Общий объем вкладов населения в банках в отчетном году увеличился </w:t>
      </w:r>
      <w:r w:rsidR="00C31DB9" w:rsidRPr="00860642">
        <w:rPr>
          <w:rFonts w:ascii="Times New Roman" w:hAnsi="Times New Roman" w:cs="Times New Roman"/>
          <w:sz w:val="28"/>
          <w:szCs w:val="28"/>
        </w:rPr>
        <w:t xml:space="preserve"> </w:t>
      </w:r>
      <w:r w:rsidRPr="00860642">
        <w:rPr>
          <w:rFonts w:ascii="Times New Roman" w:hAnsi="Times New Roman" w:cs="Times New Roman"/>
          <w:sz w:val="28"/>
          <w:szCs w:val="28"/>
        </w:rPr>
        <w:t>на 2 473 млрд руб., до</w:t>
      </w:r>
      <w:r w:rsidR="00860642" w:rsidRPr="00860642">
        <w:rPr>
          <w:rFonts w:ascii="Times New Roman" w:hAnsi="Times New Roman" w:cs="Times New Roman"/>
          <w:sz w:val="28"/>
          <w:szCs w:val="28"/>
        </w:rPr>
        <w:t>стигнув 28 460 млрд руб. (рис. 3</w:t>
      </w:r>
      <w:r w:rsidRPr="00860642">
        <w:rPr>
          <w:rFonts w:ascii="Times New Roman" w:hAnsi="Times New Roman" w:cs="Times New Roman"/>
          <w:sz w:val="28"/>
          <w:szCs w:val="28"/>
        </w:rPr>
        <w:t xml:space="preserve">). В относительном выражении рост вкладов за 2018 год составил 6,5% (в 2017 году – 10,7%). </w:t>
      </w:r>
    </w:p>
    <w:p w:rsidR="00673476" w:rsidRPr="00860642" w:rsidRDefault="00673476" w:rsidP="00673476">
      <w:pPr>
        <w:spacing w:line="360" w:lineRule="auto"/>
        <w:jc w:val="both"/>
      </w:pPr>
      <w:r w:rsidRPr="00860642">
        <w:rPr>
          <w:noProof/>
          <w:lang w:eastAsia="ru-RU"/>
        </w:rPr>
        <w:drawing>
          <wp:inline distT="0" distB="0" distL="0" distR="0">
            <wp:extent cx="6096000" cy="31718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096000" cy="3171825"/>
                    </a:xfrm>
                    <a:prstGeom prst="rect">
                      <a:avLst/>
                    </a:prstGeom>
                    <a:noFill/>
                    <a:ln w="9525">
                      <a:noFill/>
                      <a:miter lim="800000"/>
                      <a:headEnd/>
                      <a:tailEnd/>
                    </a:ln>
                  </pic:spPr>
                </pic:pic>
              </a:graphicData>
            </a:graphic>
          </wp:inline>
        </w:drawing>
      </w:r>
    </w:p>
    <w:p w:rsidR="00C31DB9" w:rsidRPr="00860642" w:rsidRDefault="00860642" w:rsidP="00C31DB9">
      <w:pPr>
        <w:spacing w:after="0" w:line="360" w:lineRule="auto"/>
        <w:ind w:firstLine="709"/>
        <w:jc w:val="center"/>
        <w:rPr>
          <w:rFonts w:ascii="Times New Roman" w:hAnsi="Times New Roman" w:cs="Times New Roman"/>
          <w:sz w:val="28"/>
          <w:szCs w:val="28"/>
        </w:rPr>
      </w:pPr>
      <w:r w:rsidRPr="00860642">
        <w:rPr>
          <w:rFonts w:ascii="Times New Roman" w:hAnsi="Times New Roman" w:cs="Times New Roman"/>
          <w:bCs/>
          <w:sz w:val="28"/>
          <w:szCs w:val="28"/>
        </w:rPr>
        <w:t>Рисунок 3</w:t>
      </w:r>
      <w:r w:rsidR="00C31DB9" w:rsidRPr="00860642">
        <w:rPr>
          <w:rFonts w:ascii="Times New Roman" w:hAnsi="Times New Roman" w:cs="Times New Roman"/>
          <w:bCs/>
          <w:sz w:val="28"/>
          <w:szCs w:val="28"/>
        </w:rPr>
        <w:t xml:space="preserve"> - Объем вкладов населения в 2004–2018 гг. (млрд руб.)</w:t>
      </w:r>
      <w:r w:rsidR="008B4F36">
        <w:rPr>
          <w:rStyle w:val="af2"/>
          <w:rFonts w:ascii="Times New Roman" w:hAnsi="Times New Roman"/>
          <w:bCs/>
          <w:sz w:val="28"/>
          <w:szCs w:val="28"/>
        </w:rPr>
        <w:footnoteReference w:id="17"/>
      </w:r>
    </w:p>
    <w:p w:rsidR="00C31DB9" w:rsidRPr="00860642" w:rsidRDefault="00C31DB9" w:rsidP="00C31DB9">
      <w:pPr>
        <w:spacing w:after="0" w:line="360" w:lineRule="auto"/>
        <w:ind w:firstLine="720"/>
        <w:jc w:val="both"/>
      </w:pPr>
    </w:p>
    <w:p w:rsidR="00673476" w:rsidRPr="00860642" w:rsidRDefault="00673476" w:rsidP="00C31DB9">
      <w:pPr>
        <w:spacing w:after="0" w:line="360" w:lineRule="auto"/>
        <w:ind w:firstLine="720"/>
        <w:jc w:val="both"/>
        <w:rPr>
          <w:rFonts w:ascii="Times New Roman" w:hAnsi="Times New Roman" w:cs="Times New Roman"/>
          <w:sz w:val="28"/>
          <w:szCs w:val="28"/>
        </w:rPr>
      </w:pPr>
      <w:r w:rsidRPr="00860642">
        <w:rPr>
          <w:rFonts w:ascii="Times New Roman" w:hAnsi="Times New Roman" w:cs="Times New Roman"/>
          <w:sz w:val="28"/>
          <w:szCs w:val="28"/>
        </w:rPr>
        <w:t>Объем вкладов индивидуальных предпринимателей на 31 декабря 2018 г. составил 598 млрд руб. (2,1% общей суммы вкладов физических лиц), увеличившись с начала года на 138 млрд руб. Размер страховой ответственности по ним оценивается в 343 млрд руб., или 57,4% суммы вкладов индивидуальных предпринимателей, что соответствует общей структуре вкладов физических лиц.</w:t>
      </w:r>
    </w:p>
    <w:p w:rsidR="00673476" w:rsidRPr="00860642" w:rsidRDefault="00673476" w:rsidP="00C31DB9">
      <w:pPr>
        <w:spacing w:after="0" w:line="360" w:lineRule="auto"/>
        <w:ind w:firstLine="720"/>
        <w:jc w:val="both"/>
        <w:rPr>
          <w:rFonts w:ascii="Times New Roman" w:hAnsi="Times New Roman" w:cs="Times New Roman"/>
          <w:sz w:val="28"/>
          <w:szCs w:val="28"/>
        </w:rPr>
      </w:pPr>
      <w:r w:rsidRPr="00860642">
        <w:rPr>
          <w:rFonts w:ascii="Times New Roman" w:hAnsi="Times New Roman" w:cs="Times New Roman"/>
          <w:sz w:val="28"/>
          <w:szCs w:val="28"/>
        </w:rPr>
        <w:t xml:space="preserve">Вложения в незастрахованные сберегательные сертификаты на предъявителя снижались с весны отчетного года. В результате объем средств, размещенных в такие сертификаты, с начала 2018 года уменьшился более чем в 2 раза (на 236 млрд руб.) до 151 млрд руб. Доля сертификатов на </w:t>
      </w:r>
      <w:r w:rsidRPr="00860642">
        <w:rPr>
          <w:rFonts w:ascii="Times New Roman" w:hAnsi="Times New Roman" w:cs="Times New Roman"/>
          <w:sz w:val="28"/>
          <w:szCs w:val="28"/>
        </w:rPr>
        <w:lastRenderedPageBreak/>
        <w:t xml:space="preserve">предъявителя в общем объеме вкладов также снизилась, составив 0,5%. </w:t>
      </w:r>
      <w:r w:rsidRPr="00860642">
        <w:rPr>
          <w:rStyle w:val="af9"/>
        </w:rPr>
        <w:t>Указанная тенденция обусловлена тем, что в соответствии с действующим законодательством выпускаемые с 1 июня 2018 г. сберегательные сертификаты могут быть только именными ценными бумагами, а их предъявительская форма упразднена.</w:t>
      </w:r>
    </w:p>
    <w:p w:rsidR="00673476" w:rsidRPr="00860642" w:rsidRDefault="00673476" w:rsidP="00C31DB9">
      <w:pPr>
        <w:spacing w:after="0" w:line="360" w:lineRule="auto"/>
        <w:ind w:firstLine="720"/>
        <w:jc w:val="both"/>
        <w:rPr>
          <w:rFonts w:ascii="Times New Roman" w:hAnsi="Times New Roman" w:cs="Times New Roman"/>
          <w:sz w:val="28"/>
          <w:szCs w:val="28"/>
        </w:rPr>
      </w:pPr>
      <w:r w:rsidRPr="00860642">
        <w:rPr>
          <w:rFonts w:ascii="Times New Roman" w:hAnsi="Times New Roman" w:cs="Times New Roman"/>
          <w:sz w:val="28"/>
          <w:szCs w:val="28"/>
        </w:rPr>
        <w:t xml:space="preserve">В целом объем застрахованных средств в банках (с учетом средств индивидуальных предпринимателей) в 2018 году увеличился на 2 840 млрд руб. В относительном выражении он вырос на 7,9%, составив 28 873 млрд руб. (в 2017 году – на 11,0%). </w:t>
      </w:r>
    </w:p>
    <w:p w:rsidR="00673476" w:rsidRPr="00860642" w:rsidRDefault="00673476" w:rsidP="00C31DB9">
      <w:pPr>
        <w:spacing w:after="0" w:line="360" w:lineRule="auto"/>
        <w:ind w:firstLine="720"/>
        <w:jc w:val="both"/>
        <w:rPr>
          <w:rFonts w:ascii="Times New Roman" w:hAnsi="Times New Roman" w:cs="Times New Roman"/>
          <w:sz w:val="28"/>
          <w:szCs w:val="28"/>
        </w:rPr>
      </w:pPr>
      <w:r w:rsidRPr="00860642">
        <w:rPr>
          <w:rFonts w:ascii="Times New Roman" w:hAnsi="Times New Roman" w:cs="Times New Roman"/>
          <w:sz w:val="28"/>
          <w:szCs w:val="28"/>
        </w:rPr>
        <w:t>Динамика ежедневных приростов вкладов показывает, что сберегательная активность населения в 2018 году была следующей. Рост вкладов в январе – ноябре 2018 г. в среднем составлял 3,5 млрд руб. в день, без валютной переоценки – 1,2 млрд руб. в день (в январе – ноябре 2017 г. – 2,4 млрд руб. в день, без валютной переоценки – 3,0 млрд руб. в день). В конце года традиционно в связи с предновогодними выплатами премий и иных дополнительных вознаграждений был отмечен большой прирост вкладов населения. За декабрь вклады физических лиц выросли на 1 304,0 млрд руб. (в среднем на 42 млрд руб. в день), что за вычетом валютной переоценки оказалось немного ниже декабрьских поступлений прошлого года.</w:t>
      </w:r>
    </w:p>
    <w:p w:rsidR="00C31DB9" w:rsidRPr="00860642" w:rsidRDefault="00C31DB9"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По итогам года доли вкладов от 1,4 млн до 3 млн руб. и свыше 3 млн руб. увеличились с 9,7 до 10,3% и с 31,5 до 32,6% соответственно. Доли вкладов до 100 тыс. руб. и от 1 млн до 1,4 млн руб. практически не изменились. Доля вкладов от 100 тыс. до 1 млн руб. сократилась с 37,8 до 36,2% </w:t>
      </w:r>
      <w:r w:rsidR="00860642" w:rsidRPr="00860642">
        <w:rPr>
          <w:rFonts w:ascii="Times New Roman" w:hAnsi="Times New Roman" w:cs="Times New Roman"/>
          <w:sz w:val="28"/>
          <w:szCs w:val="28"/>
        </w:rPr>
        <w:t>(рис. 4</w:t>
      </w:r>
      <w:r w:rsidRPr="00860642">
        <w:rPr>
          <w:rFonts w:ascii="Times New Roman" w:hAnsi="Times New Roman" w:cs="Times New Roman"/>
          <w:sz w:val="28"/>
          <w:szCs w:val="28"/>
        </w:rPr>
        <w:t>).</w:t>
      </w:r>
    </w:p>
    <w:p w:rsidR="00C31DB9" w:rsidRPr="00860642" w:rsidRDefault="00673476" w:rsidP="00C31DB9">
      <w:pPr>
        <w:spacing w:line="360" w:lineRule="auto"/>
        <w:jc w:val="both"/>
      </w:pPr>
      <w:r w:rsidRPr="00860642">
        <w:rPr>
          <w:noProof/>
          <w:lang w:eastAsia="ru-RU"/>
        </w:rPr>
        <w:lastRenderedPageBreak/>
        <w:drawing>
          <wp:inline distT="0" distB="0" distL="0" distR="0">
            <wp:extent cx="5943600" cy="2886075"/>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5943600" cy="2886075"/>
                    </a:xfrm>
                    <a:prstGeom prst="rect">
                      <a:avLst/>
                    </a:prstGeom>
                    <a:noFill/>
                    <a:ln w="9525">
                      <a:noFill/>
                      <a:miter lim="800000"/>
                      <a:headEnd/>
                      <a:tailEnd/>
                    </a:ln>
                  </pic:spPr>
                </pic:pic>
              </a:graphicData>
            </a:graphic>
          </wp:inline>
        </w:drawing>
      </w:r>
    </w:p>
    <w:p w:rsidR="00C31DB9" w:rsidRPr="00860642" w:rsidRDefault="00860642" w:rsidP="00C31DB9">
      <w:pPr>
        <w:keepNext/>
        <w:spacing w:after="0"/>
        <w:ind w:firstLine="709"/>
        <w:jc w:val="center"/>
        <w:rPr>
          <w:rFonts w:ascii="Times New Roman" w:hAnsi="Times New Roman" w:cs="Times New Roman"/>
          <w:bCs/>
          <w:sz w:val="28"/>
          <w:szCs w:val="28"/>
        </w:rPr>
      </w:pPr>
      <w:r w:rsidRPr="00860642">
        <w:rPr>
          <w:rFonts w:ascii="Times New Roman" w:hAnsi="Times New Roman" w:cs="Times New Roman"/>
          <w:bCs/>
          <w:sz w:val="28"/>
          <w:szCs w:val="28"/>
        </w:rPr>
        <w:t>Рисунок 4</w:t>
      </w:r>
      <w:r w:rsidR="00C31DB9" w:rsidRPr="00860642">
        <w:rPr>
          <w:rFonts w:ascii="Times New Roman" w:hAnsi="Times New Roman" w:cs="Times New Roman"/>
          <w:bCs/>
          <w:sz w:val="28"/>
          <w:szCs w:val="28"/>
        </w:rPr>
        <w:t xml:space="preserve"> - Структура депозитов в зависимости от размера вкладов (в %)</w:t>
      </w:r>
      <w:r w:rsidR="008B4F36">
        <w:rPr>
          <w:rStyle w:val="af2"/>
          <w:rFonts w:ascii="Times New Roman" w:hAnsi="Times New Roman"/>
          <w:bCs/>
          <w:sz w:val="28"/>
          <w:szCs w:val="28"/>
        </w:rPr>
        <w:footnoteReference w:id="18"/>
      </w:r>
    </w:p>
    <w:p w:rsidR="00C31DB9" w:rsidRPr="00860642" w:rsidRDefault="00C31DB9" w:rsidP="00C31DB9">
      <w:pPr>
        <w:spacing w:after="0" w:line="360" w:lineRule="auto"/>
        <w:ind w:firstLine="709"/>
        <w:jc w:val="both"/>
        <w:rPr>
          <w:rFonts w:ascii="Times New Roman" w:hAnsi="Times New Roman" w:cs="Times New Roman"/>
          <w:sz w:val="28"/>
          <w:szCs w:val="28"/>
        </w:rPr>
      </w:pPr>
    </w:p>
    <w:p w:rsidR="00673476" w:rsidRPr="00860642" w:rsidRDefault="00673476"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Результаты мониторинга процентных ставок по вкладам показывают, что с января по июль 2018 г. наблюдалось снижение доходности вкладов, а с августа – небольшой рост. В результате, по данным Банка России, среднее значение максимальной процентной ставки по вкладам физических лиц в рублях по 10 крупнейшим банкам по итогам года почти не изменилось, увеличившись на 0,1 п.п. – с 7,3 до 7,4% (в 2017 году было снижение на 1,1 п.п.).</w:t>
      </w:r>
    </w:p>
    <w:p w:rsidR="00673476" w:rsidRPr="00860642" w:rsidRDefault="00673476"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В отчетном периоде доля краткосрочных (сроком от 31 дня до 1 года) вкладов сократилась с 37,8 до 36,9%, долгосрочных (сроком свыше 1 года) – с 41,2 до 39,5%. Доля вкладов до востребования и сроком до 30 дней увеличилась (с 21,0 до 23,6%). При этом основное изменение структуры вкладов произошло в первой половине года.</w:t>
      </w:r>
    </w:p>
    <w:p w:rsidR="00673476" w:rsidRPr="00860642" w:rsidRDefault="00673476"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Доля депозитов в иностранной валюте в результате  изменения курса рубля несколько увеличилась (с 20,6 до 21,5%).</w:t>
      </w:r>
    </w:p>
    <w:p w:rsidR="00673476" w:rsidRPr="00860642" w:rsidRDefault="00673476"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Доля 30 крупнейших по объему вкладов банков в 2018 году увеличилась с 87,0 до 89,6%, доля ПАО Сбербанк уменьшилась с 46,1 до 45,1%. </w:t>
      </w:r>
      <w:r w:rsidRPr="00860642">
        <w:rPr>
          <w:rFonts w:ascii="Times New Roman" w:hAnsi="Times New Roman" w:cs="Times New Roman"/>
          <w:sz w:val="28"/>
          <w:szCs w:val="28"/>
        </w:rPr>
        <w:lastRenderedPageBreak/>
        <w:t>Постепенный рост доли крупнейших банков продолжается с конца 2013 года – общее увеличение за указанный период составило 13 п.п.</w:t>
      </w:r>
    </w:p>
    <w:p w:rsidR="00673476" w:rsidRPr="00860642" w:rsidRDefault="00673476"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Размер страховой ответственности Агентства (потенциальных обязательств по выплате страхового возмещения) на протяжении 2018 года уменьшился и составил на 31 декабря 2018 г. 68,0% всех застрахованных вкладов (на 31 декабря 2017 г. – 69,2%). Без учета ПАО Сбербанк этот показатель ум</w:t>
      </w:r>
      <w:r w:rsidR="00860642" w:rsidRPr="00860642">
        <w:rPr>
          <w:rFonts w:ascii="Times New Roman" w:hAnsi="Times New Roman" w:cs="Times New Roman"/>
          <w:sz w:val="28"/>
          <w:szCs w:val="28"/>
        </w:rPr>
        <w:t>еньшился с 64,1 до 62,3% (рис. 5</w:t>
      </w:r>
      <w:r w:rsidRPr="00860642">
        <w:rPr>
          <w:rFonts w:ascii="Times New Roman" w:hAnsi="Times New Roman" w:cs="Times New Roman"/>
          <w:sz w:val="28"/>
          <w:szCs w:val="28"/>
        </w:rPr>
        <w:t>).</w:t>
      </w:r>
    </w:p>
    <w:p w:rsidR="00673476" w:rsidRPr="00860642" w:rsidRDefault="00673476" w:rsidP="00673476">
      <w:pPr>
        <w:spacing w:line="360" w:lineRule="auto"/>
        <w:jc w:val="both"/>
      </w:pPr>
      <w:r w:rsidRPr="00860642">
        <w:rPr>
          <w:noProof/>
          <w:lang w:eastAsia="ru-RU"/>
        </w:rPr>
        <w:drawing>
          <wp:inline distT="0" distB="0" distL="0" distR="0">
            <wp:extent cx="5943600" cy="31623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srcRect/>
                    <a:stretch>
                      <a:fillRect/>
                    </a:stretch>
                  </pic:blipFill>
                  <pic:spPr bwMode="auto">
                    <a:xfrm>
                      <a:off x="0" y="0"/>
                      <a:ext cx="5943600" cy="3162300"/>
                    </a:xfrm>
                    <a:prstGeom prst="rect">
                      <a:avLst/>
                    </a:prstGeom>
                    <a:noFill/>
                    <a:ln w="9525">
                      <a:noFill/>
                      <a:miter lim="800000"/>
                      <a:headEnd/>
                      <a:tailEnd/>
                    </a:ln>
                  </pic:spPr>
                </pic:pic>
              </a:graphicData>
            </a:graphic>
          </wp:inline>
        </w:drawing>
      </w:r>
    </w:p>
    <w:p w:rsidR="00C31DB9" w:rsidRDefault="00860642" w:rsidP="00C31DB9">
      <w:pPr>
        <w:spacing w:after="0" w:line="360" w:lineRule="auto"/>
        <w:ind w:firstLine="709"/>
        <w:jc w:val="center"/>
        <w:rPr>
          <w:rFonts w:ascii="Times New Roman" w:hAnsi="Times New Roman" w:cs="Times New Roman"/>
          <w:bCs/>
          <w:sz w:val="28"/>
          <w:szCs w:val="28"/>
        </w:rPr>
      </w:pPr>
      <w:r w:rsidRPr="00860642">
        <w:rPr>
          <w:rFonts w:ascii="Times New Roman" w:hAnsi="Times New Roman" w:cs="Times New Roman"/>
          <w:bCs/>
          <w:sz w:val="28"/>
          <w:szCs w:val="28"/>
        </w:rPr>
        <w:t>Рисунок 5</w:t>
      </w:r>
      <w:r w:rsidR="00C31DB9" w:rsidRPr="00860642">
        <w:rPr>
          <w:rFonts w:ascii="Times New Roman" w:hAnsi="Times New Roman" w:cs="Times New Roman"/>
          <w:bCs/>
          <w:sz w:val="28"/>
          <w:szCs w:val="28"/>
        </w:rPr>
        <w:t xml:space="preserve"> -  Страховая ответственность Агентства в 2005–2018 гг. (в %)</w:t>
      </w:r>
      <w:r w:rsidR="008B4F36">
        <w:rPr>
          <w:rStyle w:val="af2"/>
          <w:rFonts w:ascii="Times New Roman" w:hAnsi="Times New Roman"/>
          <w:bCs/>
          <w:sz w:val="28"/>
          <w:szCs w:val="28"/>
        </w:rPr>
        <w:footnoteReference w:id="19"/>
      </w:r>
    </w:p>
    <w:p w:rsidR="008B4F36" w:rsidRPr="00860642" w:rsidRDefault="008B4F36" w:rsidP="00C31DB9">
      <w:pPr>
        <w:spacing w:after="0" w:line="360" w:lineRule="auto"/>
        <w:ind w:firstLine="709"/>
        <w:jc w:val="center"/>
        <w:rPr>
          <w:rFonts w:ascii="Times New Roman" w:hAnsi="Times New Roman" w:cs="Times New Roman"/>
          <w:sz w:val="28"/>
          <w:szCs w:val="28"/>
        </w:rPr>
      </w:pPr>
    </w:p>
    <w:p w:rsidR="00673476" w:rsidRPr="00860642" w:rsidRDefault="00673476" w:rsidP="00C31DB9">
      <w:pPr>
        <w:tabs>
          <w:tab w:val="left" w:pos="851"/>
        </w:tabs>
        <w:spacing w:after="0" w:line="360" w:lineRule="auto"/>
        <w:ind w:firstLine="709"/>
        <w:jc w:val="both"/>
        <w:rPr>
          <w:rStyle w:val="af9"/>
        </w:rPr>
      </w:pPr>
      <w:r w:rsidRPr="00860642">
        <w:rPr>
          <w:rStyle w:val="af9"/>
        </w:rPr>
        <w:t>Максимальный размер возмещения по вкладам в 1,4 млн руб. полностью покрывает 99,6% всех вкладов по количеству счетов (98,7% без учета счетов до 1 тыс. руб.) и 57,1% всех вкладов по сумме. Средний размер вклада по банковской системе (без счетов до 1 тыс. руб.) на 31 декабря 2018 г. составил 166,0 тыс. руб.</w:t>
      </w:r>
    </w:p>
    <w:p w:rsidR="00C31DB9" w:rsidRPr="00860642" w:rsidRDefault="00871C8E" w:rsidP="00C31DB9">
      <w:pPr>
        <w:pStyle w:val="1"/>
        <w:spacing w:before="0" w:line="360" w:lineRule="auto"/>
        <w:ind w:firstLine="709"/>
        <w:jc w:val="center"/>
        <w:rPr>
          <w:rStyle w:val="af9"/>
          <w:b w:val="0"/>
          <w:color w:val="auto"/>
        </w:rPr>
      </w:pPr>
      <w:bookmarkStart w:id="8" w:name="_Toc6150525"/>
      <w:r>
        <w:rPr>
          <w:rStyle w:val="af9"/>
          <w:b w:val="0"/>
          <w:color w:val="auto"/>
        </w:rPr>
        <w:lastRenderedPageBreak/>
        <w:t>2</w:t>
      </w:r>
      <w:r w:rsidR="00C31DB9" w:rsidRPr="00860642">
        <w:rPr>
          <w:rStyle w:val="af9"/>
          <w:b w:val="0"/>
          <w:color w:val="auto"/>
        </w:rPr>
        <w:t>.2. Анализ развития системы обязательного страхования вкладов на современном этапе</w:t>
      </w:r>
      <w:bookmarkEnd w:id="8"/>
    </w:p>
    <w:p w:rsidR="00C31DB9" w:rsidRPr="00860642" w:rsidRDefault="00C31DB9" w:rsidP="00C31DB9">
      <w:pPr>
        <w:tabs>
          <w:tab w:val="left" w:pos="851"/>
        </w:tabs>
        <w:spacing w:after="0" w:line="360" w:lineRule="auto"/>
        <w:ind w:firstLine="709"/>
        <w:jc w:val="both"/>
      </w:pPr>
    </w:p>
    <w:p w:rsidR="00ED73E0" w:rsidRPr="00860642" w:rsidRDefault="00ED73E0"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Характерной особенностью 2018 года стало более чем двукратное по сравнению с предыдущим годом снижение объема выплат страхового возмещения по наступившим страховым случаям. На протяжении всего года сохранялась высокая интенсивность работы по ликвидации финансовых организаций. Продолжилась реализация начатых в предыдущие годы процедур по предупреждению банкротства банков.</w:t>
      </w:r>
    </w:p>
    <w:p w:rsidR="00D01AFA" w:rsidRPr="00860642" w:rsidRDefault="00D01AFA" w:rsidP="00C31DB9">
      <w:pPr>
        <w:spacing w:after="0" w:line="360" w:lineRule="auto"/>
        <w:ind w:firstLine="680"/>
        <w:jc w:val="both"/>
        <w:rPr>
          <w:rFonts w:ascii="Times New Roman" w:hAnsi="Times New Roman" w:cs="Times New Roman"/>
          <w:sz w:val="28"/>
          <w:szCs w:val="28"/>
        </w:rPr>
      </w:pPr>
      <w:r w:rsidRPr="00860642">
        <w:rPr>
          <w:rFonts w:ascii="Times New Roman" w:hAnsi="Times New Roman" w:cs="Times New Roman"/>
          <w:sz w:val="28"/>
          <w:szCs w:val="28"/>
        </w:rPr>
        <w:t>В 2018 году система страхования вкладов функционировала стабильно, обеспечивая выполнение основных задач в условиях постепенного снижения сложившейся в предыдущие годы повышенной финансовой нагрузки на ФОСВ.</w:t>
      </w:r>
      <w:r w:rsidR="00871C8E">
        <w:rPr>
          <w:rFonts w:ascii="Times New Roman" w:hAnsi="Times New Roman" w:cs="Times New Roman"/>
          <w:sz w:val="28"/>
          <w:szCs w:val="28"/>
        </w:rPr>
        <w:t xml:space="preserve"> </w:t>
      </w:r>
      <w:r w:rsidRPr="00860642">
        <w:rPr>
          <w:rFonts w:ascii="Times New Roman" w:hAnsi="Times New Roman" w:cs="Times New Roman"/>
          <w:sz w:val="28"/>
          <w:szCs w:val="28"/>
        </w:rPr>
        <w:t xml:space="preserve">Объем выплат страхового возмещения по сравнению с предыдущим годом снизился в 2 раза и составил 188,3 млрд руб., что стало наименьшим </w:t>
      </w:r>
      <w:r w:rsidR="008B4F36">
        <w:rPr>
          <w:rFonts w:ascii="Times New Roman" w:hAnsi="Times New Roman" w:cs="Times New Roman"/>
          <w:sz w:val="28"/>
          <w:szCs w:val="28"/>
        </w:rPr>
        <w:t>показателем с 2014 года</w:t>
      </w:r>
      <w:r w:rsidRPr="00860642">
        <w:rPr>
          <w:rFonts w:ascii="Times New Roman" w:hAnsi="Times New Roman" w:cs="Times New Roman"/>
          <w:sz w:val="28"/>
          <w:szCs w:val="28"/>
        </w:rPr>
        <w:t xml:space="preserve">. Число вкладчиков, обратившихся за получением возмещения, уменьшилось на 44% (с 637,8 до 356,8 тыс. человек). </w:t>
      </w:r>
    </w:p>
    <w:p w:rsidR="00D01AFA" w:rsidRPr="00860642" w:rsidRDefault="00D01AFA" w:rsidP="00C31DB9">
      <w:pPr>
        <w:spacing w:after="0" w:line="348" w:lineRule="auto"/>
        <w:ind w:firstLine="709"/>
        <w:jc w:val="both"/>
        <w:rPr>
          <w:rFonts w:ascii="Times New Roman" w:eastAsia="Calibri" w:hAnsi="Times New Roman" w:cs="Times New Roman"/>
          <w:sz w:val="28"/>
          <w:szCs w:val="28"/>
        </w:rPr>
      </w:pPr>
      <w:r w:rsidRPr="00860642">
        <w:rPr>
          <w:rFonts w:ascii="Times New Roman" w:hAnsi="Times New Roman" w:cs="Times New Roman"/>
          <w:sz w:val="28"/>
          <w:szCs w:val="28"/>
        </w:rPr>
        <w:t>В то же время количество страховых случаев в отношении банков – участников ССВ</w:t>
      </w:r>
      <w:r w:rsidRPr="00860642">
        <w:rPr>
          <w:rFonts w:ascii="Times New Roman" w:eastAsia="Calibri" w:hAnsi="Times New Roman" w:cs="Times New Roman"/>
          <w:sz w:val="28"/>
          <w:szCs w:val="28"/>
        </w:rPr>
        <w:t xml:space="preserve"> достигло 57, существенно превысив показатель предыдущего года – 41. При этом размер страховой ответственности Агентства перед вкладчиками в банках, в которых страховой случай наступил в 2018 году, по сравнению с предыдущим годом снизился более чем в 2 раза.</w:t>
      </w:r>
    </w:p>
    <w:p w:rsidR="00D01AFA" w:rsidRPr="00860642" w:rsidRDefault="00D01AFA" w:rsidP="00C31DB9">
      <w:pPr>
        <w:spacing w:after="0" w:line="348"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Всего за время функционирования ССВ произошел 481 страховой случай, общий размер страховой ответственности по которым составил 1,92 трлн руб. перед 9,3 млн вкладчиков, включенных в реестры обязательств банков (рис. </w:t>
      </w:r>
      <w:r w:rsidR="00860642" w:rsidRPr="00860642">
        <w:rPr>
          <w:rFonts w:ascii="Times New Roman" w:hAnsi="Times New Roman" w:cs="Times New Roman"/>
          <w:sz w:val="28"/>
          <w:szCs w:val="28"/>
        </w:rPr>
        <w:t>5</w:t>
      </w:r>
      <w:r w:rsidRPr="00860642">
        <w:rPr>
          <w:rFonts w:ascii="Times New Roman" w:hAnsi="Times New Roman" w:cs="Times New Roman"/>
          <w:sz w:val="28"/>
          <w:szCs w:val="28"/>
        </w:rPr>
        <w:t>). С момента создания Агентства 4,01 млн вкладчиков получили страховое возмещение в размере 1,91 трлн руб.</w:t>
      </w:r>
    </w:p>
    <w:p w:rsidR="00D01AFA" w:rsidRPr="00860642" w:rsidRDefault="00D01AFA" w:rsidP="00C31DB9">
      <w:pPr>
        <w:spacing w:after="0"/>
        <w:jc w:val="center"/>
        <w:rPr>
          <w:rFonts w:ascii="Times New Roman" w:hAnsi="Times New Roman" w:cs="Times New Roman"/>
          <w:b/>
          <w:bCs/>
          <w:sz w:val="28"/>
          <w:szCs w:val="28"/>
        </w:rPr>
      </w:pPr>
      <w:r w:rsidRPr="00860642">
        <w:rPr>
          <w:rFonts w:ascii="Times New Roman" w:hAnsi="Times New Roman" w:cs="Times New Roman"/>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24765</wp:posOffset>
            </wp:positionH>
            <wp:positionV relativeFrom="paragraph">
              <wp:posOffset>62230</wp:posOffset>
            </wp:positionV>
            <wp:extent cx="6162675" cy="3200400"/>
            <wp:effectExtent l="0" t="0" r="0" b="0"/>
            <wp:wrapTopAndBottom/>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31DB9" w:rsidRPr="00860642" w:rsidRDefault="00860642" w:rsidP="00C31DB9">
      <w:pPr>
        <w:spacing w:after="0"/>
        <w:ind w:firstLine="709"/>
        <w:jc w:val="center"/>
        <w:rPr>
          <w:rFonts w:ascii="Times New Roman" w:hAnsi="Times New Roman" w:cs="Times New Roman"/>
          <w:bCs/>
          <w:sz w:val="28"/>
          <w:szCs w:val="28"/>
        </w:rPr>
      </w:pPr>
      <w:r w:rsidRPr="00860642">
        <w:rPr>
          <w:rFonts w:ascii="Times New Roman" w:hAnsi="Times New Roman" w:cs="Times New Roman"/>
          <w:bCs/>
          <w:sz w:val="28"/>
          <w:szCs w:val="28"/>
        </w:rPr>
        <w:t>Рисунок 5</w:t>
      </w:r>
      <w:r w:rsidR="00C31DB9" w:rsidRPr="00860642">
        <w:rPr>
          <w:rFonts w:ascii="Times New Roman" w:hAnsi="Times New Roman" w:cs="Times New Roman"/>
          <w:bCs/>
          <w:sz w:val="28"/>
          <w:szCs w:val="28"/>
        </w:rPr>
        <w:t xml:space="preserve"> - Количество страховых случаев и объем страховых выплат </w:t>
      </w:r>
      <w:r w:rsidR="00C31DB9" w:rsidRPr="00860642">
        <w:rPr>
          <w:rFonts w:ascii="Times New Roman" w:hAnsi="Times New Roman" w:cs="Times New Roman"/>
          <w:bCs/>
          <w:sz w:val="28"/>
          <w:szCs w:val="28"/>
        </w:rPr>
        <w:br/>
        <w:t xml:space="preserve">(в 2005–2018 гг.) </w:t>
      </w:r>
      <w:r w:rsidR="008B4F36">
        <w:rPr>
          <w:rStyle w:val="af2"/>
          <w:rFonts w:ascii="Times New Roman" w:hAnsi="Times New Roman"/>
          <w:bCs/>
          <w:sz w:val="28"/>
          <w:szCs w:val="28"/>
        </w:rPr>
        <w:footnoteReference w:id="20"/>
      </w:r>
    </w:p>
    <w:p w:rsidR="00C31DB9" w:rsidRPr="00860642" w:rsidRDefault="00C31DB9" w:rsidP="00C31DB9">
      <w:pPr>
        <w:spacing w:after="0" w:line="348" w:lineRule="auto"/>
        <w:ind w:firstLine="709"/>
        <w:jc w:val="both"/>
        <w:rPr>
          <w:rFonts w:ascii="Times New Roman" w:hAnsi="Times New Roman" w:cs="Times New Roman"/>
          <w:sz w:val="28"/>
          <w:szCs w:val="28"/>
        </w:rPr>
      </w:pPr>
    </w:p>
    <w:p w:rsidR="00D01AFA" w:rsidRPr="00860642" w:rsidRDefault="00D01AFA" w:rsidP="00C31DB9">
      <w:pPr>
        <w:spacing w:after="0" w:line="348"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Наиболее крупными страховыми случаями отчетного периода стали отзывы лицензий у АО «АК Банк» (размер страховой ответственности Агентства 22,97 млрд руб.), АО АКБ «ГАЗБАНК» (17,83 млрд руб.), Банк МБСП (АО) (16,55 млрд руб.) и АО КБ «РУБЛЕВ» (12,23 млрд руб.). Объем совокупной страховой ответственности Агентства по 4 указанным страховым случаям составил 69,6 млрд руб., или около 40% общего размера страховой ответственности Агентства за год. </w:t>
      </w:r>
    </w:p>
    <w:p w:rsidR="00D01AFA" w:rsidRPr="00860642" w:rsidRDefault="00D01AFA"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В целях максимально оперативного осуществления страховых выплат вкладчикам одного из крупнейших банков Поволжья АО АКБ «ГАЗБАНК» (г. Самара) и создания комфортных условий для их получения только в 28 городах и населенных пунктах Самарской области было задействовано около 130 отделений ПАО Сбербанк. При этом страховое возмещение выплачивалось в 20 субъектах Российской Федерации. </w:t>
      </w:r>
    </w:p>
    <w:p w:rsidR="00D01AFA" w:rsidRPr="00860642" w:rsidRDefault="00D01AFA"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В 2018 году произошло 7 страховых случаев по причине добровольной ли</w:t>
      </w:r>
      <w:r w:rsidR="00871C8E">
        <w:rPr>
          <w:rFonts w:ascii="Times New Roman" w:hAnsi="Times New Roman" w:cs="Times New Roman"/>
          <w:sz w:val="28"/>
          <w:szCs w:val="28"/>
        </w:rPr>
        <w:t>квидации кредитных организаций</w:t>
      </w:r>
      <w:r w:rsidRPr="00860642">
        <w:rPr>
          <w:rFonts w:ascii="Times New Roman" w:hAnsi="Times New Roman" w:cs="Times New Roman"/>
          <w:sz w:val="28"/>
          <w:szCs w:val="28"/>
        </w:rPr>
        <w:t xml:space="preserve">, что стало самым большим количеством </w:t>
      </w:r>
      <w:r w:rsidRPr="00860642">
        <w:rPr>
          <w:rFonts w:ascii="Times New Roman" w:hAnsi="Times New Roman" w:cs="Times New Roman"/>
          <w:sz w:val="28"/>
          <w:szCs w:val="28"/>
        </w:rPr>
        <w:lastRenderedPageBreak/>
        <w:t xml:space="preserve">подобных страховых случаев за все время функционирования системы страхования вкладов. Общий объем страховой ответственности Агентства перед вкладчиками этих банков составил 189 млн руб. </w:t>
      </w:r>
    </w:p>
    <w:p w:rsidR="008D27AC" w:rsidRPr="00860642" w:rsidRDefault="008D27AC" w:rsidP="00C31DB9">
      <w:pPr>
        <w:spacing w:after="0" w:line="360" w:lineRule="auto"/>
        <w:ind w:firstLine="709"/>
        <w:jc w:val="both"/>
        <w:rPr>
          <w:rFonts w:ascii="Times New Roman" w:hAnsi="Times New Roman" w:cs="Times New Roman"/>
          <w:spacing w:val="-2"/>
          <w:sz w:val="28"/>
          <w:szCs w:val="28"/>
        </w:rPr>
      </w:pPr>
      <w:r w:rsidRPr="00860642">
        <w:rPr>
          <w:rFonts w:ascii="Times New Roman" w:hAnsi="Times New Roman" w:cs="Times New Roman"/>
          <w:spacing w:val="-2"/>
          <w:sz w:val="28"/>
          <w:szCs w:val="28"/>
        </w:rPr>
        <w:t>На начало 2018 года в ССВ был зарегистрирован 781 банк-участник. В течение года в составе участников ССВ произошли следующие изменения.</w:t>
      </w:r>
    </w:p>
    <w:p w:rsidR="008D27AC" w:rsidRPr="00860642" w:rsidRDefault="008D27AC" w:rsidP="00C31DB9">
      <w:pPr>
        <w:spacing w:after="0" w:line="360" w:lineRule="auto"/>
        <w:ind w:firstLine="680"/>
        <w:jc w:val="both"/>
        <w:rPr>
          <w:rFonts w:ascii="Times New Roman" w:hAnsi="Times New Roman" w:cs="Times New Roman"/>
          <w:spacing w:val="-2"/>
          <w:sz w:val="28"/>
          <w:szCs w:val="28"/>
        </w:rPr>
      </w:pPr>
      <w:r w:rsidRPr="00860642">
        <w:rPr>
          <w:rFonts w:ascii="Times New Roman" w:hAnsi="Times New Roman" w:cs="Times New Roman"/>
          <w:spacing w:val="-2"/>
          <w:sz w:val="28"/>
          <w:szCs w:val="28"/>
        </w:rPr>
        <w:t>Включены в реестр 2 банка: АО «МСП Банк» и АО «МБ Банк» (оба зарегистрированы в Москве).</w:t>
      </w:r>
    </w:p>
    <w:p w:rsidR="008D27AC" w:rsidRPr="00860642" w:rsidRDefault="008D27AC" w:rsidP="00C31DB9">
      <w:pPr>
        <w:spacing w:after="0" w:line="360" w:lineRule="auto"/>
        <w:ind w:firstLine="709"/>
        <w:jc w:val="both"/>
        <w:rPr>
          <w:rFonts w:ascii="Times New Roman" w:hAnsi="Times New Roman" w:cs="Times New Roman"/>
          <w:spacing w:val="-2"/>
          <w:sz w:val="28"/>
          <w:szCs w:val="28"/>
        </w:rPr>
      </w:pPr>
      <w:r w:rsidRPr="00860642">
        <w:rPr>
          <w:rFonts w:ascii="Times New Roman" w:hAnsi="Times New Roman" w:cs="Times New Roman"/>
          <w:sz w:val="28"/>
          <w:szCs w:val="28"/>
        </w:rPr>
        <w:t>Исключено из реестра 26 банков</w:t>
      </w:r>
      <w:r w:rsidRPr="00860642">
        <w:rPr>
          <w:rFonts w:ascii="Times New Roman" w:hAnsi="Times New Roman" w:cs="Times New Roman"/>
          <w:spacing w:val="-2"/>
          <w:sz w:val="28"/>
          <w:szCs w:val="28"/>
        </w:rPr>
        <w:t>, из них:</w:t>
      </w:r>
    </w:p>
    <w:p w:rsidR="008D27AC" w:rsidRPr="00860642" w:rsidRDefault="008D27AC" w:rsidP="00C31DB9">
      <w:pPr>
        <w:spacing w:after="0" w:line="360" w:lineRule="auto"/>
        <w:ind w:firstLine="709"/>
        <w:jc w:val="both"/>
        <w:rPr>
          <w:rFonts w:ascii="Times New Roman" w:hAnsi="Times New Roman" w:cs="Times New Roman"/>
          <w:spacing w:val="-2"/>
          <w:sz w:val="28"/>
          <w:szCs w:val="28"/>
        </w:rPr>
      </w:pPr>
      <w:r w:rsidRPr="00860642">
        <w:rPr>
          <w:rFonts w:ascii="Times New Roman" w:hAnsi="Times New Roman" w:cs="Times New Roman"/>
          <w:spacing w:val="-2"/>
          <w:sz w:val="28"/>
          <w:szCs w:val="28"/>
        </w:rPr>
        <w:t xml:space="preserve">9 банков по причине прекращения их деятельности в связи с реорганизацией в форме присоединения к другим банкам – участникам ССВ; </w:t>
      </w:r>
    </w:p>
    <w:p w:rsidR="008D27AC" w:rsidRPr="00860642" w:rsidRDefault="008D27AC"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pacing w:val="-2"/>
          <w:sz w:val="28"/>
          <w:szCs w:val="28"/>
        </w:rPr>
        <w:t>17 банков</w:t>
      </w:r>
      <w:r w:rsidR="00871C8E">
        <w:rPr>
          <w:rFonts w:ascii="Times New Roman" w:hAnsi="Times New Roman" w:cs="Times New Roman"/>
          <w:spacing w:val="-2"/>
          <w:sz w:val="28"/>
          <w:szCs w:val="28"/>
        </w:rPr>
        <w:t xml:space="preserve"> </w:t>
      </w:r>
      <w:r w:rsidRPr="00860642">
        <w:rPr>
          <w:rFonts w:ascii="Times New Roman" w:hAnsi="Times New Roman" w:cs="Times New Roman"/>
          <w:spacing w:val="-2"/>
          <w:sz w:val="28"/>
          <w:szCs w:val="28"/>
        </w:rPr>
        <w:t>– в связи с завершением их ликвидации</w:t>
      </w:r>
      <w:r w:rsidRPr="00860642">
        <w:rPr>
          <w:rFonts w:ascii="Times New Roman" w:hAnsi="Times New Roman" w:cs="Times New Roman"/>
          <w:sz w:val="28"/>
          <w:szCs w:val="28"/>
        </w:rPr>
        <w:t>.</w:t>
      </w:r>
    </w:p>
    <w:p w:rsidR="008D27AC" w:rsidRPr="00860642" w:rsidRDefault="008D27AC" w:rsidP="00C31DB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pacing w:val="-2"/>
          <w:sz w:val="28"/>
          <w:szCs w:val="28"/>
        </w:rPr>
        <w:t>Изменение состава банков-участников за все время функционирования ССВ отражено в таблице 1.</w:t>
      </w:r>
    </w:p>
    <w:p w:rsidR="008D27AC" w:rsidRPr="00860642" w:rsidRDefault="008D27AC" w:rsidP="008D27AC">
      <w:pPr>
        <w:pStyle w:val="aa"/>
        <w:spacing w:before="0" w:beforeAutospacing="0" w:after="0" w:afterAutospacing="0" w:line="360" w:lineRule="auto"/>
        <w:ind w:firstLine="709"/>
        <w:jc w:val="right"/>
        <w:rPr>
          <w:sz w:val="28"/>
          <w:szCs w:val="28"/>
        </w:rPr>
      </w:pPr>
      <w:r w:rsidRPr="00860642">
        <w:rPr>
          <w:sz w:val="28"/>
          <w:szCs w:val="28"/>
        </w:rPr>
        <w:t xml:space="preserve">Таблица 1 </w:t>
      </w:r>
    </w:p>
    <w:p w:rsidR="008D27AC" w:rsidRPr="00860642" w:rsidRDefault="008D27AC" w:rsidP="008D27AC">
      <w:pPr>
        <w:pStyle w:val="cn"/>
        <w:spacing w:before="0" w:after="0" w:afterAutospacing="0" w:line="360" w:lineRule="auto"/>
        <w:ind w:left="0" w:right="0"/>
        <w:rPr>
          <w:rFonts w:ascii="Times New Roman" w:hAnsi="Times New Roman"/>
          <w:color w:val="auto"/>
          <w:sz w:val="28"/>
          <w:szCs w:val="28"/>
        </w:rPr>
      </w:pPr>
      <w:r w:rsidRPr="00860642">
        <w:rPr>
          <w:rFonts w:ascii="Times New Roman" w:hAnsi="Times New Roman"/>
          <w:color w:val="auto"/>
          <w:sz w:val="28"/>
          <w:szCs w:val="28"/>
        </w:rPr>
        <w:t>Изменение состава банков – участников ССВ</w:t>
      </w:r>
      <w:r w:rsidR="008B4F36">
        <w:rPr>
          <w:rStyle w:val="af2"/>
          <w:rFonts w:ascii="Times New Roman" w:hAnsi="Times New Roman"/>
          <w:color w:val="auto"/>
          <w:sz w:val="28"/>
          <w:szCs w:val="28"/>
        </w:rPr>
        <w:footnoteReference w:id="21"/>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1927"/>
        <w:gridCol w:w="1921"/>
        <w:gridCol w:w="2138"/>
        <w:gridCol w:w="1873"/>
      </w:tblGrid>
      <w:tr w:rsidR="008D27AC" w:rsidRPr="00860642" w:rsidTr="00860642">
        <w:trPr>
          <w:trHeight w:val="880"/>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Год</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 xml:space="preserve">Включено </w:t>
            </w:r>
            <w:r w:rsidRPr="00860642">
              <w:rPr>
                <w:rFonts w:ascii="Times New Roman" w:hAnsi="Times New Roman" w:cs="Times New Roman"/>
                <w:bCs/>
                <w:sz w:val="24"/>
                <w:szCs w:val="24"/>
              </w:rPr>
              <w:br/>
              <w:t>в состав участников</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Исключено из реестра банков</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Число банков в ССВ на конец года</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Страховые случаи в течение года</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2004</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381</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0</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381</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0</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2005</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562</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12</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931</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1</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2006</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10</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7</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934</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9</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2007</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7</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7</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934</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15</w:t>
            </w:r>
          </w:p>
        </w:tc>
      </w:tr>
      <w:tr w:rsidR="008D27AC" w:rsidRPr="00860642" w:rsidTr="00860642">
        <w:trPr>
          <w:trHeight w:val="402"/>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2008</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13</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10</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937</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27</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2009</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7</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19</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925</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31</w:t>
            </w:r>
          </w:p>
        </w:tc>
      </w:tr>
      <w:tr w:rsidR="008D27AC" w:rsidRPr="00860642" w:rsidTr="00860642">
        <w:trPr>
          <w:trHeight w:val="427"/>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2010</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7</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23</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909</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16</w:t>
            </w:r>
          </w:p>
        </w:tc>
      </w:tr>
      <w:tr w:rsidR="008D27AC" w:rsidRPr="00860642" w:rsidTr="00860642">
        <w:trPr>
          <w:trHeight w:val="402"/>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2011</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5</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18</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896</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17</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2012</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7</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12</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891</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14</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2013</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5</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23</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873</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27</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lang w:val="en-US"/>
              </w:rPr>
            </w:pPr>
            <w:r w:rsidRPr="00860642">
              <w:rPr>
                <w:rFonts w:ascii="Times New Roman" w:hAnsi="Times New Roman" w:cs="Times New Roman"/>
                <w:bCs/>
                <w:sz w:val="24"/>
                <w:szCs w:val="24"/>
              </w:rPr>
              <w:t>201</w:t>
            </w:r>
            <w:r w:rsidRPr="00860642">
              <w:rPr>
                <w:rFonts w:ascii="Times New Roman" w:hAnsi="Times New Roman" w:cs="Times New Roman"/>
                <w:bCs/>
                <w:sz w:val="24"/>
                <w:szCs w:val="24"/>
                <w:lang w:val="en-US"/>
              </w:rPr>
              <w:t>4</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3</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16</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860</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61</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2015</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0</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18</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842</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34"/>
              <w:jc w:val="center"/>
              <w:rPr>
                <w:rFonts w:ascii="Times New Roman" w:hAnsi="Times New Roman" w:cs="Times New Roman"/>
                <w:bCs/>
                <w:sz w:val="24"/>
                <w:szCs w:val="24"/>
              </w:rPr>
            </w:pPr>
            <w:r w:rsidRPr="00860642">
              <w:rPr>
                <w:rFonts w:ascii="Times New Roman" w:hAnsi="Times New Roman" w:cs="Times New Roman"/>
                <w:bCs/>
                <w:sz w:val="24"/>
                <w:szCs w:val="24"/>
              </w:rPr>
              <w:t>77</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2016</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2</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36</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808</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88</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lastRenderedPageBreak/>
              <w:t>2017</w:t>
            </w:r>
          </w:p>
        </w:tc>
        <w:tc>
          <w:tcPr>
            <w:tcW w:w="1013"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3</w:t>
            </w:r>
          </w:p>
        </w:tc>
        <w:tc>
          <w:tcPr>
            <w:tcW w:w="1010"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ind w:hanging="40"/>
              <w:jc w:val="center"/>
              <w:rPr>
                <w:rFonts w:ascii="Times New Roman" w:hAnsi="Times New Roman" w:cs="Times New Roman"/>
                <w:bCs/>
                <w:sz w:val="24"/>
                <w:szCs w:val="24"/>
                <w:lang w:val="en-US"/>
              </w:rPr>
            </w:pPr>
            <w:r w:rsidRPr="00860642">
              <w:rPr>
                <w:rFonts w:ascii="Times New Roman" w:hAnsi="Times New Roman" w:cs="Times New Roman"/>
                <w:bCs/>
                <w:sz w:val="24"/>
                <w:szCs w:val="24"/>
                <w:lang w:val="en-US"/>
              </w:rPr>
              <w:t>30</w:t>
            </w:r>
          </w:p>
        </w:tc>
        <w:tc>
          <w:tcPr>
            <w:tcW w:w="1124"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lang w:val="en-US"/>
              </w:rPr>
            </w:pPr>
            <w:r w:rsidRPr="00860642">
              <w:rPr>
                <w:rFonts w:ascii="Times New Roman" w:hAnsi="Times New Roman" w:cs="Times New Roman"/>
                <w:bCs/>
                <w:sz w:val="24"/>
                <w:szCs w:val="24"/>
              </w:rPr>
              <w:t>78</w:t>
            </w:r>
            <w:r w:rsidRPr="00860642">
              <w:rPr>
                <w:rFonts w:ascii="Times New Roman" w:hAnsi="Times New Roman" w:cs="Times New Roman"/>
                <w:bCs/>
                <w:sz w:val="24"/>
                <w:szCs w:val="24"/>
                <w:lang w:val="en-US"/>
              </w:rPr>
              <w:t>1</w:t>
            </w:r>
          </w:p>
        </w:tc>
        <w:tc>
          <w:tcPr>
            <w:tcW w:w="985" w:type="pct"/>
            <w:tcBorders>
              <w:top w:val="single" w:sz="4" w:space="0" w:color="auto"/>
              <w:left w:val="single" w:sz="4" w:space="0" w:color="auto"/>
              <w:bottom w:val="single" w:sz="4" w:space="0" w:color="auto"/>
              <w:right w:val="single" w:sz="4" w:space="0" w:color="auto"/>
            </w:tcBorders>
            <w:hideMark/>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41</w:t>
            </w:r>
          </w:p>
        </w:tc>
      </w:tr>
      <w:tr w:rsidR="008D27AC" w:rsidRPr="00860642" w:rsidTr="00860642">
        <w:trPr>
          <w:trHeight w:val="414"/>
          <w:jc w:val="center"/>
        </w:trPr>
        <w:tc>
          <w:tcPr>
            <w:tcW w:w="868" w:type="pct"/>
            <w:tcBorders>
              <w:top w:val="single" w:sz="4" w:space="0" w:color="auto"/>
              <w:left w:val="single" w:sz="4" w:space="0" w:color="auto"/>
              <w:bottom w:val="single" w:sz="4" w:space="0" w:color="auto"/>
              <w:right w:val="single" w:sz="4" w:space="0" w:color="auto"/>
            </w:tcBorders>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2018</w:t>
            </w:r>
          </w:p>
        </w:tc>
        <w:tc>
          <w:tcPr>
            <w:tcW w:w="1013" w:type="pct"/>
            <w:tcBorders>
              <w:top w:val="single" w:sz="4" w:space="0" w:color="auto"/>
              <w:left w:val="single" w:sz="4" w:space="0" w:color="auto"/>
              <w:bottom w:val="single" w:sz="4" w:space="0" w:color="auto"/>
              <w:right w:val="single" w:sz="4" w:space="0" w:color="auto"/>
            </w:tcBorders>
          </w:tcPr>
          <w:p w:rsidR="008D27AC" w:rsidRPr="00860642" w:rsidRDefault="008D27AC" w:rsidP="00871C8E">
            <w:pPr>
              <w:spacing w:after="0" w:line="240" w:lineRule="auto"/>
              <w:ind w:firstLine="58"/>
              <w:jc w:val="center"/>
              <w:rPr>
                <w:rFonts w:ascii="Times New Roman" w:hAnsi="Times New Roman" w:cs="Times New Roman"/>
                <w:bCs/>
                <w:sz w:val="24"/>
                <w:szCs w:val="24"/>
              </w:rPr>
            </w:pPr>
            <w:r w:rsidRPr="00860642">
              <w:rPr>
                <w:rFonts w:ascii="Times New Roman" w:hAnsi="Times New Roman" w:cs="Times New Roman"/>
                <w:bCs/>
                <w:sz w:val="24"/>
                <w:szCs w:val="24"/>
              </w:rPr>
              <w:t>2</w:t>
            </w:r>
          </w:p>
        </w:tc>
        <w:tc>
          <w:tcPr>
            <w:tcW w:w="1010" w:type="pct"/>
            <w:tcBorders>
              <w:top w:val="single" w:sz="4" w:space="0" w:color="auto"/>
              <w:left w:val="single" w:sz="4" w:space="0" w:color="auto"/>
              <w:bottom w:val="single" w:sz="4" w:space="0" w:color="auto"/>
              <w:right w:val="single" w:sz="4" w:space="0" w:color="auto"/>
            </w:tcBorders>
          </w:tcPr>
          <w:p w:rsidR="008D27AC" w:rsidRPr="00860642" w:rsidRDefault="008D27AC" w:rsidP="00871C8E">
            <w:pPr>
              <w:spacing w:after="0" w:line="240" w:lineRule="auto"/>
              <w:ind w:hanging="40"/>
              <w:jc w:val="center"/>
              <w:rPr>
                <w:rFonts w:ascii="Times New Roman" w:hAnsi="Times New Roman" w:cs="Times New Roman"/>
                <w:bCs/>
                <w:sz w:val="24"/>
                <w:szCs w:val="24"/>
              </w:rPr>
            </w:pPr>
            <w:r w:rsidRPr="00860642">
              <w:rPr>
                <w:rFonts w:ascii="Times New Roman" w:hAnsi="Times New Roman" w:cs="Times New Roman"/>
                <w:bCs/>
                <w:sz w:val="24"/>
                <w:szCs w:val="24"/>
              </w:rPr>
              <w:t>26</w:t>
            </w:r>
          </w:p>
        </w:tc>
        <w:tc>
          <w:tcPr>
            <w:tcW w:w="1124" w:type="pct"/>
            <w:tcBorders>
              <w:top w:val="single" w:sz="4" w:space="0" w:color="auto"/>
              <w:left w:val="single" w:sz="4" w:space="0" w:color="auto"/>
              <w:bottom w:val="single" w:sz="4" w:space="0" w:color="auto"/>
              <w:right w:val="single" w:sz="4" w:space="0" w:color="auto"/>
            </w:tcBorders>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757</w:t>
            </w:r>
          </w:p>
        </w:tc>
        <w:tc>
          <w:tcPr>
            <w:tcW w:w="985" w:type="pct"/>
            <w:tcBorders>
              <w:top w:val="single" w:sz="4" w:space="0" w:color="auto"/>
              <w:left w:val="single" w:sz="4" w:space="0" w:color="auto"/>
              <w:bottom w:val="single" w:sz="4" w:space="0" w:color="auto"/>
              <w:right w:val="single" w:sz="4" w:space="0" w:color="auto"/>
            </w:tcBorders>
          </w:tcPr>
          <w:p w:rsidR="008D27AC" w:rsidRPr="00860642" w:rsidRDefault="008D27AC" w:rsidP="00871C8E">
            <w:pPr>
              <w:spacing w:after="0" w:line="240" w:lineRule="auto"/>
              <w:jc w:val="center"/>
              <w:rPr>
                <w:rFonts w:ascii="Times New Roman" w:hAnsi="Times New Roman" w:cs="Times New Roman"/>
                <w:bCs/>
                <w:sz w:val="24"/>
                <w:szCs w:val="24"/>
              </w:rPr>
            </w:pPr>
            <w:r w:rsidRPr="00860642">
              <w:rPr>
                <w:rFonts w:ascii="Times New Roman" w:hAnsi="Times New Roman" w:cs="Times New Roman"/>
                <w:bCs/>
                <w:sz w:val="24"/>
                <w:szCs w:val="24"/>
              </w:rPr>
              <w:t>57</w:t>
            </w:r>
          </w:p>
        </w:tc>
      </w:tr>
    </w:tbl>
    <w:p w:rsidR="00C31DB9" w:rsidRPr="00860642" w:rsidRDefault="00C31DB9" w:rsidP="00C31DB9">
      <w:pPr>
        <w:spacing w:after="0" w:line="360" w:lineRule="auto"/>
        <w:ind w:firstLine="680"/>
        <w:jc w:val="both"/>
        <w:rPr>
          <w:rFonts w:ascii="Times New Roman" w:hAnsi="Times New Roman" w:cs="Times New Roman"/>
          <w:spacing w:val="-2"/>
          <w:sz w:val="28"/>
          <w:szCs w:val="28"/>
        </w:rPr>
      </w:pPr>
    </w:p>
    <w:p w:rsidR="008D27AC" w:rsidRPr="00860642" w:rsidRDefault="008D27AC" w:rsidP="00C31DB9">
      <w:pPr>
        <w:spacing w:after="0" w:line="360" w:lineRule="auto"/>
        <w:ind w:firstLine="680"/>
        <w:jc w:val="both"/>
        <w:rPr>
          <w:rFonts w:ascii="Times New Roman" w:hAnsi="Times New Roman" w:cs="Times New Roman"/>
          <w:spacing w:val="-2"/>
          <w:sz w:val="28"/>
          <w:szCs w:val="28"/>
        </w:rPr>
      </w:pPr>
      <w:r w:rsidRPr="00860642">
        <w:rPr>
          <w:rFonts w:ascii="Times New Roman" w:hAnsi="Times New Roman" w:cs="Times New Roman"/>
          <w:spacing w:val="-2"/>
          <w:sz w:val="28"/>
          <w:szCs w:val="28"/>
        </w:rPr>
        <w:t xml:space="preserve">Таким образом, по состоянию на 31 декабря 2018 г. в ССВ было зарегистрировано 757 банков, в т.ч.: </w:t>
      </w:r>
    </w:p>
    <w:p w:rsidR="008D27AC" w:rsidRPr="00860642" w:rsidRDefault="008D27AC" w:rsidP="00C31DB9">
      <w:pPr>
        <w:spacing w:after="0" w:line="360" w:lineRule="auto"/>
        <w:ind w:firstLine="680"/>
        <w:jc w:val="both"/>
        <w:rPr>
          <w:rFonts w:ascii="Times New Roman" w:hAnsi="Times New Roman" w:cs="Times New Roman"/>
          <w:spacing w:val="-2"/>
          <w:sz w:val="28"/>
          <w:szCs w:val="28"/>
        </w:rPr>
      </w:pPr>
      <w:r w:rsidRPr="00860642">
        <w:rPr>
          <w:rFonts w:ascii="Times New Roman" w:hAnsi="Times New Roman" w:cs="Times New Roman"/>
          <w:spacing w:val="-2"/>
          <w:sz w:val="28"/>
          <w:szCs w:val="28"/>
        </w:rPr>
        <w:t>- 400 действующих банков, имеющих лицензию на работу с физическими лицами (</w:t>
      </w:r>
      <w:r w:rsidRPr="00860642">
        <w:rPr>
          <w:rFonts w:ascii="Times New Roman" w:hAnsi="Times New Roman" w:cs="Times New Roman"/>
          <w:sz w:val="28"/>
          <w:szCs w:val="28"/>
        </w:rPr>
        <w:t>268 банков с универсальной лицензией, включая 11 системно значимых, и 132 банка с базовой лицензией)</w:t>
      </w:r>
      <w:r w:rsidRPr="00860642">
        <w:rPr>
          <w:rFonts w:ascii="Times New Roman" w:hAnsi="Times New Roman" w:cs="Times New Roman"/>
          <w:spacing w:val="-2"/>
          <w:sz w:val="28"/>
          <w:szCs w:val="28"/>
        </w:rPr>
        <w:t xml:space="preserve">; </w:t>
      </w:r>
    </w:p>
    <w:p w:rsidR="008D27AC" w:rsidRPr="00860642" w:rsidRDefault="008D27AC" w:rsidP="00C31DB9">
      <w:pPr>
        <w:spacing w:after="0" w:line="360" w:lineRule="auto"/>
        <w:ind w:firstLine="680"/>
        <w:jc w:val="both"/>
        <w:rPr>
          <w:rFonts w:ascii="Times New Roman" w:hAnsi="Times New Roman" w:cs="Times New Roman"/>
          <w:spacing w:val="-2"/>
          <w:sz w:val="28"/>
          <w:szCs w:val="28"/>
        </w:rPr>
      </w:pPr>
      <w:r w:rsidRPr="00860642">
        <w:rPr>
          <w:rFonts w:ascii="Times New Roman" w:hAnsi="Times New Roman" w:cs="Times New Roman"/>
          <w:spacing w:val="-2"/>
          <w:sz w:val="28"/>
          <w:szCs w:val="28"/>
        </w:rPr>
        <w:t xml:space="preserve">- 7 кредитных организаций, формально остающихся в ССВ, но утративших право на открытие новых счетов и прием во вклады средств физических лиц; </w:t>
      </w:r>
    </w:p>
    <w:p w:rsidR="008D27AC" w:rsidRPr="00860642" w:rsidRDefault="008D27AC" w:rsidP="00C31DB9">
      <w:pPr>
        <w:spacing w:after="0" w:line="360" w:lineRule="auto"/>
        <w:ind w:firstLine="680"/>
        <w:jc w:val="both"/>
        <w:rPr>
          <w:rFonts w:ascii="Times New Roman" w:hAnsi="Times New Roman" w:cs="Times New Roman"/>
          <w:sz w:val="28"/>
          <w:szCs w:val="28"/>
        </w:rPr>
      </w:pPr>
      <w:r w:rsidRPr="00860642">
        <w:rPr>
          <w:rFonts w:ascii="Times New Roman" w:hAnsi="Times New Roman" w:cs="Times New Roman"/>
          <w:spacing w:val="-2"/>
          <w:sz w:val="28"/>
          <w:szCs w:val="28"/>
        </w:rPr>
        <w:t>- 350 банков, находящихся в процессе конкурсного производства (ликвидации).</w:t>
      </w:r>
    </w:p>
    <w:p w:rsidR="00ED73E0" w:rsidRPr="00860642" w:rsidRDefault="00ED73E0" w:rsidP="0019447D">
      <w:pPr>
        <w:tabs>
          <w:tab w:val="left" w:pos="1418"/>
        </w:tabs>
        <w:spacing w:after="0" w:line="360" w:lineRule="auto"/>
        <w:ind w:firstLine="709"/>
        <w:jc w:val="both"/>
        <w:rPr>
          <w:rFonts w:ascii="Times New Roman" w:hAnsi="Times New Roman" w:cs="Times New Roman"/>
          <w:sz w:val="28"/>
          <w:szCs w:val="28"/>
        </w:rPr>
      </w:pPr>
    </w:p>
    <w:p w:rsidR="0019447D" w:rsidRDefault="0019447D" w:rsidP="0019447D">
      <w:pPr>
        <w:pStyle w:val="1"/>
        <w:spacing w:before="0" w:line="360" w:lineRule="auto"/>
        <w:ind w:firstLine="709"/>
        <w:jc w:val="center"/>
        <w:rPr>
          <w:rFonts w:ascii="Times New Roman" w:hAnsi="Times New Roman" w:cs="Times New Roman"/>
          <w:b w:val="0"/>
          <w:color w:val="auto"/>
        </w:rPr>
      </w:pPr>
      <w:bookmarkStart w:id="9" w:name="_Toc6150526"/>
      <w:r>
        <w:rPr>
          <w:rFonts w:ascii="Times New Roman" w:hAnsi="Times New Roman" w:cs="Times New Roman"/>
          <w:b w:val="0"/>
          <w:color w:val="auto"/>
        </w:rPr>
        <w:t>2.</w:t>
      </w:r>
      <w:r w:rsidR="00860642" w:rsidRPr="00860642">
        <w:rPr>
          <w:rFonts w:ascii="Times New Roman" w:hAnsi="Times New Roman" w:cs="Times New Roman"/>
          <w:b w:val="0"/>
          <w:color w:val="auto"/>
        </w:rPr>
        <w:t>3. П</w:t>
      </w:r>
      <w:r>
        <w:rPr>
          <w:rFonts w:ascii="Times New Roman" w:hAnsi="Times New Roman" w:cs="Times New Roman"/>
          <w:b w:val="0"/>
          <w:color w:val="auto"/>
        </w:rPr>
        <w:t>роблемы и перспективы развития системы гарантирования вкладов</w:t>
      </w:r>
      <w:bookmarkEnd w:id="9"/>
    </w:p>
    <w:p w:rsidR="0019447D" w:rsidRDefault="0019447D" w:rsidP="0019447D">
      <w:pPr>
        <w:tabs>
          <w:tab w:val="left" w:pos="1418"/>
        </w:tabs>
        <w:spacing w:after="0" w:line="360" w:lineRule="auto"/>
        <w:ind w:firstLine="709"/>
        <w:jc w:val="both"/>
        <w:rPr>
          <w:rFonts w:ascii="Times New Roman" w:hAnsi="Times New Roman" w:cs="Times New Roman"/>
          <w:sz w:val="28"/>
          <w:szCs w:val="28"/>
        </w:rPr>
      </w:pPr>
    </w:p>
    <w:p w:rsidR="00860642" w:rsidRPr="00860642" w:rsidRDefault="00860642" w:rsidP="0019447D">
      <w:pPr>
        <w:tabs>
          <w:tab w:val="left" w:pos="1418"/>
        </w:tabs>
        <w:spacing w:after="0" w:line="360" w:lineRule="auto"/>
        <w:ind w:firstLine="709"/>
        <w:jc w:val="both"/>
        <w:rPr>
          <w:rFonts w:ascii="Times New Roman" w:hAnsi="Times New Roman" w:cs="Times New Roman"/>
          <w:sz w:val="28"/>
          <w:szCs w:val="28"/>
          <w:shd w:val="clear" w:color="auto" w:fill="FFFFFF"/>
        </w:rPr>
      </w:pPr>
      <w:r w:rsidRPr="00860642">
        <w:rPr>
          <w:rFonts w:ascii="Times New Roman" w:hAnsi="Times New Roman" w:cs="Times New Roman"/>
          <w:sz w:val="28"/>
          <w:szCs w:val="28"/>
        </w:rPr>
        <w:t xml:space="preserve">Создание системы страхования вкладов продиктовано в первую очередь необходимостью противостоять последствиям кризисных явлений в банковской сфере. Эта система является гарантией компенсации потерь вкладчиков и одним из условий стабильности финансовой системы </w:t>
      </w:r>
      <w:r w:rsidRPr="00860642">
        <w:rPr>
          <w:rStyle w:val="af2"/>
          <w:rFonts w:ascii="Times New Roman" w:hAnsi="Times New Roman"/>
          <w:sz w:val="28"/>
          <w:szCs w:val="28"/>
        </w:rPr>
        <w:footnoteReference w:id="22"/>
      </w:r>
      <w:r w:rsidRPr="00860642">
        <w:rPr>
          <w:rFonts w:ascii="Times New Roman" w:hAnsi="Times New Roman" w:cs="Times New Roman"/>
          <w:sz w:val="28"/>
          <w:szCs w:val="28"/>
        </w:rPr>
        <w:t xml:space="preserve">. </w:t>
      </w:r>
    </w:p>
    <w:p w:rsidR="005832CA" w:rsidRPr="00860642" w:rsidRDefault="00C927B5" w:rsidP="008B4F36">
      <w:pPr>
        <w:tabs>
          <w:tab w:val="left" w:pos="1418"/>
        </w:tabs>
        <w:spacing w:after="0" w:line="360" w:lineRule="auto"/>
        <w:ind w:right="-2" w:firstLine="709"/>
        <w:jc w:val="both"/>
        <w:rPr>
          <w:rFonts w:ascii="Times New Roman" w:hAnsi="Times New Roman" w:cs="Times New Roman"/>
          <w:sz w:val="28"/>
          <w:szCs w:val="28"/>
          <w:shd w:val="clear" w:color="auto" w:fill="FFFFFF"/>
        </w:rPr>
      </w:pPr>
      <w:r w:rsidRPr="00860642">
        <w:rPr>
          <w:rFonts w:ascii="Times New Roman" w:hAnsi="Times New Roman" w:cs="Times New Roman"/>
          <w:sz w:val="28"/>
          <w:szCs w:val="28"/>
          <w:shd w:val="clear" w:color="auto" w:fill="FFFFFF"/>
        </w:rPr>
        <w:t xml:space="preserve">В современных условиях действия Центрального Банка РФ, которые направлены на «оздоровление» банковского сектора, приводят к росту страховых случаев. Количество банков, у которых Банк России отзывает лицензии, постоянно растет. Процесс формирования фонда требует времени, в то время как Банк России осуществляет активную политику по отзыву лицензий. </w:t>
      </w:r>
    </w:p>
    <w:p w:rsidR="005832CA" w:rsidRPr="00860642" w:rsidRDefault="00C927B5" w:rsidP="008B4F36">
      <w:pPr>
        <w:tabs>
          <w:tab w:val="left" w:pos="1418"/>
        </w:tabs>
        <w:spacing w:after="0" w:line="360" w:lineRule="auto"/>
        <w:ind w:right="-2" w:firstLine="709"/>
        <w:jc w:val="both"/>
        <w:rPr>
          <w:rFonts w:ascii="Times New Roman" w:hAnsi="Times New Roman" w:cs="Times New Roman"/>
          <w:sz w:val="28"/>
          <w:szCs w:val="28"/>
          <w:shd w:val="clear" w:color="auto" w:fill="FFFFFF"/>
        </w:rPr>
      </w:pPr>
      <w:r w:rsidRPr="00860642">
        <w:rPr>
          <w:rFonts w:ascii="Times New Roman" w:hAnsi="Times New Roman" w:cs="Times New Roman"/>
          <w:sz w:val="28"/>
          <w:szCs w:val="28"/>
          <w:shd w:val="clear" w:color="auto" w:fill="FFFFFF"/>
        </w:rPr>
        <w:t>В настоящее время решением данно</w:t>
      </w:r>
      <w:r w:rsidR="00860642">
        <w:rPr>
          <w:rFonts w:ascii="Times New Roman" w:hAnsi="Times New Roman" w:cs="Times New Roman"/>
          <w:sz w:val="28"/>
          <w:szCs w:val="28"/>
          <w:shd w:val="clear" w:color="auto" w:fill="FFFFFF"/>
        </w:rPr>
        <w:t>й проблемы выступает один путь -</w:t>
      </w:r>
      <w:r w:rsidRPr="00860642">
        <w:rPr>
          <w:rFonts w:ascii="Times New Roman" w:hAnsi="Times New Roman" w:cs="Times New Roman"/>
          <w:sz w:val="28"/>
          <w:szCs w:val="28"/>
          <w:shd w:val="clear" w:color="auto" w:fill="FFFFFF"/>
        </w:rPr>
        <w:t xml:space="preserve"> кредитование Банком России АСВ на особенных условиях. Также проблемой </w:t>
      </w:r>
      <w:r w:rsidRPr="00860642">
        <w:rPr>
          <w:rFonts w:ascii="Times New Roman" w:hAnsi="Times New Roman" w:cs="Times New Roman"/>
          <w:sz w:val="28"/>
          <w:szCs w:val="28"/>
          <w:shd w:val="clear" w:color="auto" w:fill="FFFFFF"/>
        </w:rPr>
        <w:lastRenderedPageBreak/>
        <w:t xml:space="preserve">является то, что не все коммерческие банки входят в систему страхования вкладов, тем самым у вкладчиков появляются риски по невозврату денежных средств при возникновении страхового случая. </w:t>
      </w:r>
    </w:p>
    <w:p w:rsidR="005832CA" w:rsidRPr="00860642" w:rsidRDefault="00C927B5" w:rsidP="008B4F36">
      <w:pPr>
        <w:tabs>
          <w:tab w:val="left" w:pos="1418"/>
        </w:tabs>
        <w:spacing w:after="0" w:line="360" w:lineRule="auto"/>
        <w:ind w:right="-2" w:firstLine="709"/>
        <w:jc w:val="both"/>
        <w:rPr>
          <w:rFonts w:ascii="Times New Roman" w:hAnsi="Times New Roman" w:cs="Times New Roman"/>
          <w:sz w:val="28"/>
          <w:szCs w:val="28"/>
          <w:shd w:val="clear" w:color="auto" w:fill="FFFFFF"/>
        </w:rPr>
      </w:pPr>
      <w:r w:rsidRPr="00860642">
        <w:rPr>
          <w:rFonts w:ascii="Times New Roman" w:hAnsi="Times New Roman" w:cs="Times New Roman"/>
          <w:sz w:val="28"/>
          <w:szCs w:val="28"/>
          <w:shd w:val="clear" w:color="auto" w:fill="FFFFFF"/>
        </w:rPr>
        <w:t xml:space="preserve">В настоящее время возникает большое количество проблем, которые связаны с мошенничеством в сфере страхования вкладов: дробление вкладов, искусственное формирование вкладов с целью неправомерного получения страхового возмещения (фиктивные вклады). </w:t>
      </w:r>
    </w:p>
    <w:p w:rsidR="005832CA" w:rsidRPr="00860642" w:rsidRDefault="00C927B5" w:rsidP="008B4F36">
      <w:pPr>
        <w:tabs>
          <w:tab w:val="left" w:pos="1418"/>
        </w:tabs>
        <w:spacing w:after="0" w:line="360" w:lineRule="auto"/>
        <w:ind w:right="-2" w:firstLine="709"/>
        <w:jc w:val="both"/>
        <w:rPr>
          <w:rFonts w:ascii="Times New Roman" w:hAnsi="Times New Roman" w:cs="Times New Roman"/>
          <w:sz w:val="28"/>
          <w:szCs w:val="28"/>
          <w:shd w:val="clear" w:color="auto" w:fill="FFFFFF"/>
        </w:rPr>
      </w:pPr>
      <w:r w:rsidRPr="00860642">
        <w:rPr>
          <w:rFonts w:ascii="Times New Roman" w:hAnsi="Times New Roman" w:cs="Times New Roman"/>
          <w:sz w:val="28"/>
          <w:szCs w:val="28"/>
          <w:shd w:val="clear" w:color="auto" w:fill="FFFFFF"/>
        </w:rPr>
        <w:t xml:space="preserve">В России отсутствует страхование депозитов юридических лиц, что приводит к значительным потерям денежных средств корпоративного сектора. Указанную проблему можно решить несколькими путями: введение обязательного страхования депозитов корпоративного сектора в определенных пределах (аналогично страхованию вкладов физических лиц) и развитие добровольного страхования депозитов корпоративного сектора. </w:t>
      </w:r>
    </w:p>
    <w:p w:rsidR="005832CA" w:rsidRPr="00860642" w:rsidRDefault="00C927B5" w:rsidP="008B4F36">
      <w:pPr>
        <w:tabs>
          <w:tab w:val="left" w:pos="1418"/>
        </w:tabs>
        <w:spacing w:after="0" w:line="360" w:lineRule="auto"/>
        <w:ind w:right="-2" w:firstLine="709"/>
        <w:jc w:val="both"/>
        <w:rPr>
          <w:rFonts w:ascii="Times New Roman" w:hAnsi="Times New Roman" w:cs="Times New Roman"/>
          <w:sz w:val="28"/>
          <w:szCs w:val="28"/>
        </w:rPr>
      </w:pPr>
      <w:r w:rsidRPr="00860642">
        <w:rPr>
          <w:rFonts w:ascii="Times New Roman" w:hAnsi="Times New Roman" w:cs="Times New Roman"/>
          <w:sz w:val="28"/>
          <w:szCs w:val="28"/>
          <w:shd w:val="clear" w:color="auto" w:fill="FFFFFF"/>
        </w:rPr>
        <w:t>В рамках общей финансовой неграмотности населения в Российской Федерации существует и проблема неграмотности граждан в области страхования, в том числе страхования вкладов. За высокими процентными ставками, которые привлекают вкладчиков, зачастую скрываются риски, которые связаны с финансовой неустойчивостью, а впоследствии предстоящим банкротством коммерческого банка. Клиенты мало осведомлены о реальном финансовом положении кредитных организаций</w:t>
      </w:r>
      <w:r w:rsidRPr="00860642">
        <w:rPr>
          <w:rStyle w:val="af2"/>
          <w:rFonts w:ascii="Times New Roman" w:hAnsi="Times New Roman"/>
          <w:sz w:val="28"/>
          <w:szCs w:val="28"/>
          <w:shd w:val="clear" w:color="auto" w:fill="FFFFFF"/>
        </w:rPr>
        <w:footnoteReference w:id="23"/>
      </w:r>
      <w:r w:rsidRPr="00860642">
        <w:rPr>
          <w:rFonts w:ascii="Times New Roman" w:hAnsi="Times New Roman" w:cs="Times New Roman"/>
          <w:sz w:val="28"/>
          <w:szCs w:val="28"/>
          <w:shd w:val="clear" w:color="auto" w:fill="FFFFFF"/>
        </w:rPr>
        <w:t>.</w:t>
      </w:r>
    </w:p>
    <w:p w:rsidR="00871C8E" w:rsidRDefault="007D7FBC" w:rsidP="008B4F36">
      <w:pPr>
        <w:tabs>
          <w:tab w:val="left" w:pos="1418"/>
        </w:tabs>
        <w:spacing w:after="0" w:line="360" w:lineRule="auto"/>
        <w:ind w:right="-2"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Государство на законодательном уровне обеспечивает защиту вкладчиков, как слабой стороны договора вклада. Закономерно, что масштабное аннулирование лицензий банков и последствия для лиц, вложивших свои сбережения во вклады в этих банках, не могли не иметь последствий, выразившихся в снижении доверия граждан к банковской системе. </w:t>
      </w:r>
    </w:p>
    <w:p w:rsidR="00860642" w:rsidRDefault="007D7FBC" w:rsidP="008B4F36">
      <w:pPr>
        <w:tabs>
          <w:tab w:val="left" w:pos="1418"/>
        </w:tabs>
        <w:spacing w:after="0" w:line="360" w:lineRule="auto"/>
        <w:ind w:right="-2"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Несмотря на то, что в заявлениях руководства Банка России звучат высказывания о завершении процесса выведения недобросовестных банков с </w:t>
      </w:r>
      <w:r w:rsidRPr="00860642">
        <w:rPr>
          <w:rFonts w:ascii="Times New Roman" w:hAnsi="Times New Roman" w:cs="Times New Roman"/>
          <w:sz w:val="28"/>
          <w:szCs w:val="28"/>
        </w:rPr>
        <w:lastRenderedPageBreak/>
        <w:t xml:space="preserve">финансового рынка и ожидании снижения </w:t>
      </w:r>
      <w:r w:rsidR="005832CA" w:rsidRPr="00860642">
        <w:rPr>
          <w:rFonts w:ascii="Times New Roman" w:hAnsi="Times New Roman" w:cs="Times New Roman"/>
          <w:sz w:val="28"/>
          <w:szCs w:val="28"/>
        </w:rPr>
        <w:t>количества страховых случаев</w:t>
      </w:r>
      <w:r w:rsidRPr="00860642">
        <w:rPr>
          <w:rFonts w:ascii="Times New Roman" w:hAnsi="Times New Roman" w:cs="Times New Roman"/>
          <w:sz w:val="28"/>
          <w:szCs w:val="28"/>
        </w:rPr>
        <w:t>, число отозванных банковских лицензий остается высоким: 2016 год – 93 лице</w:t>
      </w:r>
      <w:r w:rsidR="00860642">
        <w:rPr>
          <w:rFonts w:ascii="Times New Roman" w:hAnsi="Times New Roman" w:cs="Times New Roman"/>
          <w:sz w:val="28"/>
          <w:szCs w:val="28"/>
        </w:rPr>
        <w:t>нзии, 2017 год – 47 лицензий</w:t>
      </w:r>
      <w:r w:rsidRPr="00860642">
        <w:rPr>
          <w:rFonts w:ascii="Times New Roman" w:hAnsi="Times New Roman" w:cs="Times New Roman"/>
          <w:sz w:val="28"/>
          <w:szCs w:val="28"/>
        </w:rPr>
        <w:t>, за 9 мес</w:t>
      </w:r>
      <w:r w:rsidR="00860642">
        <w:rPr>
          <w:rFonts w:ascii="Times New Roman" w:hAnsi="Times New Roman" w:cs="Times New Roman"/>
          <w:sz w:val="28"/>
          <w:szCs w:val="28"/>
        </w:rPr>
        <w:t>яцев 2018 года – 48 лицензий</w:t>
      </w:r>
      <w:r w:rsidRPr="00860642">
        <w:rPr>
          <w:rFonts w:ascii="Times New Roman" w:hAnsi="Times New Roman" w:cs="Times New Roman"/>
          <w:sz w:val="28"/>
          <w:szCs w:val="28"/>
        </w:rPr>
        <w:t xml:space="preserve">. </w:t>
      </w:r>
    </w:p>
    <w:p w:rsidR="00871C8E" w:rsidRDefault="007D7FBC" w:rsidP="008B4F36">
      <w:pPr>
        <w:tabs>
          <w:tab w:val="left" w:pos="1418"/>
        </w:tabs>
        <w:spacing w:after="0" w:line="360" w:lineRule="auto"/>
        <w:ind w:right="-2" w:firstLine="709"/>
        <w:jc w:val="both"/>
        <w:rPr>
          <w:rFonts w:ascii="Times New Roman" w:hAnsi="Times New Roman" w:cs="Times New Roman"/>
          <w:sz w:val="28"/>
          <w:szCs w:val="28"/>
        </w:rPr>
      </w:pPr>
      <w:r w:rsidRPr="00860642">
        <w:rPr>
          <w:rFonts w:ascii="Times New Roman" w:hAnsi="Times New Roman" w:cs="Times New Roman"/>
          <w:sz w:val="28"/>
          <w:szCs w:val="28"/>
        </w:rPr>
        <w:t>То есть, владельцы вкладов продолжают нести большие потери, доверие к банковской системе падает. В свете сложившейся ситуации, несмотря на постепенное увеличение суммы страховой выплаты за время действия закона об обязательном страхов</w:t>
      </w:r>
      <w:r w:rsidR="00860642">
        <w:rPr>
          <w:rFonts w:ascii="Times New Roman" w:hAnsi="Times New Roman" w:cs="Times New Roman"/>
          <w:sz w:val="28"/>
          <w:szCs w:val="28"/>
        </w:rPr>
        <w:t>ании вкладов</w:t>
      </w:r>
      <w:r w:rsidRPr="00860642">
        <w:rPr>
          <w:rFonts w:ascii="Times New Roman" w:hAnsi="Times New Roman" w:cs="Times New Roman"/>
          <w:sz w:val="28"/>
          <w:szCs w:val="28"/>
        </w:rPr>
        <w:t xml:space="preserve"> со 100 тыс. руб. в 2003 году до 700 тыс. руб. в 2008, затем до 1,4 млн. руб. в 2014 году, уровень ее остается достаточно низким для решения задачи увеличения притока капитала в банковский сектор и финансирования экономики. Постепенное увеличение суммы компенсации стало больше номинальным на фоне падения курса рубля. В ближайшем будущем предполагается внесение изменения в законодательство с целью увеличения размера страховой выплаты для некоторых категорий вкладчиков банков, лишившихся лицензии, в том числе, в связи с большим количеством оспариваемых выплат. </w:t>
      </w:r>
    </w:p>
    <w:p w:rsidR="007D7FBC" w:rsidRPr="00860642" w:rsidRDefault="007D7FBC" w:rsidP="008B4F36">
      <w:pPr>
        <w:tabs>
          <w:tab w:val="left" w:pos="1418"/>
        </w:tabs>
        <w:spacing w:after="0" w:line="360" w:lineRule="auto"/>
        <w:ind w:right="-2" w:firstLine="709"/>
        <w:jc w:val="both"/>
        <w:rPr>
          <w:rFonts w:ascii="Times New Roman" w:hAnsi="Times New Roman" w:cs="Times New Roman"/>
          <w:sz w:val="28"/>
          <w:szCs w:val="28"/>
        </w:rPr>
      </w:pPr>
      <w:r w:rsidRPr="00860642">
        <w:rPr>
          <w:rFonts w:ascii="Times New Roman" w:hAnsi="Times New Roman" w:cs="Times New Roman"/>
          <w:sz w:val="28"/>
          <w:szCs w:val="28"/>
        </w:rPr>
        <w:t>Отдельно стоит остановиться на некоторых проблемах участников ССВ, возникающих при спорных ситуациях при выплате страхового возмещения, и выносимых в связи с этим в судебную плоскость из-за многочисленности недобросовестных практик, как банков, так и вкладчиков. АСВ, выполняя функции конкурсного управляющего при банкротстве кредитных организаций согласно закону о несо</w:t>
      </w:r>
      <w:r w:rsidR="00860642">
        <w:rPr>
          <w:rFonts w:ascii="Times New Roman" w:hAnsi="Times New Roman" w:cs="Times New Roman"/>
          <w:sz w:val="28"/>
          <w:szCs w:val="28"/>
        </w:rPr>
        <w:t>стоятельности и банкротстве</w:t>
      </w:r>
      <w:r w:rsidRPr="00860642">
        <w:rPr>
          <w:rFonts w:ascii="Times New Roman" w:hAnsi="Times New Roman" w:cs="Times New Roman"/>
          <w:sz w:val="28"/>
          <w:szCs w:val="28"/>
        </w:rPr>
        <w:t xml:space="preserve">, имеет право и обязано оспаривать сделки должника, также указанный закон предусматривает основания для признания сделок недействительными. На основании проводимого АСВ анализа сведений из информационных систем банков было обнаружено значительное количество сомнительных операций по снятию физлицами денег со своих вкладов, операции эти имели признаки предпочтительного удовлетворения требований отдельных кредиторов в ущерб другим (т.н. сделки с предпочтением, ст. 61.3 закона о банкротстве). </w:t>
      </w:r>
    </w:p>
    <w:p w:rsidR="002B34C9" w:rsidRDefault="003E0376" w:rsidP="008B4F36">
      <w:pPr>
        <w:tabs>
          <w:tab w:val="left" w:pos="1418"/>
        </w:tabs>
        <w:spacing w:after="0" w:line="360" w:lineRule="auto"/>
        <w:ind w:right="-2"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На сегодняшний день в подавляющем большинстве мировой опыт демонстрирует положительное влияние введения системы страхования </w:t>
      </w:r>
      <w:r w:rsidRPr="00860642">
        <w:rPr>
          <w:rFonts w:ascii="Times New Roman" w:hAnsi="Times New Roman" w:cs="Times New Roman"/>
          <w:sz w:val="28"/>
          <w:szCs w:val="28"/>
        </w:rPr>
        <w:lastRenderedPageBreak/>
        <w:t>вкладов на развитие финансового и банковского секторов в стране. По нашему мнению, воздействие системы страхования вкладов на финансовый рынок, ее характер и интенсивность зависят в первую очередь от причин и мотивов, лежащих в основе ее формирования, а также в связи с существующей макроэкономической ситуацией, которая способствует процессу создания и дальнейшего развит</w:t>
      </w:r>
      <w:r w:rsidR="002B34C9">
        <w:rPr>
          <w:rFonts w:ascii="Times New Roman" w:hAnsi="Times New Roman" w:cs="Times New Roman"/>
          <w:sz w:val="28"/>
          <w:szCs w:val="28"/>
        </w:rPr>
        <w:t>ия системы страхования вкладов.</w:t>
      </w:r>
    </w:p>
    <w:p w:rsidR="002B34C9" w:rsidRDefault="005832CA" w:rsidP="008B4F36">
      <w:pPr>
        <w:tabs>
          <w:tab w:val="left" w:pos="1418"/>
        </w:tabs>
        <w:spacing w:after="0" w:line="360" w:lineRule="auto"/>
        <w:ind w:right="-2" w:firstLine="709"/>
        <w:jc w:val="both"/>
        <w:rPr>
          <w:rFonts w:ascii="Times New Roman" w:hAnsi="Times New Roman" w:cs="Times New Roman"/>
          <w:sz w:val="28"/>
          <w:szCs w:val="28"/>
          <w:shd w:val="clear" w:color="auto" w:fill="FFFFFF"/>
        </w:rPr>
      </w:pPr>
      <w:r w:rsidRPr="00860642">
        <w:rPr>
          <w:rFonts w:ascii="Times New Roman" w:hAnsi="Times New Roman" w:cs="Times New Roman"/>
          <w:sz w:val="28"/>
          <w:szCs w:val="28"/>
          <w:shd w:val="clear" w:color="auto" w:fill="FFFFFF"/>
        </w:rPr>
        <w:t xml:space="preserve">Можно выделить следующие перспективы развития системы страхования вкладов РФ: </w:t>
      </w:r>
    </w:p>
    <w:p w:rsidR="002B34C9" w:rsidRDefault="005832CA" w:rsidP="008B4F36">
      <w:pPr>
        <w:tabs>
          <w:tab w:val="left" w:pos="1418"/>
        </w:tabs>
        <w:spacing w:after="0" w:line="360" w:lineRule="auto"/>
        <w:ind w:right="-2" w:firstLine="709"/>
        <w:jc w:val="both"/>
        <w:rPr>
          <w:rFonts w:ascii="Times New Roman" w:hAnsi="Times New Roman" w:cs="Times New Roman"/>
          <w:sz w:val="28"/>
          <w:szCs w:val="28"/>
          <w:shd w:val="clear" w:color="auto" w:fill="FFFFFF"/>
        </w:rPr>
      </w:pPr>
      <w:r w:rsidRPr="00860642">
        <w:rPr>
          <w:rFonts w:ascii="Times New Roman" w:hAnsi="Times New Roman" w:cs="Times New Roman"/>
          <w:sz w:val="28"/>
          <w:szCs w:val="28"/>
          <w:shd w:val="clear" w:color="auto" w:fill="FFFFFF"/>
        </w:rPr>
        <w:t xml:space="preserve">– добровольное страхование депозитов корпоративного сектора может стать востребованным, в случае если страховщики будут разрабатывать выгодные условия и адекватные тарифы на данные услуги; </w:t>
      </w:r>
    </w:p>
    <w:p w:rsidR="002B34C9" w:rsidRDefault="005832CA" w:rsidP="008B4F36">
      <w:pPr>
        <w:tabs>
          <w:tab w:val="left" w:pos="1418"/>
        </w:tabs>
        <w:spacing w:after="0" w:line="360" w:lineRule="auto"/>
        <w:ind w:right="-2" w:firstLine="709"/>
        <w:jc w:val="both"/>
        <w:rPr>
          <w:rFonts w:ascii="Times New Roman" w:hAnsi="Times New Roman" w:cs="Times New Roman"/>
          <w:sz w:val="28"/>
          <w:szCs w:val="28"/>
          <w:shd w:val="clear" w:color="auto" w:fill="FFFFFF"/>
        </w:rPr>
      </w:pPr>
      <w:r w:rsidRPr="00860642">
        <w:rPr>
          <w:rFonts w:ascii="Times New Roman" w:hAnsi="Times New Roman" w:cs="Times New Roman"/>
          <w:sz w:val="28"/>
          <w:szCs w:val="28"/>
          <w:shd w:val="clear" w:color="auto" w:fill="FFFFFF"/>
        </w:rPr>
        <w:t xml:space="preserve">– дальнейшее развитие такой функции АСВ как финансовое оздоровление коммерческих банков поспособствует улучшению ситуации в проблемных банках еще до того, как она станет необратимой и повлечет за собой выплату возмещений вкладчикам из фонда; </w:t>
      </w:r>
    </w:p>
    <w:p w:rsidR="002B34C9" w:rsidRDefault="005832CA" w:rsidP="008B4F36">
      <w:pPr>
        <w:tabs>
          <w:tab w:val="left" w:pos="1418"/>
        </w:tabs>
        <w:spacing w:after="0" w:line="360" w:lineRule="auto"/>
        <w:ind w:right="-2" w:firstLine="709"/>
        <w:jc w:val="both"/>
        <w:rPr>
          <w:rFonts w:ascii="Times New Roman" w:hAnsi="Times New Roman" w:cs="Times New Roman"/>
          <w:sz w:val="28"/>
          <w:szCs w:val="28"/>
          <w:shd w:val="clear" w:color="auto" w:fill="FFFFFF"/>
        </w:rPr>
      </w:pPr>
      <w:r w:rsidRPr="00860642">
        <w:rPr>
          <w:rFonts w:ascii="Times New Roman" w:hAnsi="Times New Roman" w:cs="Times New Roman"/>
          <w:sz w:val="28"/>
          <w:szCs w:val="28"/>
          <w:shd w:val="clear" w:color="auto" w:fill="FFFFFF"/>
        </w:rPr>
        <w:t xml:space="preserve">– добровольное страхование вкладов физических лиц (сумма превышения над суммой, подлежащей обязательному страхованию вкладов) позволит физическим лицам держать временно свободные средства в одном банке во вкладе размером более 1,4 млн. руб.; </w:t>
      </w:r>
    </w:p>
    <w:p w:rsidR="002B34C9" w:rsidRDefault="005832CA" w:rsidP="008B4F36">
      <w:pPr>
        <w:tabs>
          <w:tab w:val="left" w:pos="1418"/>
        </w:tabs>
        <w:spacing w:after="0" w:line="360" w:lineRule="auto"/>
        <w:ind w:right="-2" w:firstLine="709"/>
        <w:jc w:val="both"/>
        <w:rPr>
          <w:rFonts w:ascii="Times New Roman" w:hAnsi="Times New Roman" w:cs="Times New Roman"/>
          <w:sz w:val="28"/>
          <w:szCs w:val="28"/>
          <w:shd w:val="clear" w:color="auto" w:fill="FFFFFF"/>
        </w:rPr>
      </w:pPr>
      <w:r w:rsidRPr="00860642">
        <w:rPr>
          <w:rFonts w:ascii="Times New Roman" w:hAnsi="Times New Roman" w:cs="Times New Roman"/>
          <w:sz w:val="28"/>
          <w:szCs w:val="28"/>
          <w:shd w:val="clear" w:color="auto" w:fill="FFFFFF"/>
        </w:rPr>
        <w:t xml:space="preserve">– повышение финансового образования граждан путем обучения, информирования широких слоев населения в области банковского обслуживания физических лиц, в частности относительно страхования вкладов; – совершенствование правовой системы страхования вкладов и составление плана действий на случай кризиса всей банковской системы предполагает дальнейшее развитие политического и законодательного базиса для обязательной и структурированной системы страхования вкладов. </w:t>
      </w:r>
    </w:p>
    <w:p w:rsidR="002B34C9" w:rsidRDefault="005832CA" w:rsidP="008B4F36">
      <w:pPr>
        <w:tabs>
          <w:tab w:val="left" w:pos="1418"/>
        </w:tabs>
        <w:spacing w:after="0" w:line="360" w:lineRule="auto"/>
        <w:ind w:right="-2" w:firstLine="709"/>
        <w:jc w:val="both"/>
        <w:rPr>
          <w:rFonts w:ascii="Times New Roman" w:hAnsi="Times New Roman" w:cs="Times New Roman"/>
          <w:sz w:val="28"/>
          <w:szCs w:val="28"/>
        </w:rPr>
      </w:pPr>
      <w:r w:rsidRPr="00860642">
        <w:rPr>
          <w:rFonts w:ascii="Times New Roman" w:hAnsi="Times New Roman" w:cs="Times New Roman"/>
          <w:sz w:val="28"/>
          <w:szCs w:val="28"/>
          <w:shd w:val="clear" w:color="auto" w:fill="FFFFFF"/>
        </w:rPr>
        <w:t xml:space="preserve">В целом установленный режим страхования вкладов характеризуется как положительное новшество, обеспечивающее стабильность и устойчивость российской банковской системы. </w:t>
      </w:r>
      <w:r w:rsidR="002B34C9">
        <w:rPr>
          <w:rFonts w:ascii="Times New Roman" w:hAnsi="Times New Roman" w:cs="Times New Roman"/>
          <w:sz w:val="28"/>
          <w:szCs w:val="28"/>
        </w:rPr>
        <w:br w:type="page"/>
      </w:r>
    </w:p>
    <w:p w:rsidR="00E55153" w:rsidRDefault="00C23DE8" w:rsidP="00D33EBF">
      <w:pPr>
        <w:pStyle w:val="1"/>
        <w:tabs>
          <w:tab w:val="left" w:pos="1418"/>
        </w:tabs>
        <w:spacing w:before="0" w:line="360" w:lineRule="auto"/>
        <w:ind w:right="282" w:firstLine="851"/>
        <w:jc w:val="center"/>
        <w:rPr>
          <w:rFonts w:ascii="Times New Roman" w:hAnsi="Times New Roman" w:cs="Times New Roman"/>
          <w:b w:val="0"/>
          <w:color w:val="auto"/>
        </w:rPr>
      </w:pPr>
      <w:bookmarkStart w:id="10" w:name="_Toc513680219"/>
      <w:bookmarkStart w:id="11" w:name="_Toc6150527"/>
      <w:r w:rsidRPr="002B34C9">
        <w:rPr>
          <w:rFonts w:ascii="Times New Roman" w:hAnsi="Times New Roman" w:cs="Times New Roman"/>
          <w:b w:val="0"/>
          <w:color w:val="auto"/>
        </w:rPr>
        <w:lastRenderedPageBreak/>
        <w:t>ЗАКЛЮЧЕНИЕ</w:t>
      </w:r>
      <w:bookmarkStart w:id="12" w:name="_Toc513680220"/>
      <w:bookmarkEnd w:id="10"/>
      <w:bookmarkEnd w:id="11"/>
    </w:p>
    <w:p w:rsidR="002B34C9" w:rsidRPr="002B34C9" w:rsidRDefault="002B34C9" w:rsidP="002B34C9"/>
    <w:p w:rsidR="002B34C9" w:rsidRPr="00860642" w:rsidRDefault="002B34C9" w:rsidP="002B34C9">
      <w:pPr>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По результатам работы можно сделать вывод, что совершенствование системы страхования вкладов в России является необходимым элементом для дальнейшего оздоровления банковской системы за счет усиления контроля за банковской деятельностью, повышения доверия к ней со стороны вкладчиков, снижение социальной напряженности в обществе.</w:t>
      </w:r>
      <w:r>
        <w:rPr>
          <w:rFonts w:ascii="Times New Roman" w:hAnsi="Times New Roman" w:cs="Times New Roman"/>
          <w:sz w:val="28"/>
          <w:szCs w:val="28"/>
        </w:rPr>
        <w:t xml:space="preserve"> </w:t>
      </w:r>
      <w:r w:rsidRPr="00860642">
        <w:rPr>
          <w:rFonts w:ascii="Times New Roman" w:hAnsi="Times New Roman" w:cs="Times New Roman"/>
          <w:sz w:val="28"/>
          <w:szCs w:val="28"/>
        </w:rPr>
        <w:t xml:space="preserve">Наличие развитой и доступной системы страхования вкладов является важнейшим индикатором качества жизни в развивающихся странах. </w:t>
      </w:r>
    </w:p>
    <w:p w:rsidR="002B34C9" w:rsidRPr="00860642" w:rsidRDefault="002B34C9" w:rsidP="002B34C9">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Таким образом, необходима постоянная система наблюдения за качеством банковской деятельности, построенная с учетом опыта других стран и с ориентацией на текущие потребности развития отечественной банковской системы. </w:t>
      </w:r>
    </w:p>
    <w:p w:rsidR="002B34C9" w:rsidRPr="00860642" w:rsidRDefault="002B34C9" w:rsidP="002B34C9">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Анализ современного состояния сберегательного процесса в России позволил выявить следующие его основные особенности: </w:t>
      </w:r>
    </w:p>
    <w:p w:rsidR="002B34C9" w:rsidRPr="002B34C9" w:rsidRDefault="002B34C9" w:rsidP="002B34C9">
      <w:pPr>
        <w:pStyle w:val="a8"/>
        <w:numPr>
          <w:ilvl w:val="0"/>
          <w:numId w:val="39"/>
        </w:numPr>
        <w:tabs>
          <w:tab w:val="left" w:pos="1418"/>
        </w:tabs>
        <w:spacing w:after="0" w:line="360" w:lineRule="auto"/>
        <w:ind w:left="0" w:firstLine="709"/>
        <w:jc w:val="both"/>
        <w:rPr>
          <w:rFonts w:ascii="Times New Roman" w:hAnsi="Times New Roman" w:cs="Times New Roman"/>
          <w:sz w:val="28"/>
          <w:szCs w:val="28"/>
        </w:rPr>
      </w:pPr>
      <w:r w:rsidRPr="002B34C9">
        <w:rPr>
          <w:rFonts w:ascii="Times New Roman" w:hAnsi="Times New Roman" w:cs="Times New Roman"/>
          <w:sz w:val="28"/>
          <w:szCs w:val="28"/>
        </w:rPr>
        <w:t xml:space="preserve">значительная часть граждан имеет предпосылки для накопления денежных средств; </w:t>
      </w:r>
    </w:p>
    <w:p w:rsidR="002B34C9" w:rsidRPr="002B34C9" w:rsidRDefault="002B34C9" w:rsidP="002B34C9">
      <w:pPr>
        <w:pStyle w:val="a8"/>
        <w:numPr>
          <w:ilvl w:val="0"/>
          <w:numId w:val="39"/>
        </w:numPr>
        <w:tabs>
          <w:tab w:val="left" w:pos="1418"/>
        </w:tabs>
        <w:spacing w:after="0" w:line="360" w:lineRule="auto"/>
        <w:ind w:left="0" w:firstLine="709"/>
        <w:jc w:val="both"/>
        <w:rPr>
          <w:rFonts w:ascii="Times New Roman" w:hAnsi="Times New Roman" w:cs="Times New Roman"/>
          <w:sz w:val="28"/>
          <w:szCs w:val="28"/>
        </w:rPr>
      </w:pPr>
      <w:r w:rsidRPr="002B34C9">
        <w:rPr>
          <w:rFonts w:ascii="Times New Roman" w:hAnsi="Times New Roman" w:cs="Times New Roman"/>
          <w:sz w:val="28"/>
          <w:szCs w:val="28"/>
        </w:rPr>
        <w:t xml:space="preserve">на сберегательный процесс существенно влияет инфляция, которая стимулирует население к поиску инструментов сбережения средств, защищенных от инфляции; </w:t>
      </w:r>
    </w:p>
    <w:p w:rsidR="002B34C9" w:rsidRPr="002B34C9" w:rsidRDefault="002B34C9" w:rsidP="002B34C9">
      <w:pPr>
        <w:pStyle w:val="a8"/>
        <w:numPr>
          <w:ilvl w:val="0"/>
          <w:numId w:val="39"/>
        </w:numPr>
        <w:tabs>
          <w:tab w:val="left" w:pos="1418"/>
        </w:tabs>
        <w:spacing w:after="0" w:line="360" w:lineRule="auto"/>
        <w:ind w:left="0" w:firstLine="709"/>
        <w:jc w:val="both"/>
        <w:rPr>
          <w:rFonts w:ascii="Times New Roman" w:hAnsi="Times New Roman" w:cs="Times New Roman"/>
          <w:sz w:val="28"/>
          <w:szCs w:val="28"/>
        </w:rPr>
      </w:pPr>
      <w:r w:rsidRPr="002B34C9">
        <w:rPr>
          <w:rFonts w:ascii="Times New Roman" w:hAnsi="Times New Roman" w:cs="Times New Roman"/>
          <w:sz w:val="28"/>
          <w:szCs w:val="28"/>
        </w:rPr>
        <w:t xml:space="preserve">население готово вкладывать свои средства в финансовые инструменты, обладающие следующими характеристиками: надежность, доходность, ликвидность. </w:t>
      </w:r>
    </w:p>
    <w:p w:rsidR="002B34C9" w:rsidRPr="00860642" w:rsidRDefault="002B34C9" w:rsidP="002B34C9">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Эти предпосылки создают условия для создания: </w:t>
      </w:r>
    </w:p>
    <w:p w:rsidR="002B34C9" w:rsidRPr="00860642" w:rsidRDefault="002B34C9" w:rsidP="002B34C9">
      <w:pPr>
        <w:numPr>
          <w:ilvl w:val="0"/>
          <w:numId w:val="40"/>
        </w:numPr>
        <w:tabs>
          <w:tab w:val="left" w:pos="1418"/>
        </w:tabs>
        <w:spacing w:after="0" w:line="360" w:lineRule="auto"/>
        <w:ind w:left="0"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законодательной базы, гарантирующей полноценную сохранность и возврат вкладов населения с целью укрепления доверия населения к банковской системе и обеспечения стабильности депозитных вкладов; </w:t>
      </w:r>
    </w:p>
    <w:p w:rsidR="002B34C9" w:rsidRPr="00860642" w:rsidRDefault="002B34C9" w:rsidP="002B34C9">
      <w:pPr>
        <w:numPr>
          <w:ilvl w:val="0"/>
          <w:numId w:val="40"/>
        </w:numPr>
        <w:tabs>
          <w:tab w:val="left" w:pos="1418"/>
        </w:tabs>
        <w:spacing w:after="0" w:line="360" w:lineRule="auto"/>
        <w:ind w:left="0" w:firstLine="709"/>
        <w:jc w:val="both"/>
        <w:rPr>
          <w:rFonts w:ascii="Times New Roman" w:hAnsi="Times New Roman" w:cs="Times New Roman"/>
          <w:sz w:val="28"/>
          <w:szCs w:val="28"/>
        </w:rPr>
      </w:pPr>
      <w:r w:rsidRPr="00860642">
        <w:rPr>
          <w:rFonts w:ascii="Times New Roman" w:hAnsi="Times New Roman" w:cs="Times New Roman"/>
          <w:sz w:val="28"/>
          <w:szCs w:val="28"/>
        </w:rPr>
        <w:t xml:space="preserve">роста уровня благосостояния населения, который, прежде всего, зависит от эффективной экономической политики государства в целом и каждого региона в отдельности; </w:t>
      </w:r>
    </w:p>
    <w:p w:rsidR="002B34C9" w:rsidRPr="00860642" w:rsidRDefault="002B34C9" w:rsidP="002B34C9">
      <w:pPr>
        <w:numPr>
          <w:ilvl w:val="0"/>
          <w:numId w:val="40"/>
        </w:numPr>
        <w:tabs>
          <w:tab w:val="left" w:pos="1418"/>
        </w:tabs>
        <w:spacing w:after="0" w:line="360" w:lineRule="auto"/>
        <w:ind w:left="0" w:firstLine="709"/>
        <w:jc w:val="both"/>
        <w:rPr>
          <w:rFonts w:ascii="Times New Roman" w:hAnsi="Times New Roman" w:cs="Times New Roman"/>
          <w:sz w:val="28"/>
          <w:szCs w:val="28"/>
        </w:rPr>
      </w:pPr>
      <w:r w:rsidRPr="00860642">
        <w:rPr>
          <w:rFonts w:ascii="Times New Roman" w:hAnsi="Times New Roman" w:cs="Times New Roman"/>
          <w:sz w:val="28"/>
          <w:szCs w:val="28"/>
        </w:rPr>
        <w:lastRenderedPageBreak/>
        <w:t xml:space="preserve">эффективного, совершенного механизма функционирования системы страхования вкладов. </w:t>
      </w:r>
    </w:p>
    <w:p w:rsidR="002B34C9" w:rsidRDefault="003E0376" w:rsidP="002B34C9">
      <w:pPr>
        <w:spacing w:after="0" w:line="360" w:lineRule="auto"/>
        <w:ind w:firstLine="709"/>
        <w:jc w:val="both"/>
        <w:rPr>
          <w:rFonts w:ascii="Times New Roman" w:hAnsi="Times New Roman" w:cs="Times New Roman"/>
          <w:sz w:val="28"/>
          <w:szCs w:val="28"/>
        </w:rPr>
      </w:pPr>
      <w:r w:rsidRPr="002B34C9">
        <w:rPr>
          <w:rFonts w:ascii="Times New Roman" w:hAnsi="Times New Roman" w:cs="Times New Roman"/>
          <w:sz w:val="28"/>
          <w:szCs w:val="28"/>
        </w:rPr>
        <w:t xml:space="preserve">Функционирование системы страхования вкладов может в значительной мере влиять на рыночную дисциплину участников финансового рынка. Ее введение в полной мере положительно скажется на формировании и функционировании финансового рынка страны только в том случае, если:  </w:t>
      </w:r>
    </w:p>
    <w:p w:rsidR="002B34C9" w:rsidRPr="002B34C9" w:rsidRDefault="003E0376" w:rsidP="002B34C9">
      <w:pPr>
        <w:pStyle w:val="a8"/>
        <w:numPr>
          <w:ilvl w:val="0"/>
          <w:numId w:val="41"/>
        </w:numPr>
        <w:spacing w:after="0" w:line="360" w:lineRule="auto"/>
        <w:ind w:left="0" w:firstLine="709"/>
        <w:jc w:val="both"/>
        <w:rPr>
          <w:rFonts w:ascii="Times New Roman" w:hAnsi="Times New Roman" w:cs="Times New Roman"/>
          <w:sz w:val="28"/>
          <w:szCs w:val="28"/>
        </w:rPr>
      </w:pPr>
      <w:r w:rsidRPr="002B34C9">
        <w:rPr>
          <w:rFonts w:ascii="Times New Roman" w:hAnsi="Times New Roman" w:cs="Times New Roman"/>
          <w:sz w:val="28"/>
          <w:szCs w:val="28"/>
        </w:rPr>
        <w:t>будут существовать реальные предпосылки для стабильного институционального развития;</w:t>
      </w:r>
    </w:p>
    <w:p w:rsidR="002B34C9" w:rsidRPr="002B34C9" w:rsidRDefault="003E0376" w:rsidP="002B34C9">
      <w:pPr>
        <w:pStyle w:val="a8"/>
        <w:numPr>
          <w:ilvl w:val="0"/>
          <w:numId w:val="41"/>
        </w:numPr>
        <w:spacing w:after="0" w:line="360" w:lineRule="auto"/>
        <w:ind w:left="0" w:firstLine="709"/>
        <w:jc w:val="both"/>
        <w:rPr>
          <w:rFonts w:ascii="Times New Roman" w:hAnsi="Times New Roman" w:cs="Times New Roman"/>
          <w:sz w:val="28"/>
          <w:szCs w:val="28"/>
        </w:rPr>
      </w:pPr>
      <w:r w:rsidRPr="002B34C9">
        <w:rPr>
          <w:rFonts w:ascii="Times New Roman" w:hAnsi="Times New Roman" w:cs="Times New Roman"/>
          <w:sz w:val="28"/>
          <w:szCs w:val="28"/>
        </w:rPr>
        <w:t>банковская система будет отличаться стабильностью и надежностью;</w:t>
      </w:r>
    </w:p>
    <w:p w:rsidR="002B34C9" w:rsidRPr="002B34C9" w:rsidRDefault="003E0376" w:rsidP="002B34C9">
      <w:pPr>
        <w:pStyle w:val="a8"/>
        <w:numPr>
          <w:ilvl w:val="0"/>
          <w:numId w:val="41"/>
        </w:numPr>
        <w:spacing w:after="0" w:line="360" w:lineRule="auto"/>
        <w:ind w:left="0" w:firstLine="709"/>
        <w:jc w:val="both"/>
        <w:rPr>
          <w:rFonts w:ascii="Times New Roman" w:hAnsi="Times New Roman" w:cs="Times New Roman"/>
          <w:sz w:val="28"/>
          <w:szCs w:val="28"/>
        </w:rPr>
      </w:pPr>
      <w:r w:rsidRPr="002B34C9">
        <w:rPr>
          <w:rFonts w:ascii="Times New Roman" w:hAnsi="Times New Roman" w:cs="Times New Roman"/>
          <w:sz w:val="28"/>
          <w:szCs w:val="28"/>
        </w:rPr>
        <w:t>будут отсутствовать какие-либо кризисные тенденции как на национальном, так и на международном финансовом рынке;</w:t>
      </w:r>
    </w:p>
    <w:p w:rsidR="002B34C9" w:rsidRPr="002B34C9" w:rsidRDefault="003E0376" w:rsidP="002B34C9">
      <w:pPr>
        <w:pStyle w:val="a8"/>
        <w:numPr>
          <w:ilvl w:val="0"/>
          <w:numId w:val="41"/>
        </w:numPr>
        <w:spacing w:after="0" w:line="360" w:lineRule="auto"/>
        <w:ind w:left="0" w:firstLine="709"/>
        <w:jc w:val="both"/>
        <w:rPr>
          <w:rFonts w:ascii="Times New Roman" w:hAnsi="Times New Roman" w:cs="Times New Roman"/>
          <w:sz w:val="28"/>
          <w:szCs w:val="28"/>
        </w:rPr>
      </w:pPr>
      <w:r w:rsidRPr="002B34C9">
        <w:rPr>
          <w:rFonts w:ascii="Times New Roman" w:hAnsi="Times New Roman" w:cs="Times New Roman"/>
          <w:sz w:val="28"/>
          <w:szCs w:val="28"/>
        </w:rPr>
        <w:t xml:space="preserve">в стране сложатся определенные традиции в законотворческой сфере, будет функционировать сильная и действенная судебная ветвь власти, сформируется широкая и эффективная нормативно-правовая база. </w:t>
      </w:r>
    </w:p>
    <w:p w:rsidR="00D33EBF" w:rsidRPr="00860642" w:rsidRDefault="00D33EBF" w:rsidP="002B34C9">
      <w:pPr>
        <w:tabs>
          <w:tab w:val="left" w:pos="1418"/>
        </w:tabs>
        <w:spacing w:after="0" w:line="360" w:lineRule="auto"/>
        <w:ind w:firstLine="709"/>
        <w:jc w:val="both"/>
        <w:rPr>
          <w:rFonts w:ascii="Times New Roman" w:hAnsi="Times New Roman" w:cs="Times New Roman"/>
          <w:sz w:val="28"/>
          <w:szCs w:val="28"/>
        </w:rPr>
      </w:pPr>
      <w:r w:rsidRPr="00860642">
        <w:rPr>
          <w:rFonts w:ascii="Times New Roman" w:hAnsi="Times New Roman" w:cs="Times New Roman"/>
          <w:sz w:val="28"/>
          <w:szCs w:val="28"/>
        </w:rPr>
        <w:t>Функционирование системы страхования банковских вкладов требует постоянного мониторинга, и каждый раз, обращаясь к данной системе, можно будет выявлять новые направления её развития.</w:t>
      </w:r>
    </w:p>
    <w:p w:rsidR="00E55153" w:rsidRPr="00860642" w:rsidRDefault="00E55153" w:rsidP="002B34C9">
      <w:pPr>
        <w:tabs>
          <w:tab w:val="left" w:pos="1418"/>
        </w:tabs>
        <w:spacing w:after="0" w:line="360" w:lineRule="auto"/>
        <w:ind w:firstLine="709"/>
        <w:rPr>
          <w:rFonts w:ascii="Times New Roman" w:hAnsi="Times New Roman" w:cs="Times New Roman"/>
          <w:sz w:val="28"/>
          <w:szCs w:val="28"/>
        </w:rPr>
      </w:pPr>
    </w:p>
    <w:p w:rsidR="006E6A5D" w:rsidRPr="00860642" w:rsidRDefault="006E6A5D" w:rsidP="002B34C9">
      <w:pPr>
        <w:ind w:firstLine="709"/>
      </w:pPr>
      <w:bookmarkStart w:id="13" w:name="_Toc515232880"/>
      <w:bookmarkStart w:id="14" w:name="_Toc515926802"/>
      <w:bookmarkStart w:id="15" w:name="_Toc515927146"/>
    </w:p>
    <w:p w:rsidR="006E6A5D" w:rsidRPr="00860642" w:rsidRDefault="006E6A5D" w:rsidP="006E6A5D"/>
    <w:p w:rsidR="00E7481E" w:rsidRPr="00860642" w:rsidRDefault="00E7481E" w:rsidP="006E6A5D"/>
    <w:p w:rsidR="00E7481E" w:rsidRPr="00860642" w:rsidRDefault="00E7481E" w:rsidP="006E6A5D"/>
    <w:p w:rsidR="002B34C9" w:rsidRDefault="002B34C9">
      <w:r>
        <w:br w:type="page"/>
      </w:r>
    </w:p>
    <w:p w:rsidR="00E7481E" w:rsidRDefault="002B34C9" w:rsidP="002B34C9">
      <w:pPr>
        <w:pStyle w:val="1"/>
        <w:jc w:val="center"/>
        <w:rPr>
          <w:rFonts w:ascii="Times New Roman" w:hAnsi="Times New Roman" w:cs="Times New Roman"/>
          <w:b w:val="0"/>
          <w:color w:val="auto"/>
        </w:rPr>
      </w:pPr>
      <w:bookmarkStart w:id="16" w:name="_Toc6150528"/>
      <w:r w:rsidRPr="002B34C9">
        <w:rPr>
          <w:rFonts w:ascii="Times New Roman" w:hAnsi="Times New Roman" w:cs="Times New Roman"/>
          <w:b w:val="0"/>
          <w:color w:val="auto"/>
        </w:rPr>
        <w:lastRenderedPageBreak/>
        <w:t>СПИСОК ИСПОЛЬЗОВАННОЙ ЛИТЕРАТУРЫ</w:t>
      </w:r>
      <w:bookmarkEnd w:id="16"/>
    </w:p>
    <w:p w:rsidR="002B34C9" w:rsidRDefault="002B34C9" w:rsidP="002B34C9"/>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Федеральный закон «О Центральном банке РФ (Банке России)» от 10.07.2002 № 86-ФЗ (ред. от 27.12.2018).</w:t>
      </w:r>
    </w:p>
    <w:p w:rsidR="00BB5A5E" w:rsidRPr="004D7C58" w:rsidRDefault="00B17D14"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hyperlink r:id="rId14" w:history="1">
        <w:r w:rsidR="00BB5A5E" w:rsidRPr="004D7C58">
          <w:rPr>
            <w:rStyle w:val="a4"/>
            <w:rFonts w:ascii="Times New Roman" w:hAnsi="Times New Roman" w:cs="Times New Roman"/>
            <w:bCs/>
            <w:color w:val="auto"/>
            <w:sz w:val="28"/>
            <w:szCs w:val="28"/>
            <w:u w:val="none"/>
            <w:shd w:val="clear" w:color="auto" w:fill="FFFFFF"/>
          </w:rPr>
          <w:t>Федеральный закон от 23.12.2003 N 177-ФЗ (ред. от 28.11.2018) "О страховании вкладов в банках Российской Федерации" (с изм. и доп., вступ. в силу с 01.01.2019)</w:t>
        </w:r>
      </w:hyperlink>
      <w:r w:rsidR="004D7C58" w:rsidRPr="004D7C58">
        <w:rPr>
          <w:rFonts w:ascii="Times New Roman" w:hAnsi="Times New Roman" w:cs="Times New Roman"/>
          <w:sz w:val="28"/>
          <w:szCs w:val="28"/>
        </w:rPr>
        <w:t>.</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Алиев, О.М., Атабиева, Д.Н. Теоретические аспекты анализа финансовых результатов коммерческого банка в современных условиях / О.М. Алиев, Д.Н. Атабиева. – Махачкала: НИЦ «Апробация», 2016. – с.52-57.</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Артамонов,В.С., Попов,А.И., Иванов,С.А., Уткин,Н.И. Экономическая теория: учебное пособие / В.С. Артамонов,А.И. Попов,С.А. Иванов,Н.И. Уткин. – СПб.: Питер, 2014. – 322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Баетова, Д.Р. Анализ деятельности коммерческого банка: учебное пособие / Д.Р. Баетова. – Омск: ФГБОУ ВПО ОмГАУ им. П. А. Столыпина, 2015. – 116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shd w:val="clear" w:color="auto" w:fill="FFFFFF"/>
        </w:rPr>
      </w:pPr>
      <w:r w:rsidRPr="004D7C58">
        <w:rPr>
          <w:rFonts w:ascii="Times New Roman" w:hAnsi="Times New Roman" w:cs="Times New Roman"/>
          <w:bCs/>
          <w:sz w:val="28"/>
          <w:szCs w:val="28"/>
          <w:shd w:val="clear" w:color="auto" w:fill="FFFFFF"/>
        </w:rPr>
        <w:t>Банк 3.0: стратегии, бизнес-процессы, инновации</w:t>
      </w:r>
      <w:r w:rsidRPr="004D7C58">
        <w:rPr>
          <w:rFonts w:ascii="Times New Roman" w:hAnsi="Times New Roman" w:cs="Times New Roman"/>
          <w:sz w:val="28"/>
          <w:szCs w:val="28"/>
          <w:shd w:val="clear" w:color="auto" w:fill="FFFFFF"/>
        </w:rPr>
        <w:t>: Монография / Исаев Р.А. - М.:НИЦ ИНФРА-М, 2016. - 160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Белоглазова, Г.М, Кроливецкая Л.А. Финансовые рынки и финансово-кредитные институты: учеб. пособие / Г.М. Белоглазова, Л.А. Кроливецкая. – СПб.: Питер, 2014. – 190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Бланк, И.А. Управление финансовыми ресурсами / И.А. Бланк. – М.: Омега-Л, 2017. – 158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Валинурова, А.А. Методика экспресс-анализа деятельности коммерческого банка / А.А. Валинурова, Н.В. Степанова, Т.Р. Валинуров // Современные наукоемкие технологии. Региональное приложение, 2016. №4 (28). – С. 18-25.</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Вешкин, Ю.Г., Авагян, Г.Л. Экономический анализ деятельности коммерческого банка: учебное пособие / Ю.Г. Вешкин, Г.Л. Авагян.  – М.: Магистр: НИЦ ИНФРА-М, 2014. – 432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lastRenderedPageBreak/>
        <w:t xml:space="preserve">Герасимович А.М. Анализ банковской деятельности [Электронный ресурс]. – Режим доступа: http://studentbooks.com.ru/content/view/292/54/1/2/ </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 xml:space="preserve">Говоруха С. Подходы к определению понятия «кредитного портфеля» и анализ его характеристик / С. Говоруха // Вестник МГУ. – 2018. – № 165. – С. 125-127. </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Деньги, кредит, банки: учебник / А.Г. Куликов. – М.: КНОРУС, 2014. – 657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 xml:space="preserve">Дзюблюк О.В. Механизм обеспечения качества кредитного портфеля и управления кредитным риском банка в период кризисных явлений в экономике / О. В. Дзюблюк // Журнал европейской экономики. – 2017. – № 9. – С. 108 - 124. </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 xml:space="preserve">Довгань Ж. М. Экономическое содержание финансовой устойчивости банковской системы. М. Довгань // Инновационная экономика. – 2017. – № 12. – С. 207-211. </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 xml:space="preserve">Жарковская, Е.П. Финансовый анализ деятельности коммерческого банка: учебник / Е.П. Жарковская. – М.: Омега-Л, 2016. – 325 с. </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 xml:space="preserve">Жилан О.Д., Данилова М.Р. Влияние депозитной политики на финансовую устойчивость коммерческого банка.// Электронный научный журнал Байкальского государственного университета.- 2016- Т. 7, № 4. </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Жуков В. Ю.Страхование депозитов // Вестник науки и образования. 2018. №6 (42). URL: https://cyberleninka.ru/article/n/strahovanie-depozitov (дата обращения: 25.03.2019).</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Жуков, Е.Ф., Эриашвили, Н.Д., Зеленкова, Н.М. Деньги. Кредит. Банки: учебник / Е.Ф. Жуков, Н.Д. Эриашвили, Н.М. Зеленкова.  – М.: ЮНИТИ-ДАНА, 2016. – 783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Земцов А.А., Цибульникова В.Ю. Система страхования банковских вкладов в России: становление и развитие // Вестн. Том. гос. ун-та. Экономика. 2017. №37. URL: https://cyberleninka.ru/article/n/sistema-</w:t>
      </w:r>
      <w:r w:rsidRPr="004D7C58">
        <w:rPr>
          <w:rFonts w:ascii="Times New Roman" w:hAnsi="Times New Roman" w:cs="Times New Roman"/>
          <w:sz w:val="28"/>
          <w:szCs w:val="28"/>
        </w:rPr>
        <w:lastRenderedPageBreak/>
        <w:t>strahovaniya-bankovskih-vkladov-v-rossii-stanovlenie-i-razvitie (дата обращения: 25.03.2019). </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История экономических учений: учебник и практикум для академического бакалавриата / под ред. С. А. Толкачева. – М.: Издательство Юрайт, 2015. – 511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Мелех, К.А. Основы анализа результатов деятельности коммерческого банка / К.А. Мелех // Научно-методический журнал «Концепт». – Киров: АНОО Межрегиональный ЦИТО, 2017. – с. 78-82.</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Неплюева, Ю.А. Регулирование и надзор за деятельностью кредитных организаций как полномочие Центрального Банка Российской Федерации / Ю.А. Неплюева // Современное общество и власть, 2017. № 1 (11). – С. 124-128.</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Сергеева, Э.С. Понятие и место прибыли в основных результатах деятельности предприятия / Э.С. Сергеева // Материалы X Международной научно-практической конференции «Евразийская интеграция». Научный редактор А.А. Васильев. Ответственный редактор И.И. Тарасова, 2018. – С. 256-268.</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Словарь финансово-экономических терминов / А. С. Шаркова, А.А. Килячков, и др. – М.: Издательство «Дашков и Ко», 2017. – 1168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Современный экономический словарь / Б.А. Райзберг, Л.Ш. Лозовский, Е. Б. Стародубцева. – М.: Инфра-М, 2015. – 512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 xml:space="preserve">Тихомирова, Е.В. Банковский аудит: учеб. пособие / Е.В. Тихомирова. – СПб.: Изд-во СПбГУЭФ, 2015. – 335 с. </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hAnsi="Times New Roman" w:cs="Times New Roman"/>
          <w:sz w:val="28"/>
          <w:szCs w:val="28"/>
        </w:rPr>
      </w:pPr>
      <w:r w:rsidRPr="004D7C58">
        <w:rPr>
          <w:rFonts w:ascii="Times New Roman" w:hAnsi="Times New Roman" w:cs="Times New Roman"/>
          <w:sz w:val="28"/>
          <w:szCs w:val="28"/>
        </w:rPr>
        <w:t>Финансово-кредитный энциклопедический словарь / под. общей редакцией А.Г. Грязновой. – М.: Финансы и статистика, 2014. – 1168 с.</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eastAsia="Calibri" w:hAnsi="Times New Roman" w:cs="Times New Roman"/>
          <w:sz w:val="28"/>
          <w:szCs w:val="28"/>
        </w:rPr>
      </w:pPr>
      <w:r w:rsidRPr="004D7C58">
        <w:rPr>
          <w:rFonts w:ascii="Times New Roman" w:eastAsia="Calibri" w:hAnsi="Times New Roman" w:cs="Times New Roman"/>
          <w:sz w:val="28"/>
          <w:szCs w:val="28"/>
        </w:rPr>
        <w:t xml:space="preserve">Официальный сайт Центрального банка Российской Федерации [Электронный ресурс] // Режим доступа: http:// www.cbr.ru /  </w:t>
      </w:r>
    </w:p>
    <w:p w:rsidR="004D7C58" w:rsidRPr="004D7C58" w:rsidRDefault="004D7C58" w:rsidP="004D7C58">
      <w:pPr>
        <w:pStyle w:val="a8"/>
        <w:numPr>
          <w:ilvl w:val="0"/>
          <w:numId w:val="44"/>
        </w:numPr>
        <w:tabs>
          <w:tab w:val="left" w:pos="0"/>
        </w:tabs>
        <w:spacing w:after="0" w:line="360" w:lineRule="auto"/>
        <w:ind w:left="0" w:firstLine="709"/>
        <w:jc w:val="both"/>
        <w:rPr>
          <w:rFonts w:ascii="Times New Roman" w:eastAsia="Calibri" w:hAnsi="Times New Roman" w:cs="Times New Roman"/>
          <w:sz w:val="28"/>
          <w:szCs w:val="28"/>
        </w:rPr>
      </w:pPr>
      <w:r w:rsidRPr="004D7C58">
        <w:rPr>
          <w:rFonts w:ascii="Times New Roman" w:eastAsia="Calibri" w:hAnsi="Times New Roman" w:cs="Times New Roman"/>
          <w:sz w:val="28"/>
          <w:szCs w:val="28"/>
        </w:rPr>
        <w:t>Официальный сайт Агентства по страхованию вкладов [Электронный ресурс] // Режим доступа: https://www.asv.org.ru/</w:t>
      </w:r>
    </w:p>
    <w:bookmarkEnd w:id="12"/>
    <w:bookmarkEnd w:id="13"/>
    <w:bookmarkEnd w:id="14"/>
    <w:bookmarkEnd w:id="15"/>
    <w:p w:rsidR="004D7C58" w:rsidRPr="004D7C58" w:rsidRDefault="004D7C58" w:rsidP="004D7C58">
      <w:pPr>
        <w:pStyle w:val="a8"/>
        <w:spacing w:after="0" w:line="360" w:lineRule="auto"/>
        <w:ind w:left="0" w:firstLine="709"/>
        <w:jc w:val="both"/>
        <w:rPr>
          <w:rFonts w:ascii="Times New Roman" w:hAnsi="Times New Roman" w:cs="Times New Roman"/>
          <w:sz w:val="28"/>
          <w:szCs w:val="28"/>
        </w:rPr>
      </w:pPr>
    </w:p>
    <w:sectPr w:rsidR="004D7C58" w:rsidRPr="004D7C58" w:rsidSect="0019447D">
      <w:footerReference w:type="default" r:id="rId15"/>
      <w:footerReference w:type="first" r:id="rId16"/>
      <w:pgSz w:w="11906" w:h="16838"/>
      <w:pgMar w:top="1134" w:right="72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040" w:rsidRDefault="00B56040" w:rsidP="00906526">
      <w:pPr>
        <w:spacing w:after="0" w:line="240" w:lineRule="auto"/>
      </w:pPr>
      <w:r>
        <w:separator/>
      </w:r>
    </w:p>
  </w:endnote>
  <w:endnote w:type="continuationSeparator" w:id="1">
    <w:p w:rsidR="00B56040" w:rsidRDefault="00B56040" w:rsidP="00906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00"/>
    <w:family w:val="decorative"/>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7D" w:rsidRDefault="0019447D">
    <w:pPr>
      <w:pStyle w:val="ae"/>
      <w:jc w:val="center"/>
    </w:pPr>
    <w:sdt>
      <w:sdtPr>
        <w:id w:val="593141059"/>
        <w:docPartObj>
          <w:docPartGallery w:val="Page Numbers (Bottom of Page)"/>
          <w:docPartUnique/>
        </w:docPartObj>
      </w:sdtPr>
      <w:sdtContent>
        <w:fldSimple w:instr=" PAGE   \* MERGEFORMAT ">
          <w:r w:rsidR="00871C8E">
            <w:rPr>
              <w:noProof/>
            </w:rPr>
            <w:t>24</w:t>
          </w:r>
        </w:fldSimple>
      </w:sdtContent>
    </w:sdt>
  </w:p>
  <w:p w:rsidR="0019447D" w:rsidRDefault="0019447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8047"/>
      <w:docPartObj>
        <w:docPartGallery w:val="Page Numbers (Bottom of Page)"/>
        <w:docPartUnique/>
      </w:docPartObj>
    </w:sdtPr>
    <w:sdtContent>
      <w:p w:rsidR="0019447D" w:rsidRDefault="0019447D">
        <w:pPr>
          <w:pStyle w:val="ae"/>
          <w:jc w:val="center"/>
        </w:pPr>
        <w:fldSimple w:instr=" PAGE   \* MERGEFORMAT ">
          <w:r w:rsidR="00871C8E">
            <w:rPr>
              <w:noProof/>
            </w:rPr>
            <w:t>1</w:t>
          </w:r>
        </w:fldSimple>
      </w:p>
    </w:sdtContent>
  </w:sdt>
  <w:p w:rsidR="0019447D" w:rsidRDefault="0019447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040" w:rsidRDefault="00B56040" w:rsidP="00906526">
      <w:pPr>
        <w:spacing w:after="0" w:line="240" w:lineRule="auto"/>
      </w:pPr>
      <w:r>
        <w:separator/>
      </w:r>
    </w:p>
  </w:footnote>
  <w:footnote w:type="continuationSeparator" w:id="1">
    <w:p w:rsidR="00B56040" w:rsidRDefault="00B56040" w:rsidP="00906526">
      <w:pPr>
        <w:spacing w:after="0" w:line="240" w:lineRule="auto"/>
      </w:pPr>
      <w:r>
        <w:continuationSeparator/>
      </w:r>
    </w:p>
  </w:footnote>
  <w:footnote w:id="2">
    <w:p w:rsidR="0019447D" w:rsidRDefault="0019447D" w:rsidP="005C5DA5">
      <w:pPr>
        <w:pStyle w:val="af0"/>
      </w:pPr>
      <w:r>
        <w:rPr>
          <w:rStyle w:val="af2"/>
        </w:rPr>
        <w:footnoteRef/>
      </w:r>
      <w:r>
        <w:t>Информационная система-</w:t>
      </w:r>
      <w:r>
        <w:rPr>
          <w:lang w:val="en-US"/>
        </w:rPr>
        <w:t>URL</w:t>
      </w:r>
      <w:r w:rsidRPr="005C5DA5">
        <w:t xml:space="preserve"> http://www.finamasters.ru/fnmters-82-3.html</w:t>
      </w:r>
    </w:p>
  </w:footnote>
  <w:footnote w:id="3">
    <w:p w:rsidR="0019447D" w:rsidRDefault="0019447D">
      <w:pPr>
        <w:pStyle w:val="af0"/>
      </w:pPr>
      <w:r>
        <w:rPr>
          <w:rStyle w:val="af2"/>
        </w:rPr>
        <w:footnoteRef/>
      </w:r>
      <w:r w:rsidRPr="00BF5995">
        <w:t>Архив научных статей-URL http://www.rusnauka.com/38_NII_2015/Economics/1_200464.doc.htm</w:t>
      </w:r>
    </w:p>
  </w:footnote>
  <w:footnote w:id="4">
    <w:p w:rsidR="0019447D" w:rsidRPr="00BF5995" w:rsidRDefault="0019447D">
      <w:pPr>
        <w:pStyle w:val="af0"/>
        <w:rPr>
          <w:b/>
          <w:bCs/>
        </w:rPr>
      </w:pPr>
      <w:r>
        <w:rPr>
          <w:rStyle w:val="af2"/>
        </w:rPr>
        <w:footnoteRef/>
      </w:r>
      <w:r w:rsidRPr="00BF5995">
        <w:rPr>
          <w:bCs/>
        </w:rPr>
        <w:t>Федеральный закон "О страховании вкладов физических лиц в банках Российской Федерации" от 23.12.2003 N 177-ФЗ (последняя редакция)</w:t>
      </w:r>
    </w:p>
  </w:footnote>
  <w:footnote w:id="5">
    <w:p w:rsidR="0019447D" w:rsidRDefault="0019447D">
      <w:pPr>
        <w:pStyle w:val="af0"/>
      </w:pPr>
      <w:r>
        <w:rPr>
          <w:rStyle w:val="af2"/>
        </w:rPr>
        <w:footnoteRef/>
      </w:r>
      <w:r w:rsidRPr="00BF5995">
        <w:t>Архив научных статей-URL http://www.rusnauka.com/38_NII_2015/Economics/1_200464.doc.htm</w:t>
      </w:r>
    </w:p>
  </w:footnote>
  <w:footnote w:id="6">
    <w:p w:rsidR="0019447D" w:rsidRPr="00A7662F" w:rsidRDefault="0019447D">
      <w:pPr>
        <w:pStyle w:val="af0"/>
        <w:rPr>
          <w:b/>
          <w:bCs/>
        </w:rPr>
      </w:pPr>
      <w:r>
        <w:rPr>
          <w:rStyle w:val="af2"/>
        </w:rPr>
        <w:footnoteRef/>
      </w:r>
      <w:r w:rsidRPr="00AB702C">
        <w:rPr>
          <w:bCs/>
        </w:rPr>
        <w:t>Закон РФ от 27.11.1992 N 4015-1 (ред. от 23.04.2018) "Об организации страхового дела в Российской Федерации"</w:t>
      </w:r>
    </w:p>
  </w:footnote>
  <w:footnote w:id="7">
    <w:p w:rsidR="0019447D" w:rsidRDefault="0019447D">
      <w:pPr>
        <w:pStyle w:val="af0"/>
      </w:pPr>
      <w:r>
        <w:rPr>
          <w:rStyle w:val="af2"/>
        </w:rPr>
        <w:footnoteRef/>
      </w:r>
      <w:r w:rsidRPr="00AB702C">
        <w:t>Федеральный закон "О страховании вкладов физических лиц в банках Российской Федерации" от 23.12.2003 N 177-ФЗ (последняя редакция)</w:t>
      </w:r>
    </w:p>
  </w:footnote>
  <w:footnote w:id="8">
    <w:p w:rsidR="0019447D" w:rsidRDefault="0019447D" w:rsidP="003A227C">
      <w:pPr>
        <w:pStyle w:val="af0"/>
        <w:jc w:val="left"/>
      </w:pPr>
      <w:r>
        <w:rPr>
          <w:rStyle w:val="af2"/>
        </w:rPr>
        <w:footnoteRef/>
      </w:r>
      <w:r>
        <w:t xml:space="preserve"> Информационная система</w:t>
      </w:r>
      <w:r>
        <w:rPr>
          <w:lang w:val="en-US"/>
        </w:rPr>
        <w:t>WikipediaURL</w:t>
      </w:r>
      <w:r>
        <w:t>:</w:t>
      </w:r>
      <w:r w:rsidRPr="003A227C">
        <w:t>https://ru.wikipedia.org/wiki/%D0%9B%D0%B8%D0%BC%D0%B8%D1%82_%D0%BE%D1%82%D0%B2%D0%B5%D1%82%D1%81%D1%82%D0%B2%D0%B5%D0%BD%D0%BD%D0%BE%D1%81%D1%82%D0%B8</w:t>
      </w:r>
    </w:p>
  </w:footnote>
  <w:footnote w:id="9">
    <w:p w:rsidR="0019447D" w:rsidRDefault="0019447D" w:rsidP="005C5DA5">
      <w:pPr>
        <w:pStyle w:val="af0"/>
      </w:pPr>
      <w:r>
        <w:rPr>
          <w:rStyle w:val="af2"/>
        </w:rPr>
        <w:footnoteRef/>
      </w:r>
      <w:r w:rsidRPr="00ED77A9">
        <w:t>https://www.insurance-liability.ru/glossarii-po-strahovaniiu</w:t>
      </w:r>
    </w:p>
  </w:footnote>
  <w:footnote w:id="10">
    <w:p w:rsidR="0019447D" w:rsidRPr="00A7662F" w:rsidRDefault="0019447D">
      <w:pPr>
        <w:pStyle w:val="af0"/>
        <w:rPr>
          <w:b/>
          <w:bCs/>
        </w:rPr>
      </w:pPr>
      <w:r>
        <w:rPr>
          <w:rStyle w:val="af2"/>
        </w:rPr>
        <w:footnoteRef/>
      </w:r>
      <w:r w:rsidRPr="00AB702C">
        <w:rPr>
          <w:bCs/>
        </w:rPr>
        <w:t>Закон РФ от 27.11.1992 N 4015-1 (ред. от 23.04.2018) "Об организации страхового дела в Российской Федерации</w:t>
      </w:r>
      <w:r w:rsidRPr="00AB702C">
        <w:rPr>
          <w:b/>
          <w:bCs/>
        </w:rPr>
        <w:t>"</w:t>
      </w:r>
    </w:p>
  </w:footnote>
  <w:footnote w:id="11">
    <w:p w:rsidR="0019447D" w:rsidRDefault="0019447D" w:rsidP="009968EE">
      <w:pPr>
        <w:pStyle w:val="af0"/>
      </w:pPr>
      <w:r>
        <w:rPr>
          <w:rStyle w:val="af2"/>
        </w:rPr>
        <w:footnoteRef/>
      </w:r>
      <w:r w:rsidRPr="003A227C">
        <w:t>ст. 38 и 39 Федерального закона «О банках и банковской деятельности»</w:t>
      </w:r>
    </w:p>
  </w:footnote>
  <w:footnote w:id="12">
    <w:p w:rsidR="0019447D" w:rsidRDefault="0019447D" w:rsidP="009968EE">
      <w:pPr>
        <w:pStyle w:val="af0"/>
      </w:pPr>
      <w:r>
        <w:rPr>
          <w:rStyle w:val="af2"/>
        </w:rPr>
        <w:footnoteRef/>
      </w:r>
      <w:r w:rsidRPr="003A227C">
        <w:t>Федеральный закон от 23.12.2003 № 177-ФЗ «О страховании вкладов физических лиц в банках Российской Федерации».</w:t>
      </w:r>
    </w:p>
  </w:footnote>
  <w:footnote w:id="13">
    <w:p w:rsidR="0019447D" w:rsidRPr="008B4F36" w:rsidRDefault="0019447D" w:rsidP="008B4F36">
      <w:pPr>
        <w:pStyle w:val="a8"/>
        <w:tabs>
          <w:tab w:val="left" w:pos="0"/>
        </w:tabs>
        <w:spacing w:after="0" w:line="240" w:lineRule="auto"/>
        <w:ind w:left="0"/>
        <w:jc w:val="both"/>
        <w:rPr>
          <w:rFonts w:ascii="Times New Roman" w:hAnsi="Times New Roman" w:cs="Times New Roman"/>
          <w:sz w:val="20"/>
          <w:szCs w:val="20"/>
        </w:rPr>
      </w:pPr>
      <w:r>
        <w:rPr>
          <w:rStyle w:val="a9"/>
        </w:rPr>
        <w:footnoteRef/>
      </w:r>
      <w:r>
        <w:t xml:space="preserve"> </w:t>
      </w:r>
      <w:r w:rsidRPr="008B4F36">
        <w:rPr>
          <w:rFonts w:ascii="Times New Roman" w:hAnsi="Times New Roman" w:cs="Times New Roman"/>
          <w:sz w:val="20"/>
          <w:szCs w:val="20"/>
        </w:rPr>
        <w:t>Жуков В. Ю.Страхование депозитов // Вестник науки и образования. 2018. №6 (42). URL: https://cyberleninka.ru/article/n/strahovanie-depozitov (дата обращения: 25.03.2019).</w:t>
      </w:r>
    </w:p>
  </w:footnote>
  <w:footnote w:id="14">
    <w:p w:rsidR="0019447D" w:rsidRDefault="0019447D" w:rsidP="0048547F">
      <w:pPr>
        <w:pStyle w:val="af0"/>
        <w:jc w:val="left"/>
      </w:pPr>
      <w:r>
        <w:rPr>
          <w:rStyle w:val="af2"/>
        </w:rPr>
        <w:footnoteRef/>
      </w:r>
      <w:r>
        <w:t>Официальный сайт банка "Собинбанк"</w:t>
      </w:r>
    </w:p>
    <w:p w:rsidR="0019447D" w:rsidRDefault="0019447D" w:rsidP="0048547F">
      <w:pPr>
        <w:pStyle w:val="af0"/>
        <w:jc w:val="left"/>
      </w:pPr>
      <w:r>
        <w:rPr>
          <w:lang w:val="en-US"/>
        </w:rPr>
        <w:t>URL</w:t>
      </w:r>
      <w:r>
        <w:t>:</w:t>
      </w:r>
      <w:r w:rsidRPr="0048547F">
        <w:t>http://sobinbank.ru/moscow/ru/quotient_client/contributions/inshue/index.php</w:t>
      </w:r>
    </w:p>
  </w:footnote>
  <w:footnote w:id="15">
    <w:p w:rsidR="0019447D" w:rsidRDefault="0019447D">
      <w:pPr>
        <w:pStyle w:val="af0"/>
      </w:pPr>
      <w:r>
        <w:rPr>
          <w:rStyle w:val="af2"/>
        </w:rPr>
        <w:footnoteRef/>
      </w:r>
      <w:r w:rsidRPr="0053484B">
        <w:t>Пашенцев Д.А</w:t>
      </w:r>
      <w:r>
        <w:t>- Б</w:t>
      </w:r>
      <w:r w:rsidRPr="00AB702C">
        <w:t>а</w:t>
      </w:r>
      <w:r>
        <w:t>нковское право: Учебное пособие</w:t>
      </w:r>
      <w:r w:rsidRPr="00AB702C">
        <w:t>. — 383 с</w:t>
      </w:r>
    </w:p>
  </w:footnote>
  <w:footnote w:id="16">
    <w:p w:rsidR="0019447D" w:rsidRPr="009968EE" w:rsidRDefault="0019447D" w:rsidP="009968EE">
      <w:pPr>
        <w:spacing w:after="0" w:line="240" w:lineRule="auto"/>
        <w:jc w:val="both"/>
      </w:pPr>
      <w:r>
        <w:rPr>
          <w:rStyle w:val="af2"/>
        </w:rPr>
        <w:footnoteRef/>
      </w:r>
      <w:hyperlink r:id="rId1" w:history="1">
        <w:r w:rsidRPr="009968EE">
          <w:rPr>
            <w:rStyle w:val="a4"/>
            <w:rFonts w:ascii="Times New Roman" w:hAnsi="Times New Roman" w:cs="Times New Roman"/>
            <w:bCs/>
            <w:color w:val="auto"/>
            <w:sz w:val="20"/>
            <w:szCs w:val="20"/>
            <w:u w:val="none"/>
            <w:shd w:val="clear" w:color="auto" w:fill="FFFFFF"/>
          </w:rPr>
          <w:t>Федеральный закон от 23.12.2003 N 177-ФЗ (ред. от 28.11.2018) "О страховании вкладов в банках Российской Федерации" (с изм. и доп., вступ. в силу с 01.01.2019)</w:t>
        </w:r>
      </w:hyperlink>
      <w:bookmarkStart w:id="5" w:name="dst100010"/>
      <w:bookmarkEnd w:id="5"/>
    </w:p>
  </w:footnote>
  <w:footnote w:id="17">
    <w:p w:rsidR="0019447D" w:rsidRPr="008B4F36" w:rsidRDefault="0019447D" w:rsidP="008B4F36">
      <w:pPr>
        <w:pStyle w:val="a8"/>
        <w:tabs>
          <w:tab w:val="left" w:pos="0"/>
        </w:tabs>
        <w:spacing w:after="0" w:line="240" w:lineRule="auto"/>
        <w:ind w:left="0"/>
        <w:jc w:val="both"/>
        <w:rPr>
          <w:rFonts w:ascii="Times New Roman" w:eastAsia="Calibri" w:hAnsi="Times New Roman" w:cs="Times New Roman"/>
          <w:sz w:val="20"/>
          <w:szCs w:val="20"/>
        </w:rPr>
      </w:pPr>
      <w:r>
        <w:rPr>
          <w:rStyle w:val="a9"/>
        </w:rPr>
        <w:footnoteRef/>
      </w:r>
      <w:r>
        <w:t xml:space="preserve"> </w:t>
      </w:r>
      <w:r w:rsidRPr="008B4F36">
        <w:rPr>
          <w:rFonts w:ascii="Times New Roman" w:eastAsia="Calibri" w:hAnsi="Times New Roman" w:cs="Times New Roman"/>
          <w:sz w:val="20"/>
          <w:szCs w:val="20"/>
        </w:rPr>
        <w:t>Официальный сайт Агентства по страхованию вкладов [Электронный ресурс] // Режим доступа: https://www.asv.org.ru/</w:t>
      </w:r>
    </w:p>
  </w:footnote>
  <w:footnote w:id="18">
    <w:p w:rsidR="0019447D" w:rsidRPr="008B4F36" w:rsidRDefault="0019447D" w:rsidP="008B4F36">
      <w:pPr>
        <w:pStyle w:val="a8"/>
        <w:tabs>
          <w:tab w:val="left" w:pos="0"/>
        </w:tabs>
        <w:spacing w:after="0" w:line="240" w:lineRule="auto"/>
        <w:ind w:left="0"/>
        <w:jc w:val="both"/>
        <w:rPr>
          <w:rFonts w:ascii="Times New Roman" w:eastAsia="Calibri" w:hAnsi="Times New Roman" w:cs="Times New Roman"/>
          <w:sz w:val="20"/>
          <w:szCs w:val="20"/>
        </w:rPr>
      </w:pPr>
      <w:r>
        <w:rPr>
          <w:rStyle w:val="af2"/>
        </w:rPr>
        <w:footnoteRef/>
      </w:r>
      <w:r>
        <w:t xml:space="preserve"> </w:t>
      </w:r>
      <w:r w:rsidRPr="008B4F36">
        <w:rPr>
          <w:rFonts w:ascii="Times New Roman" w:eastAsia="Calibri" w:hAnsi="Times New Roman" w:cs="Times New Roman"/>
          <w:sz w:val="20"/>
          <w:szCs w:val="20"/>
        </w:rPr>
        <w:t>Официальный сайт Агентства по страхованию вкладов [Электронный ресурс] // Режим доступа: https://www.asv.org.ru/</w:t>
      </w:r>
    </w:p>
  </w:footnote>
  <w:footnote w:id="19">
    <w:p w:rsidR="0019447D" w:rsidRPr="008B4F36" w:rsidRDefault="0019447D" w:rsidP="008B4F36">
      <w:pPr>
        <w:pStyle w:val="a8"/>
        <w:tabs>
          <w:tab w:val="left" w:pos="0"/>
        </w:tabs>
        <w:spacing w:after="0" w:line="240" w:lineRule="auto"/>
        <w:ind w:left="0"/>
        <w:jc w:val="both"/>
        <w:rPr>
          <w:rFonts w:ascii="Times New Roman" w:eastAsia="Calibri" w:hAnsi="Times New Roman" w:cs="Times New Roman"/>
          <w:sz w:val="20"/>
          <w:szCs w:val="20"/>
        </w:rPr>
      </w:pPr>
      <w:r>
        <w:rPr>
          <w:rStyle w:val="af2"/>
        </w:rPr>
        <w:footnoteRef/>
      </w:r>
      <w:r>
        <w:t xml:space="preserve"> </w:t>
      </w:r>
      <w:r w:rsidRPr="008B4F36">
        <w:rPr>
          <w:rFonts w:ascii="Times New Roman" w:eastAsia="Calibri" w:hAnsi="Times New Roman" w:cs="Times New Roman"/>
          <w:sz w:val="20"/>
          <w:szCs w:val="20"/>
        </w:rPr>
        <w:t>Официальный сайт Агентства по страхованию вкладов [Электронный ресурс] // Режим доступа: https://www.asv.org.ru/</w:t>
      </w:r>
    </w:p>
  </w:footnote>
  <w:footnote w:id="20">
    <w:p w:rsidR="0019447D" w:rsidRPr="008B4F36" w:rsidRDefault="0019447D" w:rsidP="008B4F36">
      <w:pPr>
        <w:pStyle w:val="a8"/>
        <w:tabs>
          <w:tab w:val="left" w:pos="0"/>
        </w:tabs>
        <w:spacing w:after="0" w:line="240" w:lineRule="auto"/>
        <w:ind w:left="0"/>
        <w:jc w:val="both"/>
        <w:rPr>
          <w:rFonts w:ascii="Times New Roman" w:eastAsia="Calibri" w:hAnsi="Times New Roman" w:cs="Times New Roman"/>
          <w:sz w:val="20"/>
          <w:szCs w:val="20"/>
        </w:rPr>
      </w:pPr>
      <w:r>
        <w:rPr>
          <w:rStyle w:val="af2"/>
        </w:rPr>
        <w:footnoteRef/>
      </w:r>
      <w:r>
        <w:t xml:space="preserve"> </w:t>
      </w:r>
      <w:r w:rsidRPr="008B4F36">
        <w:rPr>
          <w:rFonts w:ascii="Times New Roman" w:eastAsia="Calibri" w:hAnsi="Times New Roman" w:cs="Times New Roman"/>
          <w:sz w:val="20"/>
          <w:szCs w:val="20"/>
        </w:rPr>
        <w:t>Официальный сайт Агентства по страхованию вкладов [Электронный ресурс] // Режим доступа: https://www.asv.org.ru/</w:t>
      </w:r>
    </w:p>
  </w:footnote>
  <w:footnote w:id="21">
    <w:p w:rsidR="0019447D" w:rsidRPr="008B4F36" w:rsidRDefault="0019447D" w:rsidP="008B4F36">
      <w:pPr>
        <w:pStyle w:val="a8"/>
        <w:tabs>
          <w:tab w:val="left" w:pos="0"/>
        </w:tabs>
        <w:spacing w:after="0" w:line="240" w:lineRule="auto"/>
        <w:ind w:left="0"/>
        <w:jc w:val="both"/>
        <w:rPr>
          <w:rFonts w:ascii="Times New Roman" w:eastAsia="Calibri" w:hAnsi="Times New Roman" w:cs="Times New Roman"/>
          <w:sz w:val="20"/>
          <w:szCs w:val="20"/>
        </w:rPr>
      </w:pPr>
      <w:r>
        <w:rPr>
          <w:rStyle w:val="af2"/>
        </w:rPr>
        <w:footnoteRef/>
      </w:r>
      <w:r>
        <w:t xml:space="preserve"> </w:t>
      </w:r>
      <w:r w:rsidRPr="008B4F36">
        <w:rPr>
          <w:rFonts w:ascii="Times New Roman" w:eastAsia="Calibri" w:hAnsi="Times New Roman" w:cs="Times New Roman"/>
          <w:sz w:val="20"/>
          <w:szCs w:val="20"/>
        </w:rPr>
        <w:t>Официальный сайт Агентства по страхованию вкладов [Электронный ресурс] // Режим доступа: https://www.asv.org.ru/</w:t>
      </w:r>
    </w:p>
  </w:footnote>
  <w:footnote w:id="22">
    <w:p w:rsidR="0019447D" w:rsidRDefault="0019447D" w:rsidP="00860642">
      <w:pPr>
        <w:pStyle w:val="af0"/>
      </w:pPr>
      <w:r>
        <w:rPr>
          <w:rStyle w:val="af2"/>
        </w:rPr>
        <w:footnoteRef/>
      </w:r>
      <w:r>
        <w:t xml:space="preserve"> Катвицкая М.Ю. Особенности страхования вкладов физических лиц в российских банках // Право и экономика. – 2017. – № 6. С. 65 - 71.</w:t>
      </w:r>
    </w:p>
  </w:footnote>
  <w:footnote w:id="23">
    <w:p w:rsidR="0019447D" w:rsidRPr="00860642" w:rsidRDefault="0019447D" w:rsidP="00860642">
      <w:pPr>
        <w:tabs>
          <w:tab w:val="left" w:pos="1418"/>
        </w:tabs>
        <w:spacing w:after="0" w:line="240" w:lineRule="auto"/>
        <w:ind w:right="282"/>
        <w:jc w:val="both"/>
        <w:rPr>
          <w:rFonts w:ascii="Times New Roman" w:hAnsi="Times New Roman" w:cs="Times New Roman"/>
          <w:sz w:val="20"/>
          <w:szCs w:val="20"/>
        </w:rPr>
      </w:pPr>
      <w:r w:rsidRPr="00860642">
        <w:rPr>
          <w:rStyle w:val="af2"/>
          <w:rFonts w:ascii="Times New Roman" w:hAnsi="Times New Roman"/>
          <w:sz w:val="20"/>
          <w:szCs w:val="20"/>
        </w:rPr>
        <w:footnoteRef/>
      </w:r>
      <w:r w:rsidRPr="00860642">
        <w:rPr>
          <w:rFonts w:ascii="Times New Roman" w:hAnsi="Times New Roman" w:cs="Times New Roman"/>
          <w:sz w:val="20"/>
          <w:szCs w:val="20"/>
        </w:rPr>
        <w:t xml:space="preserve"> </w:t>
      </w:r>
      <w:r w:rsidRPr="00860642">
        <w:rPr>
          <w:rFonts w:ascii="Times New Roman" w:hAnsi="Times New Roman" w:cs="Times New Roman"/>
          <w:sz w:val="20"/>
          <w:szCs w:val="20"/>
          <w:shd w:val="clear" w:color="auto" w:fill="FFFFFF"/>
        </w:rPr>
        <w:t>Гурулёва О. С. Система страхования вкладов в Российской Федерации. Проблемы и перспективы развития // Молодой ученый. — 2018. — №16. — С. 200-203. — URL https://moluch.ru/archive/202/49648/ (дата обращения: 24.03.2019).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4C2"/>
    <w:multiLevelType w:val="hybridMultilevel"/>
    <w:tmpl w:val="66B22FE4"/>
    <w:lvl w:ilvl="0" w:tplc="BE84821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014936"/>
    <w:multiLevelType w:val="hybridMultilevel"/>
    <w:tmpl w:val="DA8230D8"/>
    <w:lvl w:ilvl="0" w:tplc="4C1A0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995DF1"/>
    <w:multiLevelType w:val="hybridMultilevel"/>
    <w:tmpl w:val="44026628"/>
    <w:lvl w:ilvl="0" w:tplc="7F64888C">
      <w:start w:val="1"/>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EB88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6BE3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EC3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CA6C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D30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EDFA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69F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AADE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43483C"/>
    <w:multiLevelType w:val="hybridMultilevel"/>
    <w:tmpl w:val="DF36BEEA"/>
    <w:lvl w:ilvl="0" w:tplc="4C1A0B7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0787906"/>
    <w:multiLevelType w:val="hybridMultilevel"/>
    <w:tmpl w:val="48764EF6"/>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D346BD"/>
    <w:multiLevelType w:val="hybridMultilevel"/>
    <w:tmpl w:val="1A966E98"/>
    <w:lvl w:ilvl="0" w:tplc="4C1A0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96EA5"/>
    <w:multiLevelType w:val="hybridMultilevel"/>
    <w:tmpl w:val="20EC4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B6BA2"/>
    <w:multiLevelType w:val="hybridMultilevel"/>
    <w:tmpl w:val="DD5467CC"/>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8">
    <w:nsid w:val="1EB8273D"/>
    <w:multiLevelType w:val="hybridMultilevel"/>
    <w:tmpl w:val="0354E7BE"/>
    <w:lvl w:ilvl="0" w:tplc="4C1A0B7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FAE1C50"/>
    <w:multiLevelType w:val="hybridMultilevel"/>
    <w:tmpl w:val="DD8E5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3D849DC"/>
    <w:multiLevelType w:val="hybridMultilevel"/>
    <w:tmpl w:val="67B4E382"/>
    <w:lvl w:ilvl="0" w:tplc="4C1A0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7610EF"/>
    <w:multiLevelType w:val="hybridMultilevel"/>
    <w:tmpl w:val="A6FC9A70"/>
    <w:lvl w:ilvl="0" w:tplc="4C1A0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268FD"/>
    <w:multiLevelType w:val="hybridMultilevel"/>
    <w:tmpl w:val="FD380220"/>
    <w:lvl w:ilvl="0" w:tplc="4C1A0B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1FB1B3B"/>
    <w:multiLevelType w:val="hybridMultilevel"/>
    <w:tmpl w:val="D58E63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2C6B1C"/>
    <w:multiLevelType w:val="hybridMultilevel"/>
    <w:tmpl w:val="D5E42A64"/>
    <w:lvl w:ilvl="0" w:tplc="B430103C">
      <w:start w:val="1"/>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C161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847B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32592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2B24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4FC3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066D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C35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6AA9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35460AC"/>
    <w:multiLevelType w:val="hybridMultilevel"/>
    <w:tmpl w:val="C5888478"/>
    <w:lvl w:ilvl="0" w:tplc="98EAC85E">
      <w:start w:val="1"/>
      <w:numFmt w:val="decimal"/>
      <w:lvlText w:val="%1."/>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796A73F4">
      <w:start w:val="1"/>
      <w:numFmt w:val="lowerLetter"/>
      <w:lvlText w:val="%2"/>
      <w:lvlJc w:val="left"/>
      <w:pPr>
        <w:ind w:left="14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EB5CB262">
      <w:start w:val="1"/>
      <w:numFmt w:val="lowerRoman"/>
      <w:lvlText w:val="%3"/>
      <w:lvlJc w:val="left"/>
      <w:pPr>
        <w:ind w:left="21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F924728A">
      <w:start w:val="1"/>
      <w:numFmt w:val="decimal"/>
      <w:lvlText w:val="%4"/>
      <w:lvlJc w:val="left"/>
      <w:pPr>
        <w:ind w:left="28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720F74C">
      <w:start w:val="1"/>
      <w:numFmt w:val="lowerLetter"/>
      <w:lvlText w:val="%5"/>
      <w:lvlJc w:val="left"/>
      <w:pPr>
        <w:ind w:left="35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AC585ECE">
      <w:start w:val="1"/>
      <w:numFmt w:val="lowerRoman"/>
      <w:lvlText w:val="%6"/>
      <w:lvlJc w:val="left"/>
      <w:pPr>
        <w:ind w:left="4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667C30C2">
      <w:start w:val="1"/>
      <w:numFmt w:val="decimal"/>
      <w:lvlText w:val="%7"/>
      <w:lvlJc w:val="left"/>
      <w:pPr>
        <w:ind w:left="50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D10E9C22">
      <w:start w:val="1"/>
      <w:numFmt w:val="lowerLetter"/>
      <w:lvlText w:val="%8"/>
      <w:lvlJc w:val="left"/>
      <w:pPr>
        <w:ind w:left="57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49F008B2">
      <w:start w:val="1"/>
      <w:numFmt w:val="lowerRoman"/>
      <w:lvlText w:val="%9"/>
      <w:lvlJc w:val="left"/>
      <w:pPr>
        <w:ind w:left="64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7">
    <w:nsid w:val="33E7501C"/>
    <w:multiLevelType w:val="multilevel"/>
    <w:tmpl w:val="9F26FCDA"/>
    <w:lvl w:ilvl="0">
      <w:start w:val="1"/>
      <w:numFmt w:val="decimal"/>
      <w:lvlText w:val="%1"/>
      <w:lvlJc w:val="left"/>
      <w:pPr>
        <w:ind w:left="408" w:hanging="408"/>
      </w:pPr>
      <w:rPr>
        <w:rFonts w:hint="default"/>
        <w:color w:val="0000FF"/>
        <w:u w:val="single"/>
      </w:rPr>
    </w:lvl>
    <w:lvl w:ilvl="1">
      <w:start w:val="1"/>
      <w:numFmt w:val="decimal"/>
      <w:lvlText w:val="%1.%2"/>
      <w:lvlJc w:val="left"/>
      <w:pPr>
        <w:ind w:left="408" w:hanging="408"/>
      </w:pPr>
      <w:rPr>
        <w:rFonts w:hint="default"/>
        <w:b/>
        <w:color w:val="auto"/>
        <w:u w:val="non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8">
    <w:nsid w:val="36E47858"/>
    <w:multiLevelType w:val="hybridMultilevel"/>
    <w:tmpl w:val="B548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33182"/>
    <w:multiLevelType w:val="hybridMultilevel"/>
    <w:tmpl w:val="E7FE948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3CE318B1"/>
    <w:multiLevelType w:val="hybridMultilevel"/>
    <w:tmpl w:val="C77673DC"/>
    <w:lvl w:ilvl="0" w:tplc="4C1A0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6A0A7E"/>
    <w:multiLevelType w:val="hybridMultilevel"/>
    <w:tmpl w:val="4D24E88C"/>
    <w:lvl w:ilvl="0" w:tplc="C12AE866">
      <w:start w:val="1"/>
      <w:numFmt w:val="decimal"/>
      <w:lvlText w:val="%1."/>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E792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66ED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C6EA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A9A6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8F01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4C5A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69BC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C04E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ABC4ABB"/>
    <w:multiLevelType w:val="hybridMultilevel"/>
    <w:tmpl w:val="D8F01F78"/>
    <w:lvl w:ilvl="0" w:tplc="8968E168">
      <w:start w:val="1"/>
      <w:numFmt w:val="decimal"/>
      <w:lvlText w:val="%1"/>
      <w:lvlJc w:val="left"/>
      <w:pPr>
        <w:ind w:left="360" w:hanging="360"/>
      </w:pPr>
      <w:rPr>
        <w:rFonts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B1E00E5"/>
    <w:multiLevelType w:val="hybridMultilevel"/>
    <w:tmpl w:val="3D60168E"/>
    <w:lvl w:ilvl="0" w:tplc="BC580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212D2F"/>
    <w:multiLevelType w:val="hybridMultilevel"/>
    <w:tmpl w:val="51466BA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63E6264"/>
    <w:multiLevelType w:val="hybridMultilevel"/>
    <w:tmpl w:val="D710219C"/>
    <w:lvl w:ilvl="0" w:tplc="4C1A0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6CC0751"/>
    <w:multiLevelType w:val="hybridMultilevel"/>
    <w:tmpl w:val="B97C7E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6DB506C"/>
    <w:multiLevelType w:val="hybridMultilevel"/>
    <w:tmpl w:val="099E53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6EE2632"/>
    <w:multiLevelType w:val="hybridMultilevel"/>
    <w:tmpl w:val="E8D4D55E"/>
    <w:lvl w:ilvl="0" w:tplc="4C1A0B76">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30">
    <w:nsid w:val="5BE112AE"/>
    <w:multiLevelType w:val="hybridMultilevel"/>
    <w:tmpl w:val="98B0000E"/>
    <w:lvl w:ilvl="0" w:tplc="4C1A0B76">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31">
    <w:nsid w:val="5EFA6314"/>
    <w:multiLevelType w:val="hybridMultilevel"/>
    <w:tmpl w:val="8A1CEE10"/>
    <w:lvl w:ilvl="0" w:tplc="4C1A0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3545AB"/>
    <w:multiLevelType w:val="hybridMultilevel"/>
    <w:tmpl w:val="C95424C8"/>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030F63"/>
    <w:multiLevelType w:val="hybridMultilevel"/>
    <w:tmpl w:val="F70652C2"/>
    <w:lvl w:ilvl="0" w:tplc="4C1A0B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033C1"/>
    <w:multiLevelType w:val="hybridMultilevel"/>
    <w:tmpl w:val="7E5C2B0E"/>
    <w:lvl w:ilvl="0" w:tplc="3DF09BFE">
      <w:start w:val="1"/>
      <w:numFmt w:val="decimal"/>
      <w:lvlText w:val="%1)"/>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0B92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CB59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8DE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A6CE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898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46D0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A9AA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8548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E9D39AB"/>
    <w:multiLevelType w:val="hybridMultilevel"/>
    <w:tmpl w:val="3AB21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16759B1"/>
    <w:multiLevelType w:val="hybridMultilevel"/>
    <w:tmpl w:val="26C6CD66"/>
    <w:lvl w:ilvl="0" w:tplc="4C1A0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E05DDD"/>
    <w:multiLevelType w:val="multilevel"/>
    <w:tmpl w:val="80A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2E0EB9"/>
    <w:multiLevelType w:val="hybridMultilevel"/>
    <w:tmpl w:val="F146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628C4"/>
    <w:multiLevelType w:val="hybridMultilevel"/>
    <w:tmpl w:val="40008EF4"/>
    <w:lvl w:ilvl="0" w:tplc="4C1A0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126B7"/>
    <w:multiLevelType w:val="hybridMultilevel"/>
    <w:tmpl w:val="CB74C5D8"/>
    <w:lvl w:ilvl="0" w:tplc="4C1A0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BC5460"/>
    <w:multiLevelType w:val="hybridMultilevel"/>
    <w:tmpl w:val="4AD6747C"/>
    <w:lvl w:ilvl="0" w:tplc="4C1A0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B93E66"/>
    <w:multiLevelType w:val="hybridMultilevel"/>
    <w:tmpl w:val="40E871F0"/>
    <w:lvl w:ilvl="0" w:tplc="4C1A0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8D5B08"/>
    <w:multiLevelType w:val="hybridMultilevel"/>
    <w:tmpl w:val="38ECFDC4"/>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num w:numId="1">
    <w:abstractNumId w:val="19"/>
  </w:num>
  <w:num w:numId="2">
    <w:abstractNumId w:val="11"/>
  </w:num>
  <w:num w:numId="3">
    <w:abstractNumId w:val="25"/>
  </w:num>
  <w:num w:numId="4">
    <w:abstractNumId w:val="22"/>
  </w:num>
  <w:num w:numId="5">
    <w:abstractNumId w:val="24"/>
  </w:num>
  <w:num w:numId="6">
    <w:abstractNumId w:val="17"/>
  </w:num>
  <w:num w:numId="7">
    <w:abstractNumId w:val="7"/>
  </w:num>
  <w:num w:numId="8">
    <w:abstractNumId w:val="43"/>
  </w:num>
  <w:num w:numId="9">
    <w:abstractNumId w:val="27"/>
  </w:num>
  <w:num w:numId="10">
    <w:abstractNumId w:val="18"/>
  </w:num>
  <w:num w:numId="11">
    <w:abstractNumId w:val="37"/>
  </w:num>
  <w:num w:numId="12">
    <w:abstractNumId w:val="38"/>
  </w:num>
  <w:num w:numId="13">
    <w:abstractNumId w:val="16"/>
  </w:num>
  <w:num w:numId="14">
    <w:abstractNumId w:val="6"/>
  </w:num>
  <w:num w:numId="15">
    <w:abstractNumId w:val="28"/>
  </w:num>
  <w:num w:numId="16">
    <w:abstractNumId w:val="21"/>
  </w:num>
  <w:num w:numId="17">
    <w:abstractNumId w:val="34"/>
  </w:num>
  <w:num w:numId="18">
    <w:abstractNumId w:val="15"/>
  </w:num>
  <w:num w:numId="19">
    <w:abstractNumId w:val="2"/>
  </w:num>
  <w:num w:numId="20">
    <w:abstractNumId w:val="31"/>
  </w:num>
  <w:num w:numId="21">
    <w:abstractNumId w:val="1"/>
  </w:num>
  <w:num w:numId="22">
    <w:abstractNumId w:val="40"/>
  </w:num>
  <w:num w:numId="23">
    <w:abstractNumId w:val="32"/>
  </w:num>
  <w:num w:numId="24">
    <w:abstractNumId w:val="41"/>
  </w:num>
  <w:num w:numId="25">
    <w:abstractNumId w:val="20"/>
  </w:num>
  <w:num w:numId="26">
    <w:abstractNumId w:val="26"/>
  </w:num>
  <w:num w:numId="27">
    <w:abstractNumId w:val="36"/>
  </w:num>
  <w:num w:numId="28">
    <w:abstractNumId w:val="8"/>
  </w:num>
  <w:num w:numId="29">
    <w:abstractNumId w:val="3"/>
  </w:num>
  <w:num w:numId="30">
    <w:abstractNumId w:val="39"/>
  </w:num>
  <w:num w:numId="31">
    <w:abstractNumId w:val="29"/>
  </w:num>
  <w:num w:numId="32">
    <w:abstractNumId w:val="13"/>
  </w:num>
  <w:num w:numId="33">
    <w:abstractNumId w:val="30"/>
  </w:num>
  <w:num w:numId="34">
    <w:abstractNumId w:val="14"/>
  </w:num>
  <w:num w:numId="35">
    <w:abstractNumId w:val="42"/>
  </w:num>
  <w:num w:numId="36">
    <w:abstractNumId w:val="12"/>
  </w:num>
  <w:num w:numId="37">
    <w:abstractNumId w:val="10"/>
  </w:num>
  <w:num w:numId="38">
    <w:abstractNumId w:val="9"/>
  </w:num>
  <w:num w:numId="39">
    <w:abstractNumId w:val="33"/>
  </w:num>
  <w:num w:numId="40">
    <w:abstractNumId w:val="5"/>
  </w:num>
  <w:num w:numId="41">
    <w:abstractNumId w:val="4"/>
  </w:num>
  <w:num w:numId="42">
    <w:abstractNumId w:val="0"/>
  </w:num>
  <w:num w:numId="43">
    <w:abstractNumId w:val="23"/>
  </w:num>
  <w:num w:numId="44">
    <w:abstractNumId w:val="3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D339F9"/>
    <w:rsid w:val="00005584"/>
    <w:rsid w:val="00012B57"/>
    <w:rsid w:val="0001382C"/>
    <w:rsid w:val="0001473F"/>
    <w:rsid w:val="00016019"/>
    <w:rsid w:val="00017223"/>
    <w:rsid w:val="00023E7F"/>
    <w:rsid w:val="00024859"/>
    <w:rsid w:val="00025CFC"/>
    <w:rsid w:val="00026910"/>
    <w:rsid w:val="0003485D"/>
    <w:rsid w:val="000402F5"/>
    <w:rsid w:val="00055AC0"/>
    <w:rsid w:val="000666EA"/>
    <w:rsid w:val="00074A48"/>
    <w:rsid w:val="000759D2"/>
    <w:rsid w:val="00084CEE"/>
    <w:rsid w:val="0009479C"/>
    <w:rsid w:val="00095B20"/>
    <w:rsid w:val="000B4818"/>
    <w:rsid w:val="000C3C5D"/>
    <w:rsid w:val="000D1B74"/>
    <w:rsid w:val="000D25BE"/>
    <w:rsid w:val="000D4E2D"/>
    <w:rsid w:val="000D5D46"/>
    <w:rsid w:val="000F3C77"/>
    <w:rsid w:val="000F56C3"/>
    <w:rsid w:val="001011EC"/>
    <w:rsid w:val="00101E54"/>
    <w:rsid w:val="00104B33"/>
    <w:rsid w:val="00105998"/>
    <w:rsid w:val="001104E0"/>
    <w:rsid w:val="0011384B"/>
    <w:rsid w:val="001144A6"/>
    <w:rsid w:val="00116991"/>
    <w:rsid w:val="00125353"/>
    <w:rsid w:val="00137B90"/>
    <w:rsid w:val="00143206"/>
    <w:rsid w:val="0014468E"/>
    <w:rsid w:val="00145903"/>
    <w:rsid w:val="0015788E"/>
    <w:rsid w:val="00163E7F"/>
    <w:rsid w:val="00171637"/>
    <w:rsid w:val="00172843"/>
    <w:rsid w:val="00180A8E"/>
    <w:rsid w:val="00190C4C"/>
    <w:rsid w:val="00191840"/>
    <w:rsid w:val="0019447D"/>
    <w:rsid w:val="001A1DE5"/>
    <w:rsid w:val="001A4CD3"/>
    <w:rsid w:val="001A65A3"/>
    <w:rsid w:val="001A7111"/>
    <w:rsid w:val="001B1E6C"/>
    <w:rsid w:val="001B23EA"/>
    <w:rsid w:val="001B3970"/>
    <w:rsid w:val="001E60AD"/>
    <w:rsid w:val="001F0D45"/>
    <w:rsid w:val="001F5CC1"/>
    <w:rsid w:val="001F6B74"/>
    <w:rsid w:val="00202EE8"/>
    <w:rsid w:val="0022333A"/>
    <w:rsid w:val="00225F76"/>
    <w:rsid w:val="00234578"/>
    <w:rsid w:val="00236F59"/>
    <w:rsid w:val="00241433"/>
    <w:rsid w:val="0024160B"/>
    <w:rsid w:val="002445FD"/>
    <w:rsid w:val="00247284"/>
    <w:rsid w:val="00247489"/>
    <w:rsid w:val="002478B7"/>
    <w:rsid w:val="00250508"/>
    <w:rsid w:val="00252FB2"/>
    <w:rsid w:val="0026018A"/>
    <w:rsid w:val="00266817"/>
    <w:rsid w:val="002674F7"/>
    <w:rsid w:val="0027292B"/>
    <w:rsid w:val="002738DA"/>
    <w:rsid w:val="0028065C"/>
    <w:rsid w:val="00290BCC"/>
    <w:rsid w:val="00297515"/>
    <w:rsid w:val="002A0D36"/>
    <w:rsid w:val="002A6B60"/>
    <w:rsid w:val="002B1F1C"/>
    <w:rsid w:val="002B34C9"/>
    <w:rsid w:val="002B4852"/>
    <w:rsid w:val="002C5947"/>
    <w:rsid w:val="002D5F0E"/>
    <w:rsid w:val="002E1C02"/>
    <w:rsid w:val="002E24CF"/>
    <w:rsid w:val="002E5095"/>
    <w:rsid w:val="002F025A"/>
    <w:rsid w:val="0031146A"/>
    <w:rsid w:val="003115DD"/>
    <w:rsid w:val="003201A0"/>
    <w:rsid w:val="003217D4"/>
    <w:rsid w:val="00321A0D"/>
    <w:rsid w:val="00337CFE"/>
    <w:rsid w:val="00340BC9"/>
    <w:rsid w:val="003455FC"/>
    <w:rsid w:val="003614D8"/>
    <w:rsid w:val="003626A8"/>
    <w:rsid w:val="003627A3"/>
    <w:rsid w:val="00373685"/>
    <w:rsid w:val="00374725"/>
    <w:rsid w:val="003761CD"/>
    <w:rsid w:val="0037766A"/>
    <w:rsid w:val="0038413B"/>
    <w:rsid w:val="00386F96"/>
    <w:rsid w:val="0039518D"/>
    <w:rsid w:val="003A227C"/>
    <w:rsid w:val="003A3554"/>
    <w:rsid w:val="003A66C2"/>
    <w:rsid w:val="003B14D8"/>
    <w:rsid w:val="003C25F4"/>
    <w:rsid w:val="003C59BE"/>
    <w:rsid w:val="003C5C6E"/>
    <w:rsid w:val="003D38C6"/>
    <w:rsid w:val="003D7FF9"/>
    <w:rsid w:val="003E0376"/>
    <w:rsid w:val="003E558F"/>
    <w:rsid w:val="003F02BC"/>
    <w:rsid w:val="003F7CF4"/>
    <w:rsid w:val="0040088F"/>
    <w:rsid w:val="00407C3C"/>
    <w:rsid w:val="004106B4"/>
    <w:rsid w:val="0041316C"/>
    <w:rsid w:val="004258FB"/>
    <w:rsid w:val="00442C04"/>
    <w:rsid w:val="00445D40"/>
    <w:rsid w:val="00456F6B"/>
    <w:rsid w:val="004600D2"/>
    <w:rsid w:val="00463E3E"/>
    <w:rsid w:val="00465186"/>
    <w:rsid w:val="004673E1"/>
    <w:rsid w:val="004678C3"/>
    <w:rsid w:val="00475447"/>
    <w:rsid w:val="0048313D"/>
    <w:rsid w:val="0048547F"/>
    <w:rsid w:val="00486B2B"/>
    <w:rsid w:val="00492CAA"/>
    <w:rsid w:val="004A0100"/>
    <w:rsid w:val="004C1B1A"/>
    <w:rsid w:val="004C28BD"/>
    <w:rsid w:val="004C5B81"/>
    <w:rsid w:val="004D7C58"/>
    <w:rsid w:val="004E095D"/>
    <w:rsid w:val="004E375D"/>
    <w:rsid w:val="004E3E42"/>
    <w:rsid w:val="004E43F9"/>
    <w:rsid w:val="004E6EEF"/>
    <w:rsid w:val="004F04B3"/>
    <w:rsid w:val="0050405D"/>
    <w:rsid w:val="00512598"/>
    <w:rsid w:val="005332CE"/>
    <w:rsid w:val="0053484B"/>
    <w:rsid w:val="00546FF5"/>
    <w:rsid w:val="00552DE2"/>
    <w:rsid w:val="0055366C"/>
    <w:rsid w:val="005645DD"/>
    <w:rsid w:val="005671CF"/>
    <w:rsid w:val="00570383"/>
    <w:rsid w:val="005709A2"/>
    <w:rsid w:val="00572F34"/>
    <w:rsid w:val="005832CA"/>
    <w:rsid w:val="00594607"/>
    <w:rsid w:val="005A1D75"/>
    <w:rsid w:val="005A58CA"/>
    <w:rsid w:val="005B376A"/>
    <w:rsid w:val="005C5DA5"/>
    <w:rsid w:val="005D2245"/>
    <w:rsid w:val="005E06C6"/>
    <w:rsid w:val="005E308F"/>
    <w:rsid w:val="005F1277"/>
    <w:rsid w:val="005F4691"/>
    <w:rsid w:val="005F77F0"/>
    <w:rsid w:val="00600238"/>
    <w:rsid w:val="00601619"/>
    <w:rsid w:val="0060221F"/>
    <w:rsid w:val="006241E3"/>
    <w:rsid w:val="006268C2"/>
    <w:rsid w:val="006274C8"/>
    <w:rsid w:val="006368CF"/>
    <w:rsid w:val="006468A1"/>
    <w:rsid w:val="0065299E"/>
    <w:rsid w:val="006554B6"/>
    <w:rsid w:val="006577E4"/>
    <w:rsid w:val="006606E4"/>
    <w:rsid w:val="006637B0"/>
    <w:rsid w:val="00670347"/>
    <w:rsid w:val="00673476"/>
    <w:rsid w:val="00677B9F"/>
    <w:rsid w:val="0068010C"/>
    <w:rsid w:val="00684717"/>
    <w:rsid w:val="006A0882"/>
    <w:rsid w:val="006A6782"/>
    <w:rsid w:val="006B3B6B"/>
    <w:rsid w:val="006B7803"/>
    <w:rsid w:val="006C42E6"/>
    <w:rsid w:val="006C5C5D"/>
    <w:rsid w:val="006D2979"/>
    <w:rsid w:val="006D6037"/>
    <w:rsid w:val="006E5A9C"/>
    <w:rsid w:val="006E6A5D"/>
    <w:rsid w:val="006E7F6B"/>
    <w:rsid w:val="007025F5"/>
    <w:rsid w:val="00706D3E"/>
    <w:rsid w:val="007103B8"/>
    <w:rsid w:val="00714C0F"/>
    <w:rsid w:val="00716B26"/>
    <w:rsid w:val="00717338"/>
    <w:rsid w:val="00720BA2"/>
    <w:rsid w:val="007217C0"/>
    <w:rsid w:val="0073233E"/>
    <w:rsid w:val="00754B2D"/>
    <w:rsid w:val="00766021"/>
    <w:rsid w:val="0077755C"/>
    <w:rsid w:val="00795F77"/>
    <w:rsid w:val="007A5B1F"/>
    <w:rsid w:val="007A6041"/>
    <w:rsid w:val="007A6237"/>
    <w:rsid w:val="007B0EFF"/>
    <w:rsid w:val="007B59B1"/>
    <w:rsid w:val="007C6556"/>
    <w:rsid w:val="007D3980"/>
    <w:rsid w:val="007D5216"/>
    <w:rsid w:val="007D7FBC"/>
    <w:rsid w:val="007E20B0"/>
    <w:rsid w:val="007F2AFA"/>
    <w:rsid w:val="008046F7"/>
    <w:rsid w:val="0081430D"/>
    <w:rsid w:val="00814812"/>
    <w:rsid w:val="00817825"/>
    <w:rsid w:val="00824F8C"/>
    <w:rsid w:val="00831732"/>
    <w:rsid w:val="00833878"/>
    <w:rsid w:val="0083714D"/>
    <w:rsid w:val="0084676E"/>
    <w:rsid w:val="00851D64"/>
    <w:rsid w:val="0085443B"/>
    <w:rsid w:val="008551EB"/>
    <w:rsid w:val="00860642"/>
    <w:rsid w:val="0086159B"/>
    <w:rsid w:val="008622F2"/>
    <w:rsid w:val="008625EA"/>
    <w:rsid w:val="00867765"/>
    <w:rsid w:val="00871C8E"/>
    <w:rsid w:val="008771C1"/>
    <w:rsid w:val="0088413C"/>
    <w:rsid w:val="008849D4"/>
    <w:rsid w:val="00886684"/>
    <w:rsid w:val="00893378"/>
    <w:rsid w:val="008B1D85"/>
    <w:rsid w:val="008B2BB9"/>
    <w:rsid w:val="008B4F36"/>
    <w:rsid w:val="008C095A"/>
    <w:rsid w:val="008D22AD"/>
    <w:rsid w:val="008D27AC"/>
    <w:rsid w:val="008D4F88"/>
    <w:rsid w:val="008E1339"/>
    <w:rsid w:val="008E3B55"/>
    <w:rsid w:val="008E6BA0"/>
    <w:rsid w:val="008F4338"/>
    <w:rsid w:val="00900B4A"/>
    <w:rsid w:val="00900E9D"/>
    <w:rsid w:val="00906526"/>
    <w:rsid w:val="009069C6"/>
    <w:rsid w:val="00912D90"/>
    <w:rsid w:val="0093232E"/>
    <w:rsid w:val="00940F77"/>
    <w:rsid w:val="0094478A"/>
    <w:rsid w:val="0095249D"/>
    <w:rsid w:val="00961065"/>
    <w:rsid w:val="00963417"/>
    <w:rsid w:val="00970A9F"/>
    <w:rsid w:val="0097729D"/>
    <w:rsid w:val="00977C05"/>
    <w:rsid w:val="00986B33"/>
    <w:rsid w:val="00991B07"/>
    <w:rsid w:val="00991FDB"/>
    <w:rsid w:val="009968EE"/>
    <w:rsid w:val="00997A83"/>
    <w:rsid w:val="009A114C"/>
    <w:rsid w:val="009A29D1"/>
    <w:rsid w:val="009A2B79"/>
    <w:rsid w:val="009A2F9A"/>
    <w:rsid w:val="009A487B"/>
    <w:rsid w:val="009D2349"/>
    <w:rsid w:val="009E15A1"/>
    <w:rsid w:val="00A0256E"/>
    <w:rsid w:val="00A06DCD"/>
    <w:rsid w:val="00A1539A"/>
    <w:rsid w:val="00A22D14"/>
    <w:rsid w:val="00A30B3A"/>
    <w:rsid w:val="00A31828"/>
    <w:rsid w:val="00A325A5"/>
    <w:rsid w:val="00A35E92"/>
    <w:rsid w:val="00A443CB"/>
    <w:rsid w:val="00A45247"/>
    <w:rsid w:val="00A51FFB"/>
    <w:rsid w:val="00A5567C"/>
    <w:rsid w:val="00A55B8C"/>
    <w:rsid w:val="00A60A95"/>
    <w:rsid w:val="00A665D3"/>
    <w:rsid w:val="00A67B13"/>
    <w:rsid w:val="00A67CB6"/>
    <w:rsid w:val="00A70BCC"/>
    <w:rsid w:val="00A750F5"/>
    <w:rsid w:val="00A7662F"/>
    <w:rsid w:val="00A77B1D"/>
    <w:rsid w:val="00A870EB"/>
    <w:rsid w:val="00A90A59"/>
    <w:rsid w:val="00AA0EC3"/>
    <w:rsid w:val="00AA43CE"/>
    <w:rsid w:val="00AB3AAA"/>
    <w:rsid w:val="00AB702C"/>
    <w:rsid w:val="00AC0A7A"/>
    <w:rsid w:val="00AD295D"/>
    <w:rsid w:val="00AD35B3"/>
    <w:rsid w:val="00AD4B36"/>
    <w:rsid w:val="00AD5398"/>
    <w:rsid w:val="00AD6649"/>
    <w:rsid w:val="00AE392B"/>
    <w:rsid w:val="00AE549F"/>
    <w:rsid w:val="00AF28D0"/>
    <w:rsid w:val="00AF2EF7"/>
    <w:rsid w:val="00B03265"/>
    <w:rsid w:val="00B04C38"/>
    <w:rsid w:val="00B07116"/>
    <w:rsid w:val="00B161DC"/>
    <w:rsid w:val="00B17507"/>
    <w:rsid w:val="00B17D14"/>
    <w:rsid w:val="00B216C8"/>
    <w:rsid w:val="00B31784"/>
    <w:rsid w:val="00B34986"/>
    <w:rsid w:val="00B56040"/>
    <w:rsid w:val="00B62759"/>
    <w:rsid w:val="00B669CB"/>
    <w:rsid w:val="00B674FA"/>
    <w:rsid w:val="00B679F4"/>
    <w:rsid w:val="00B702B3"/>
    <w:rsid w:val="00B74D77"/>
    <w:rsid w:val="00B77F61"/>
    <w:rsid w:val="00B8229A"/>
    <w:rsid w:val="00B96CFF"/>
    <w:rsid w:val="00BB078E"/>
    <w:rsid w:val="00BB5A5E"/>
    <w:rsid w:val="00BB5FD3"/>
    <w:rsid w:val="00BB6BE1"/>
    <w:rsid w:val="00BC45BB"/>
    <w:rsid w:val="00BD26BB"/>
    <w:rsid w:val="00BD3FF1"/>
    <w:rsid w:val="00BE07E8"/>
    <w:rsid w:val="00BE5E4A"/>
    <w:rsid w:val="00BE6A03"/>
    <w:rsid w:val="00BF06F5"/>
    <w:rsid w:val="00BF11E7"/>
    <w:rsid w:val="00BF5995"/>
    <w:rsid w:val="00C07B5E"/>
    <w:rsid w:val="00C14752"/>
    <w:rsid w:val="00C15D3E"/>
    <w:rsid w:val="00C16038"/>
    <w:rsid w:val="00C16A5B"/>
    <w:rsid w:val="00C20323"/>
    <w:rsid w:val="00C23DE8"/>
    <w:rsid w:val="00C318A6"/>
    <w:rsid w:val="00C31DB9"/>
    <w:rsid w:val="00C3349F"/>
    <w:rsid w:val="00C33D77"/>
    <w:rsid w:val="00C36A07"/>
    <w:rsid w:val="00C37F12"/>
    <w:rsid w:val="00C501A7"/>
    <w:rsid w:val="00C51F6A"/>
    <w:rsid w:val="00C52906"/>
    <w:rsid w:val="00C66EDD"/>
    <w:rsid w:val="00C75447"/>
    <w:rsid w:val="00C82FB5"/>
    <w:rsid w:val="00C927B5"/>
    <w:rsid w:val="00C97AC4"/>
    <w:rsid w:val="00CA29C0"/>
    <w:rsid w:val="00CA2FAD"/>
    <w:rsid w:val="00CB4A0D"/>
    <w:rsid w:val="00CE10F6"/>
    <w:rsid w:val="00CE6E5B"/>
    <w:rsid w:val="00CF788E"/>
    <w:rsid w:val="00D0084E"/>
    <w:rsid w:val="00D01AFA"/>
    <w:rsid w:val="00D01D51"/>
    <w:rsid w:val="00D14E19"/>
    <w:rsid w:val="00D211E4"/>
    <w:rsid w:val="00D304B0"/>
    <w:rsid w:val="00D339F9"/>
    <w:rsid w:val="00D33EBF"/>
    <w:rsid w:val="00D46431"/>
    <w:rsid w:val="00D47F5D"/>
    <w:rsid w:val="00D54BA0"/>
    <w:rsid w:val="00D54C31"/>
    <w:rsid w:val="00D5500C"/>
    <w:rsid w:val="00D5590D"/>
    <w:rsid w:val="00D61521"/>
    <w:rsid w:val="00D6193B"/>
    <w:rsid w:val="00D66C43"/>
    <w:rsid w:val="00D672E3"/>
    <w:rsid w:val="00D6754F"/>
    <w:rsid w:val="00D847BC"/>
    <w:rsid w:val="00D86D79"/>
    <w:rsid w:val="00D977CE"/>
    <w:rsid w:val="00DA0ACF"/>
    <w:rsid w:val="00DB05E4"/>
    <w:rsid w:val="00DB59B4"/>
    <w:rsid w:val="00DC10C8"/>
    <w:rsid w:val="00DD29BB"/>
    <w:rsid w:val="00DD3FED"/>
    <w:rsid w:val="00DF4702"/>
    <w:rsid w:val="00E013E5"/>
    <w:rsid w:val="00E07D0D"/>
    <w:rsid w:val="00E11736"/>
    <w:rsid w:val="00E15A48"/>
    <w:rsid w:val="00E43448"/>
    <w:rsid w:val="00E55153"/>
    <w:rsid w:val="00E56821"/>
    <w:rsid w:val="00E62A86"/>
    <w:rsid w:val="00E740C0"/>
    <w:rsid w:val="00E7481E"/>
    <w:rsid w:val="00E75B0E"/>
    <w:rsid w:val="00E75CA9"/>
    <w:rsid w:val="00E92971"/>
    <w:rsid w:val="00E94137"/>
    <w:rsid w:val="00E9587D"/>
    <w:rsid w:val="00E96803"/>
    <w:rsid w:val="00E96872"/>
    <w:rsid w:val="00EA1B6A"/>
    <w:rsid w:val="00EA3DF3"/>
    <w:rsid w:val="00EB1DEB"/>
    <w:rsid w:val="00EB2B99"/>
    <w:rsid w:val="00EC1828"/>
    <w:rsid w:val="00EC56ED"/>
    <w:rsid w:val="00EC7CC4"/>
    <w:rsid w:val="00ED4748"/>
    <w:rsid w:val="00ED73E0"/>
    <w:rsid w:val="00EE12AD"/>
    <w:rsid w:val="00EF2E64"/>
    <w:rsid w:val="00EF531F"/>
    <w:rsid w:val="00EF6AA1"/>
    <w:rsid w:val="00F04B69"/>
    <w:rsid w:val="00F0659C"/>
    <w:rsid w:val="00F06F8E"/>
    <w:rsid w:val="00F13371"/>
    <w:rsid w:val="00F216A9"/>
    <w:rsid w:val="00F23EAE"/>
    <w:rsid w:val="00F3403B"/>
    <w:rsid w:val="00F42BC9"/>
    <w:rsid w:val="00F43328"/>
    <w:rsid w:val="00F4500D"/>
    <w:rsid w:val="00F51277"/>
    <w:rsid w:val="00F53BD1"/>
    <w:rsid w:val="00F65A77"/>
    <w:rsid w:val="00F746CF"/>
    <w:rsid w:val="00F8219D"/>
    <w:rsid w:val="00F86EE2"/>
    <w:rsid w:val="00F94C2F"/>
    <w:rsid w:val="00F9644D"/>
    <w:rsid w:val="00FC578C"/>
    <w:rsid w:val="00FD55AC"/>
    <w:rsid w:val="00FD7DA2"/>
    <w:rsid w:val="00FE391F"/>
    <w:rsid w:val="00FF7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6A5D"/>
  </w:style>
  <w:style w:type="paragraph" w:styleId="1">
    <w:name w:val="heading 1"/>
    <w:basedOn w:val="a0"/>
    <w:next w:val="a0"/>
    <w:link w:val="11"/>
    <w:uiPriority w:val="9"/>
    <w:qFormat/>
    <w:rsid w:val="00B03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unhideWhenUsed/>
    <w:qFormat/>
    <w:rsid w:val="00B032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1B39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qFormat/>
    <w:rsid w:val="00D339F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9"/>
    <w:unhideWhenUsed/>
    <w:qFormat/>
    <w:rsid w:val="001B39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autoRedefine/>
    <w:uiPriority w:val="99"/>
    <w:qFormat/>
    <w:rsid w:val="00105998"/>
    <w:pPr>
      <w:spacing w:after="0" w:line="360" w:lineRule="auto"/>
      <w:ind w:firstLine="709"/>
      <w:jc w:val="both"/>
      <w:outlineLvl w:val="5"/>
    </w:pPr>
    <w:rPr>
      <w:rFonts w:ascii="Times New Roman" w:eastAsia="Times New Roman" w:hAnsi="Times New Roman" w:cs="Times New Roman"/>
      <w:sz w:val="28"/>
      <w:szCs w:val="28"/>
    </w:rPr>
  </w:style>
  <w:style w:type="paragraph" w:styleId="7">
    <w:name w:val="heading 7"/>
    <w:basedOn w:val="a0"/>
    <w:next w:val="a0"/>
    <w:link w:val="70"/>
    <w:uiPriority w:val="99"/>
    <w:qFormat/>
    <w:rsid w:val="00105998"/>
    <w:pPr>
      <w:keepNext/>
      <w:spacing w:after="0" w:line="360" w:lineRule="auto"/>
      <w:ind w:firstLine="709"/>
      <w:jc w:val="both"/>
      <w:outlineLvl w:val="6"/>
    </w:pPr>
    <w:rPr>
      <w:rFonts w:ascii="Times New Roman" w:eastAsia="Times New Roman" w:hAnsi="Times New Roman" w:cs="Times New Roman"/>
      <w:sz w:val="28"/>
      <w:szCs w:val="28"/>
    </w:rPr>
  </w:style>
  <w:style w:type="paragraph" w:styleId="8">
    <w:name w:val="heading 8"/>
    <w:basedOn w:val="a0"/>
    <w:next w:val="a0"/>
    <w:link w:val="80"/>
    <w:autoRedefine/>
    <w:uiPriority w:val="99"/>
    <w:qFormat/>
    <w:rsid w:val="00105998"/>
    <w:pPr>
      <w:spacing w:after="0" w:line="360" w:lineRule="auto"/>
      <w:ind w:firstLine="709"/>
      <w:jc w:val="both"/>
      <w:outlineLvl w:val="7"/>
    </w:pPr>
    <w:rPr>
      <w:rFonts w:ascii="Times New Roman" w:eastAsia="Times New Roman" w:hAnsi="Times New Roman" w:cs="Times New Roman"/>
      <w:sz w:val="28"/>
      <w:szCs w:val="28"/>
    </w:rPr>
  </w:style>
  <w:style w:type="paragraph" w:styleId="9">
    <w:name w:val="heading 9"/>
    <w:basedOn w:val="a0"/>
    <w:next w:val="a0"/>
    <w:link w:val="90"/>
    <w:uiPriority w:val="99"/>
    <w:qFormat/>
    <w:rsid w:val="00105998"/>
    <w:pPr>
      <w:spacing w:before="240" w:after="60" w:line="360" w:lineRule="auto"/>
      <w:ind w:firstLine="709"/>
      <w:jc w:val="both"/>
      <w:outlineLvl w:val="8"/>
    </w:pPr>
    <w:rPr>
      <w:rFonts w:ascii="Arial" w:eastAsia="Times New Roman"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D339F9"/>
    <w:rPr>
      <w:rFonts w:asciiTheme="majorHAnsi" w:eastAsiaTheme="majorEastAsia" w:hAnsiTheme="majorHAnsi" w:cstheme="majorBidi"/>
      <w:i/>
      <w:iCs/>
      <w:color w:val="365F91" w:themeColor="accent1" w:themeShade="BF"/>
    </w:rPr>
  </w:style>
  <w:style w:type="paragraph" w:customStyle="1" w:styleId="western">
    <w:name w:val="western"/>
    <w:basedOn w:val="a0"/>
    <w:rsid w:val="00D33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D339F9"/>
  </w:style>
  <w:style w:type="character" w:customStyle="1" w:styleId="11">
    <w:name w:val="Заголовок 1 Знак"/>
    <w:basedOn w:val="a1"/>
    <w:link w:val="1"/>
    <w:uiPriority w:val="9"/>
    <w:rsid w:val="00B032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B03265"/>
    <w:rPr>
      <w:rFonts w:asciiTheme="majorHAnsi" w:eastAsiaTheme="majorEastAsia" w:hAnsiTheme="majorHAnsi" w:cstheme="majorBidi"/>
      <w:b/>
      <w:bCs/>
      <w:color w:val="4F81BD" w:themeColor="accent1"/>
      <w:sz w:val="26"/>
      <w:szCs w:val="26"/>
    </w:rPr>
  </w:style>
  <w:style w:type="character" w:styleId="a4">
    <w:name w:val="Hyperlink"/>
    <w:basedOn w:val="a1"/>
    <w:uiPriority w:val="99"/>
    <w:unhideWhenUsed/>
    <w:rsid w:val="00B03265"/>
    <w:rPr>
      <w:color w:val="0000FF"/>
      <w:u w:val="single"/>
    </w:rPr>
  </w:style>
  <w:style w:type="paragraph" w:styleId="12">
    <w:name w:val="toc 1"/>
    <w:basedOn w:val="a0"/>
    <w:next w:val="a0"/>
    <w:autoRedefine/>
    <w:uiPriority w:val="39"/>
    <w:unhideWhenUsed/>
    <w:rsid w:val="000402F5"/>
    <w:pPr>
      <w:tabs>
        <w:tab w:val="right" w:leader="dot" w:pos="9498"/>
      </w:tabs>
      <w:spacing w:after="0" w:line="360" w:lineRule="auto"/>
    </w:pPr>
    <w:rPr>
      <w:rFonts w:ascii="Times New Roman" w:eastAsiaTheme="majorEastAsia" w:hAnsi="Times New Roman" w:cs="Times New Roman"/>
      <w:bCs/>
      <w:noProof/>
      <w:color w:val="000000"/>
      <w:sz w:val="24"/>
      <w:szCs w:val="24"/>
      <w:lang w:eastAsia="ru-RU"/>
    </w:rPr>
  </w:style>
  <w:style w:type="paragraph" w:styleId="21">
    <w:name w:val="toc 2"/>
    <w:basedOn w:val="a0"/>
    <w:next w:val="a0"/>
    <w:autoRedefine/>
    <w:uiPriority w:val="39"/>
    <w:unhideWhenUsed/>
    <w:rsid w:val="00B03265"/>
    <w:pPr>
      <w:spacing w:after="100"/>
      <w:ind w:left="220"/>
    </w:pPr>
  </w:style>
  <w:style w:type="paragraph" w:styleId="a5">
    <w:name w:val="TOC Heading"/>
    <w:basedOn w:val="1"/>
    <w:next w:val="a0"/>
    <w:uiPriority w:val="39"/>
    <w:unhideWhenUsed/>
    <w:qFormat/>
    <w:rsid w:val="00B03265"/>
    <w:pPr>
      <w:spacing w:before="240" w:line="256" w:lineRule="auto"/>
      <w:outlineLvl w:val="9"/>
    </w:pPr>
    <w:rPr>
      <w:b w:val="0"/>
      <w:bCs w:val="0"/>
      <w:sz w:val="32"/>
      <w:szCs w:val="32"/>
      <w:lang w:eastAsia="ru-RU"/>
    </w:rPr>
  </w:style>
  <w:style w:type="paragraph" w:styleId="a6">
    <w:name w:val="Balloon Text"/>
    <w:basedOn w:val="a0"/>
    <w:link w:val="a7"/>
    <w:uiPriority w:val="99"/>
    <w:semiHidden/>
    <w:unhideWhenUsed/>
    <w:rsid w:val="00B03265"/>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B03265"/>
    <w:rPr>
      <w:rFonts w:ascii="Tahoma" w:hAnsi="Tahoma" w:cs="Tahoma"/>
      <w:sz w:val="16"/>
      <w:szCs w:val="16"/>
    </w:rPr>
  </w:style>
  <w:style w:type="paragraph" w:styleId="a8">
    <w:name w:val="List Paragraph"/>
    <w:basedOn w:val="a0"/>
    <w:link w:val="a9"/>
    <w:uiPriority w:val="34"/>
    <w:qFormat/>
    <w:rsid w:val="0081430D"/>
    <w:pPr>
      <w:ind w:left="720"/>
      <w:contextualSpacing/>
    </w:pPr>
  </w:style>
  <w:style w:type="paragraph" w:styleId="aa">
    <w:name w:val="Normal (Web)"/>
    <w:basedOn w:val="a0"/>
    <w:uiPriority w:val="99"/>
    <w:unhideWhenUsed/>
    <w:rsid w:val="00970A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uiPriority w:val="39"/>
    <w:rsid w:val="00D55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link w:val="ad"/>
    <w:uiPriority w:val="99"/>
    <w:unhideWhenUsed/>
    <w:rsid w:val="00906526"/>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06526"/>
  </w:style>
  <w:style w:type="paragraph" w:styleId="ae">
    <w:name w:val="footer"/>
    <w:basedOn w:val="a0"/>
    <w:link w:val="af"/>
    <w:uiPriority w:val="99"/>
    <w:unhideWhenUsed/>
    <w:rsid w:val="0090652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06526"/>
  </w:style>
  <w:style w:type="character" w:customStyle="1" w:styleId="50">
    <w:name w:val="Заголовок 5 Знак"/>
    <w:basedOn w:val="a1"/>
    <w:link w:val="5"/>
    <w:uiPriority w:val="9"/>
    <w:rsid w:val="001B3970"/>
    <w:rPr>
      <w:rFonts w:asciiTheme="majorHAnsi" w:eastAsiaTheme="majorEastAsia" w:hAnsiTheme="majorHAnsi" w:cstheme="majorBidi"/>
      <w:color w:val="243F60" w:themeColor="accent1" w:themeShade="7F"/>
    </w:rPr>
  </w:style>
  <w:style w:type="character" w:customStyle="1" w:styleId="30">
    <w:name w:val="Заголовок 3 Знак"/>
    <w:basedOn w:val="a1"/>
    <w:link w:val="3"/>
    <w:uiPriority w:val="9"/>
    <w:rsid w:val="001B3970"/>
    <w:rPr>
      <w:rFonts w:asciiTheme="majorHAnsi" w:eastAsiaTheme="majorEastAsia" w:hAnsiTheme="majorHAnsi" w:cstheme="majorBidi"/>
      <w:b/>
      <w:bCs/>
      <w:color w:val="4F81BD" w:themeColor="accent1"/>
    </w:rPr>
  </w:style>
  <w:style w:type="paragraph" w:styleId="af0">
    <w:name w:val="footnote text"/>
    <w:basedOn w:val="a0"/>
    <w:link w:val="af1"/>
    <w:uiPriority w:val="99"/>
    <w:unhideWhenUsed/>
    <w:rsid w:val="002478B7"/>
    <w:pPr>
      <w:spacing w:after="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1"/>
    <w:link w:val="af0"/>
    <w:uiPriority w:val="99"/>
    <w:rsid w:val="002478B7"/>
    <w:rPr>
      <w:rFonts w:ascii="Times New Roman" w:eastAsia="Times New Roman" w:hAnsi="Times New Roman" w:cs="Times New Roman"/>
      <w:sz w:val="20"/>
      <w:szCs w:val="20"/>
    </w:rPr>
  </w:style>
  <w:style w:type="character" w:styleId="af2">
    <w:name w:val="footnote reference"/>
    <w:basedOn w:val="a1"/>
    <w:uiPriority w:val="99"/>
    <w:unhideWhenUsed/>
    <w:rsid w:val="002478B7"/>
    <w:rPr>
      <w:rFonts w:cs="Times New Roman"/>
      <w:vertAlign w:val="superscript"/>
    </w:rPr>
  </w:style>
  <w:style w:type="character" w:customStyle="1" w:styleId="a9">
    <w:name w:val="Абзац списка Знак"/>
    <w:basedOn w:val="a1"/>
    <w:link w:val="a8"/>
    <w:uiPriority w:val="34"/>
    <w:rsid w:val="00C23DE8"/>
  </w:style>
  <w:style w:type="paragraph" w:customStyle="1" w:styleId="MainText">
    <w:name w:val="MainText"/>
    <w:rsid w:val="00C23DE8"/>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character" w:customStyle="1" w:styleId="60">
    <w:name w:val="Заголовок 6 Знак"/>
    <w:basedOn w:val="a1"/>
    <w:link w:val="6"/>
    <w:uiPriority w:val="99"/>
    <w:rsid w:val="00105998"/>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105998"/>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105998"/>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105998"/>
    <w:rPr>
      <w:rFonts w:ascii="Arial" w:eastAsia="Times New Roman" w:hAnsi="Arial" w:cs="Arial"/>
      <w:color w:val="000000"/>
      <w:lang w:eastAsia="ru-RU"/>
    </w:rPr>
  </w:style>
  <w:style w:type="character" w:styleId="af3">
    <w:name w:val="endnote reference"/>
    <w:basedOn w:val="a1"/>
    <w:uiPriority w:val="99"/>
    <w:semiHidden/>
    <w:rsid w:val="00105998"/>
    <w:rPr>
      <w:rFonts w:cs="Times New Roman"/>
      <w:vertAlign w:val="superscript"/>
    </w:rPr>
  </w:style>
  <w:style w:type="paragraph" w:styleId="af4">
    <w:name w:val="Body Text"/>
    <w:basedOn w:val="a0"/>
    <w:link w:val="af5"/>
    <w:uiPriority w:val="99"/>
    <w:rsid w:val="00105998"/>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1"/>
    <w:link w:val="af4"/>
    <w:uiPriority w:val="99"/>
    <w:rsid w:val="00105998"/>
    <w:rPr>
      <w:rFonts w:ascii="Times New Roman" w:eastAsia="Times New Roman" w:hAnsi="Times New Roman" w:cs="Times New Roman"/>
      <w:color w:val="000000"/>
      <w:sz w:val="28"/>
      <w:szCs w:val="28"/>
      <w:lang w:eastAsia="ru-RU"/>
    </w:rPr>
  </w:style>
  <w:style w:type="paragraph" w:customStyle="1" w:styleId="a">
    <w:name w:val="лит"/>
    <w:autoRedefine/>
    <w:uiPriority w:val="99"/>
    <w:rsid w:val="00105998"/>
    <w:pPr>
      <w:numPr>
        <w:numId w:val="2"/>
      </w:numPr>
      <w:spacing w:after="0" w:line="360" w:lineRule="auto"/>
      <w:jc w:val="both"/>
    </w:pPr>
    <w:rPr>
      <w:rFonts w:ascii="Times New Roman" w:eastAsia="Times New Roman" w:hAnsi="Times New Roman" w:cs="Times New Roman"/>
      <w:sz w:val="28"/>
      <w:szCs w:val="28"/>
      <w:lang w:eastAsia="ru-RU"/>
    </w:rPr>
  </w:style>
  <w:style w:type="paragraph" w:customStyle="1" w:styleId="af6">
    <w:name w:val="лит+нумерация"/>
    <w:basedOn w:val="a0"/>
    <w:next w:val="a0"/>
    <w:autoRedefine/>
    <w:uiPriority w:val="99"/>
    <w:rsid w:val="00105998"/>
    <w:pPr>
      <w:spacing w:after="0" w:line="360" w:lineRule="auto"/>
      <w:jc w:val="both"/>
    </w:pPr>
    <w:rPr>
      <w:rFonts w:ascii="Times New Roman" w:eastAsia="Times New Roman" w:hAnsi="Times New Roman" w:cs="Times New Roman"/>
      <w:iCs/>
      <w:color w:val="000000"/>
      <w:sz w:val="28"/>
      <w:szCs w:val="28"/>
      <w:lang w:eastAsia="ru-RU"/>
    </w:rPr>
  </w:style>
  <w:style w:type="paragraph" w:customStyle="1" w:styleId="af7">
    <w:name w:val="литера"/>
    <w:uiPriority w:val="99"/>
    <w:rsid w:val="00105998"/>
    <w:pPr>
      <w:spacing w:after="0" w:line="360" w:lineRule="auto"/>
      <w:jc w:val="both"/>
    </w:pPr>
    <w:rPr>
      <w:rFonts w:ascii="??????????" w:eastAsia="Times New Roman" w:hAnsi="??????????" w:cs="Times New Roman"/>
      <w:sz w:val="28"/>
      <w:szCs w:val="28"/>
      <w:lang w:eastAsia="ru-RU"/>
    </w:rPr>
  </w:style>
  <w:style w:type="paragraph" w:styleId="af8">
    <w:name w:val="caption"/>
    <w:basedOn w:val="a0"/>
    <w:next w:val="a0"/>
    <w:uiPriority w:val="99"/>
    <w:qFormat/>
    <w:rsid w:val="00105998"/>
    <w:pPr>
      <w:spacing w:after="0" w:line="360" w:lineRule="auto"/>
      <w:ind w:firstLine="709"/>
      <w:jc w:val="both"/>
    </w:pPr>
    <w:rPr>
      <w:rFonts w:ascii="Times New Roman" w:eastAsia="Times New Roman" w:hAnsi="Times New Roman" w:cs="Times New Roman"/>
      <w:b/>
      <w:bCs/>
      <w:color w:val="000000"/>
      <w:sz w:val="20"/>
      <w:szCs w:val="20"/>
      <w:lang w:eastAsia="ru-RU"/>
    </w:rPr>
  </w:style>
  <w:style w:type="character" w:styleId="af9">
    <w:name w:val="page number"/>
    <w:basedOn w:val="a1"/>
    <w:rsid w:val="00105998"/>
    <w:rPr>
      <w:rFonts w:ascii="Times New Roman" w:hAnsi="Times New Roman" w:cs="Times New Roman"/>
      <w:sz w:val="28"/>
      <w:szCs w:val="28"/>
    </w:rPr>
  </w:style>
  <w:style w:type="character" w:customStyle="1" w:styleId="afa">
    <w:name w:val="номер страницы"/>
    <w:basedOn w:val="a1"/>
    <w:uiPriority w:val="99"/>
    <w:rsid w:val="00105998"/>
    <w:rPr>
      <w:rFonts w:cs="Times New Roman"/>
      <w:sz w:val="28"/>
      <w:szCs w:val="28"/>
    </w:rPr>
  </w:style>
  <w:style w:type="paragraph" w:customStyle="1" w:styleId="afb">
    <w:name w:val="Обычный +"/>
    <w:basedOn w:val="a0"/>
    <w:autoRedefine/>
    <w:uiPriority w:val="99"/>
    <w:rsid w:val="00105998"/>
    <w:pPr>
      <w:spacing w:after="0" w:line="360" w:lineRule="auto"/>
      <w:ind w:firstLine="709"/>
      <w:jc w:val="both"/>
    </w:pPr>
    <w:rPr>
      <w:rFonts w:ascii="Times New Roman" w:eastAsia="Times New Roman" w:hAnsi="Times New Roman" w:cs="Times New Roman"/>
      <w:color w:val="000000"/>
      <w:sz w:val="28"/>
      <w:szCs w:val="20"/>
      <w:lang w:eastAsia="ru-RU"/>
    </w:rPr>
  </w:style>
  <w:style w:type="paragraph" w:styleId="afc">
    <w:name w:val="Body Text Indent"/>
    <w:basedOn w:val="a0"/>
    <w:link w:val="afd"/>
    <w:uiPriority w:val="99"/>
    <w:rsid w:val="00105998"/>
    <w:pPr>
      <w:shd w:val="clear" w:color="auto" w:fill="FFFFFF"/>
      <w:spacing w:before="192" w:after="0" w:line="360" w:lineRule="auto"/>
      <w:ind w:right="-5" w:firstLine="360"/>
      <w:jc w:val="both"/>
    </w:pPr>
    <w:rPr>
      <w:rFonts w:ascii="Times New Roman" w:eastAsia="Times New Roman" w:hAnsi="Times New Roman" w:cs="Times New Roman"/>
      <w:color w:val="000000"/>
      <w:sz w:val="28"/>
      <w:szCs w:val="28"/>
      <w:lang w:eastAsia="ru-RU"/>
    </w:rPr>
  </w:style>
  <w:style w:type="character" w:customStyle="1" w:styleId="afd">
    <w:name w:val="Основной текст с отступом Знак"/>
    <w:basedOn w:val="a1"/>
    <w:link w:val="afc"/>
    <w:uiPriority w:val="99"/>
    <w:rsid w:val="00105998"/>
    <w:rPr>
      <w:rFonts w:ascii="Times New Roman" w:eastAsia="Times New Roman" w:hAnsi="Times New Roman" w:cs="Times New Roman"/>
      <w:color w:val="000000"/>
      <w:sz w:val="28"/>
      <w:szCs w:val="28"/>
      <w:shd w:val="clear" w:color="auto" w:fill="FFFFFF"/>
      <w:lang w:eastAsia="ru-RU"/>
    </w:rPr>
  </w:style>
  <w:style w:type="paragraph" w:styleId="22">
    <w:name w:val="Body Text Indent 2"/>
    <w:basedOn w:val="a0"/>
    <w:link w:val="23"/>
    <w:uiPriority w:val="99"/>
    <w:rsid w:val="00105998"/>
    <w:pPr>
      <w:shd w:val="clear" w:color="auto" w:fill="FFFFFF"/>
      <w:tabs>
        <w:tab w:val="left" w:pos="163"/>
      </w:tabs>
      <w:spacing w:after="0" w:line="360" w:lineRule="auto"/>
      <w:ind w:firstLine="360"/>
      <w:jc w:val="both"/>
    </w:pPr>
    <w:rPr>
      <w:rFonts w:ascii="Times New Roman" w:eastAsia="Times New Roman" w:hAnsi="Times New Roman" w:cs="Times New Roman"/>
      <w:color w:val="000000"/>
      <w:sz w:val="28"/>
      <w:szCs w:val="28"/>
      <w:lang w:eastAsia="ru-RU"/>
    </w:rPr>
  </w:style>
  <w:style w:type="character" w:customStyle="1" w:styleId="23">
    <w:name w:val="Основной текст с отступом 2 Знак"/>
    <w:basedOn w:val="a1"/>
    <w:link w:val="22"/>
    <w:uiPriority w:val="99"/>
    <w:rsid w:val="00105998"/>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105998"/>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1"/>
    <w:link w:val="31"/>
    <w:uiPriority w:val="99"/>
    <w:rsid w:val="00105998"/>
    <w:rPr>
      <w:rFonts w:ascii="Times New Roman" w:eastAsia="Times New Roman" w:hAnsi="Times New Roman" w:cs="Times New Roman"/>
      <w:color w:val="000000"/>
      <w:sz w:val="28"/>
      <w:szCs w:val="28"/>
      <w:shd w:val="clear" w:color="auto" w:fill="FFFFFF"/>
      <w:lang w:eastAsia="ru-RU"/>
    </w:rPr>
  </w:style>
  <w:style w:type="paragraph" w:customStyle="1" w:styleId="afe">
    <w:name w:val="отчет"/>
    <w:uiPriority w:val="99"/>
    <w:rsid w:val="00105998"/>
    <w:pPr>
      <w:spacing w:after="0" w:line="240" w:lineRule="auto"/>
      <w:jc w:val="both"/>
    </w:pPr>
    <w:rPr>
      <w:rFonts w:ascii="Times New Roman" w:eastAsia="Times New Roman" w:hAnsi="Times New Roman" w:cs="Times New Roman"/>
      <w:color w:val="000000"/>
      <w:szCs w:val="28"/>
      <w:lang w:eastAsia="ru-RU"/>
    </w:rPr>
  </w:style>
  <w:style w:type="paragraph" w:customStyle="1" w:styleId="aff">
    <w:name w:val="размещено"/>
    <w:basedOn w:val="a0"/>
    <w:autoRedefine/>
    <w:uiPriority w:val="99"/>
    <w:rsid w:val="00105998"/>
    <w:pPr>
      <w:spacing w:after="0" w:line="360" w:lineRule="auto"/>
      <w:ind w:firstLine="709"/>
      <w:jc w:val="both"/>
    </w:pPr>
    <w:rPr>
      <w:rFonts w:ascii="Times New Roman" w:eastAsia="Times New Roman" w:hAnsi="Times New Roman" w:cs="Times New Roman"/>
      <w:color w:val="FFFFFF"/>
      <w:sz w:val="28"/>
      <w:szCs w:val="28"/>
      <w:lang w:eastAsia="ru-RU"/>
    </w:rPr>
  </w:style>
  <w:style w:type="paragraph" w:customStyle="1" w:styleId="aff0">
    <w:name w:val="содержание"/>
    <w:uiPriority w:val="99"/>
    <w:rsid w:val="00105998"/>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105998"/>
    <w:pPr>
      <w:numPr>
        <w:numId w:val="3"/>
      </w:numPr>
      <w:spacing w:after="0" w:line="360" w:lineRule="auto"/>
      <w:jc w:val="both"/>
    </w:pPr>
    <w:rPr>
      <w:rFonts w:ascii="Times New Roman" w:eastAsia="Times New Roman" w:hAnsi="Times New Roman" w:cs="Times New Roman"/>
      <w:iCs/>
      <w:color w:val="000000"/>
      <w:sz w:val="28"/>
      <w:szCs w:val="20"/>
      <w:lang w:eastAsia="ru-RU"/>
    </w:rPr>
  </w:style>
  <w:style w:type="paragraph" w:customStyle="1" w:styleId="100">
    <w:name w:val="Стиль Оглавление 1 + Первая строка:  0 см"/>
    <w:basedOn w:val="a0"/>
    <w:autoRedefine/>
    <w:uiPriority w:val="99"/>
    <w:rsid w:val="00105998"/>
    <w:pPr>
      <w:tabs>
        <w:tab w:val="right" w:leader="dot" w:pos="1400"/>
      </w:tabs>
      <w:spacing w:after="0" w:line="360" w:lineRule="auto"/>
      <w:ind w:firstLine="709"/>
      <w:jc w:val="both"/>
    </w:pPr>
    <w:rPr>
      <w:rFonts w:ascii="Times New Roman" w:eastAsia="Times New Roman" w:hAnsi="Times New Roman" w:cs="Times New Roman"/>
      <w:b/>
      <w:color w:val="000000"/>
      <w:sz w:val="28"/>
      <w:szCs w:val="28"/>
      <w:lang w:eastAsia="ru-RU"/>
    </w:rPr>
  </w:style>
  <w:style w:type="paragraph" w:customStyle="1" w:styleId="101">
    <w:name w:val="Стиль Оглавление 1 + Первая строка:  0 см1"/>
    <w:basedOn w:val="a0"/>
    <w:autoRedefine/>
    <w:uiPriority w:val="99"/>
    <w:rsid w:val="00105998"/>
    <w:pPr>
      <w:tabs>
        <w:tab w:val="right" w:leader="dot" w:pos="1400"/>
      </w:tabs>
      <w:spacing w:after="0" w:line="360" w:lineRule="auto"/>
      <w:ind w:firstLine="709"/>
      <w:jc w:val="both"/>
    </w:pPr>
    <w:rPr>
      <w:rFonts w:ascii="Times New Roman" w:eastAsia="Times New Roman" w:hAnsi="Times New Roman" w:cs="Times New Roman"/>
      <w:b/>
      <w:color w:val="000000"/>
      <w:sz w:val="28"/>
      <w:szCs w:val="28"/>
      <w:lang w:eastAsia="ru-RU"/>
    </w:rPr>
  </w:style>
  <w:style w:type="paragraph" w:customStyle="1" w:styleId="200">
    <w:name w:val="Стиль Оглавление 2 + Слева:  0 см Первая строка:  0 см"/>
    <w:basedOn w:val="21"/>
    <w:autoRedefine/>
    <w:uiPriority w:val="99"/>
    <w:rsid w:val="00105998"/>
    <w:pPr>
      <w:tabs>
        <w:tab w:val="left" w:leader="dot" w:pos="3500"/>
      </w:tabs>
      <w:spacing w:after="0" w:line="360" w:lineRule="auto"/>
      <w:ind w:left="0"/>
    </w:pPr>
    <w:rPr>
      <w:rFonts w:ascii="Times New Roman" w:eastAsia="Times New Roman" w:hAnsi="Times New Roman" w:cs="Times New Roman"/>
      <w:smallCaps/>
      <w:color w:val="000000"/>
      <w:sz w:val="28"/>
      <w:szCs w:val="28"/>
      <w:lang w:eastAsia="ru-RU"/>
    </w:rPr>
  </w:style>
  <w:style w:type="paragraph" w:customStyle="1" w:styleId="31250">
    <w:name w:val="Стиль Оглавление 3 + Слева:  125 см Первая строка:  0 см"/>
    <w:basedOn w:val="a0"/>
    <w:autoRedefine/>
    <w:uiPriority w:val="99"/>
    <w:rsid w:val="00105998"/>
    <w:pPr>
      <w:spacing w:after="0" w:line="360" w:lineRule="auto"/>
      <w:ind w:firstLine="709"/>
    </w:pPr>
    <w:rPr>
      <w:rFonts w:ascii="Times New Roman" w:eastAsia="Times New Roman" w:hAnsi="Times New Roman" w:cs="Times New Roman"/>
      <w:i/>
      <w:iCs/>
      <w:color w:val="000000"/>
      <w:sz w:val="28"/>
      <w:szCs w:val="28"/>
      <w:lang w:eastAsia="ru-RU"/>
    </w:rPr>
  </w:style>
  <w:style w:type="table" w:customStyle="1" w:styleId="13">
    <w:name w:val="Стиль таблицы1"/>
    <w:uiPriority w:val="99"/>
    <w:rsid w:val="00105998"/>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1">
    <w:name w:val="схема"/>
    <w:autoRedefine/>
    <w:uiPriority w:val="99"/>
    <w:rsid w:val="00105998"/>
    <w:pPr>
      <w:spacing w:after="0" w:line="240" w:lineRule="auto"/>
      <w:jc w:val="center"/>
    </w:pPr>
    <w:rPr>
      <w:rFonts w:ascii="Times New Roman" w:eastAsia="Times New Roman" w:hAnsi="Times New Roman" w:cs="Times New Roman"/>
      <w:sz w:val="20"/>
      <w:szCs w:val="20"/>
      <w:lang w:eastAsia="ru-RU"/>
    </w:rPr>
  </w:style>
  <w:style w:type="paragraph" w:customStyle="1" w:styleId="aff2">
    <w:name w:val="ТАБЛИЦА"/>
    <w:next w:val="a0"/>
    <w:autoRedefine/>
    <w:uiPriority w:val="99"/>
    <w:rsid w:val="00105998"/>
    <w:pPr>
      <w:spacing w:after="0" w:line="360" w:lineRule="auto"/>
    </w:pPr>
    <w:rPr>
      <w:rFonts w:ascii="Times New Roman" w:eastAsia="Times New Roman" w:hAnsi="Times New Roman" w:cs="Times New Roman"/>
      <w:color w:val="000000"/>
      <w:sz w:val="20"/>
      <w:szCs w:val="20"/>
      <w:lang w:eastAsia="ru-RU"/>
    </w:rPr>
  </w:style>
  <w:style w:type="paragraph" w:styleId="aff3">
    <w:name w:val="endnote text"/>
    <w:basedOn w:val="a0"/>
    <w:link w:val="aff4"/>
    <w:autoRedefine/>
    <w:uiPriority w:val="99"/>
    <w:semiHidden/>
    <w:rsid w:val="00105998"/>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f4">
    <w:name w:val="Текст концевой сноски Знак"/>
    <w:basedOn w:val="a1"/>
    <w:link w:val="aff3"/>
    <w:uiPriority w:val="99"/>
    <w:semiHidden/>
    <w:rsid w:val="00105998"/>
    <w:rPr>
      <w:rFonts w:ascii="Times New Roman" w:eastAsia="Times New Roman" w:hAnsi="Times New Roman" w:cs="Times New Roman"/>
      <w:color w:val="000000"/>
      <w:sz w:val="20"/>
      <w:szCs w:val="20"/>
      <w:lang w:eastAsia="ru-RU"/>
    </w:rPr>
  </w:style>
  <w:style w:type="paragraph" w:customStyle="1" w:styleId="aff5">
    <w:name w:val="титут"/>
    <w:autoRedefine/>
    <w:uiPriority w:val="99"/>
    <w:rsid w:val="00105998"/>
    <w:pPr>
      <w:spacing w:after="0" w:line="360" w:lineRule="auto"/>
      <w:jc w:val="center"/>
    </w:pPr>
    <w:rPr>
      <w:rFonts w:ascii="Times New Roman" w:eastAsia="Times New Roman" w:hAnsi="Times New Roman" w:cs="Times New Roman"/>
      <w:noProof/>
      <w:sz w:val="28"/>
      <w:szCs w:val="28"/>
      <w:lang w:eastAsia="ru-RU"/>
    </w:rPr>
  </w:style>
  <w:style w:type="paragraph" w:styleId="33">
    <w:name w:val="toc 3"/>
    <w:basedOn w:val="a0"/>
    <w:next w:val="a0"/>
    <w:autoRedefine/>
    <w:uiPriority w:val="39"/>
    <w:rsid w:val="00105998"/>
    <w:pPr>
      <w:spacing w:after="0" w:line="360" w:lineRule="auto"/>
      <w:ind w:left="560" w:firstLine="709"/>
      <w:jc w:val="both"/>
    </w:pPr>
    <w:rPr>
      <w:rFonts w:ascii="Times New Roman" w:eastAsia="Times New Roman" w:hAnsi="Times New Roman" w:cs="Times New Roman"/>
      <w:color w:val="000000"/>
      <w:sz w:val="28"/>
      <w:szCs w:val="28"/>
      <w:lang w:eastAsia="ru-RU"/>
    </w:rPr>
  </w:style>
  <w:style w:type="paragraph" w:styleId="41">
    <w:name w:val="toc 4"/>
    <w:basedOn w:val="a0"/>
    <w:next w:val="a0"/>
    <w:autoRedefine/>
    <w:uiPriority w:val="99"/>
    <w:semiHidden/>
    <w:rsid w:val="00105998"/>
    <w:pPr>
      <w:spacing w:after="0" w:line="360" w:lineRule="auto"/>
      <w:ind w:left="840" w:firstLine="709"/>
      <w:jc w:val="both"/>
    </w:pPr>
    <w:rPr>
      <w:rFonts w:ascii="Times New Roman" w:eastAsia="Times New Roman" w:hAnsi="Times New Roman" w:cs="Times New Roman"/>
      <w:color w:val="000000"/>
      <w:sz w:val="28"/>
      <w:szCs w:val="28"/>
      <w:lang w:eastAsia="ru-RU"/>
    </w:rPr>
  </w:style>
  <w:style w:type="paragraph" w:styleId="51">
    <w:name w:val="toc 5"/>
    <w:basedOn w:val="a0"/>
    <w:next w:val="a0"/>
    <w:autoRedefine/>
    <w:uiPriority w:val="99"/>
    <w:semiHidden/>
    <w:rsid w:val="00105998"/>
    <w:pPr>
      <w:spacing w:after="0" w:line="360" w:lineRule="auto"/>
      <w:ind w:left="1120" w:firstLine="709"/>
      <w:jc w:val="both"/>
    </w:pPr>
    <w:rPr>
      <w:rFonts w:ascii="Times New Roman" w:eastAsia="Times New Roman" w:hAnsi="Times New Roman" w:cs="Times New Roman"/>
      <w:color w:val="000000"/>
      <w:sz w:val="28"/>
      <w:szCs w:val="28"/>
      <w:lang w:eastAsia="ru-RU"/>
    </w:rPr>
  </w:style>
  <w:style w:type="paragraph" w:styleId="61">
    <w:name w:val="toc 6"/>
    <w:basedOn w:val="a0"/>
    <w:next w:val="a0"/>
    <w:autoRedefine/>
    <w:uiPriority w:val="99"/>
    <w:semiHidden/>
    <w:rsid w:val="00105998"/>
    <w:pPr>
      <w:spacing w:after="0" w:line="360" w:lineRule="auto"/>
      <w:ind w:left="1400" w:firstLine="709"/>
      <w:jc w:val="both"/>
    </w:pPr>
    <w:rPr>
      <w:rFonts w:ascii="Times New Roman" w:eastAsia="Times New Roman" w:hAnsi="Times New Roman" w:cs="Times New Roman"/>
      <w:color w:val="000000"/>
      <w:sz w:val="28"/>
      <w:szCs w:val="28"/>
      <w:lang w:eastAsia="ru-RU"/>
    </w:rPr>
  </w:style>
  <w:style w:type="paragraph" w:styleId="71">
    <w:name w:val="toc 7"/>
    <w:basedOn w:val="a0"/>
    <w:next w:val="a0"/>
    <w:autoRedefine/>
    <w:uiPriority w:val="99"/>
    <w:semiHidden/>
    <w:rsid w:val="00105998"/>
    <w:pPr>
      <w:spacing w:after="0" w:line="360" w:lineRule="auto"/>
      <w:ind w:left="1680" w:firstLine="709"/>
      <w:jc w:val="both"/>
    </w:pPr>
    <w:rPr>
      <w:rFonts w:ascii="Times New Roman" w:eastAsia="Times New Roman" w:hAnsi="Times New Roman" w:cs="Times New Roman"/>
      <w:color w:val="000000"/>
      <w:sz w:val="28"/>
      <w:szCs w:val="28"/>
      <w:lang w:eastAsia="ru-RU"/>
    </w:rPr>
  </w:style>
  <w:style w:type="paragraph" w:styleId="81">
    <w:name w:val="toc 8"/>
    <w:basedOn w:val="a0"/>
    <w:next w:val="a0"/>
    <w:autoRedefine/>
    <w:uiPriority w:val="99"/>
    <w:semiHidden/>
    <w:rsid w:val="00105998"/>
    <w:pPr>
      <w:spacing w:after="0" w:line="360" w:lineRule="auto"/>
      <w:ind w:left="1960" w:firstLine="709"/>
      <w:jc w:val="both"/>
    </w:pPr>
    <w:rPr>
      <w:rFonts w:ascii="Times New Roman" w:eastAsia="Times New Roman" w:hAnsi="Times New Roman" w:cs="Times New Roman"/>
      <w:color w:val="000000"/>
      <w:sz w:val="28"/>
      <w:szCs w:val="28"/>
      <w:lang w:eastAsia="ru-RU"/>
    </w:rPr>
  </w:style>
  <w:style w:type="paragraph" w:styleId="91">
    <w:name w:val="toc 9"/>
    <w:basedOn w:val="a0"/>
    <w:next w:val="a0"/>
    <w:autoRedefine/>
    <w:uiPriority w:val="99"/>
    <w:semiHidden/>
    <w:rsid w:val="00105998"/>
    <w:pPr>
      <w:spacing w:after="0" w:line="360" w:lineRule="auto"/>
      <w:ind w:left="2240" w:firstLine="709"/>
      <w:jc w:val="both"/>
    </w:pPr>
    <w:rPr>
      <w:rFonts w:ascii="Times New Roman" w:eastAsia="Times New Roman" w:hAnsi="Times New Roman" w:cs="Times New Roman"/>
      <w:color w:val="000000"/>
      <w:sz w:val="28"/>
      <w:szCs w:val="28"/>
      <w:lang w:eastAsia="ru-RU"/>
    </w:rPr>
  </w:style>
  <w:style w:type="paragraph" w:styleId="aff6">
    <w:name w:val="Subtitle"/>
    <w:basedOn w:val="a0"/>
    <w:next w:val="a0"/>
    <w:link w:val="aff7"/>
    <w:uiPriority w:val="11"/>
    <w:qFormat/>
    <w:rsid w:val="008F43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1"/>
    <w:link w:val="aff6"/>
    <w:uiPriority w:val="11"/>
    <w:rsid w:val="008F4338"/>
    <w:rPr>
      <w:rFonts w:asciiTheme="majorHAnsi" w:eastAsiaTheme="majorEastAsia" w:hAnsiTheme="majorHAnsi" w:cstheme="majorBidi"/>
      <w:i/>
      <w:iCs/>
      <w:color w:val="4F81BD" w:themeColor="accent1"/>
      <w:spacing w:val="15"/>
      <w:sz w:val="24"/>
      <w:szCs w:val="24"/>
    </w:rPr>
  </w:style>
  <w:style w:type="character" w:customStyle="1" w:styleId="notranslate">
    <w:name w:val="notranslate"/>
    <w:basedOn w:val="a1"/>
    <w:rsid w:val="00CB4A0D"/>
  </w:style>
  <w:style w:type="paragraph" w:customStyle="1" w:styleId="-1">
    <w:name w:val="Обычный - 1"/>
    <w:basedOn w:val="a0"/>
    <w:link w:val="-10"/>
    <w:rsid w:val="00B161DC"/>
    <w:pPr>
      <w:spacing w:after="0" w:line="360" w:lineRule="auto"/>
      <w:ind w:firstLine="709"/>
      <w:jc w:val="both"/>
    </w:pPr>
    <w:rPr>
      <w:rFonts w:ascii="Times New Roman" w:eastAsia="Times New Roman" w:hAnsi="Times New Roman" w:cs="Times New Roman"/>
      <w:sz w:val="28"/>
      <w:lang w:eastAsia="ru-RU"/>
    </w:rPr>
  </w:style>
  <w:style w:type="character" w:customStyle="1" w:styleId="-10">
    <w:name w:val="Обычный - 1 Знак"/>
    <w:link w:val="-1"/>
    <w:rsid w:val="00B161DC"/>
    <w:rPr>
      <w:rFonts w:ascii="Times New Roman" w:eastAsia="Times New Roman" w:hAnsi="Times New Roman" w:cs="Times New Roman"/>
      <w:sz w:val="28"/>
      <w:lang w:eastAsia="ru-RU"/>
    </w:rPr>
  </w:style>
  <w:style w:type="paragraph" w:styleId="aff8">
    <w:name w:val="No Spacing"/>
    <w:basedOn w:val="a0"/>
    <w:link w:val="aff9"/>
    <w:qFormat/>
    <w:rsid w:val="00B161DC"/>
    <w:pPr>
      <w:spacing w:after="0" w:line="360" w:lineRule="auto"/>
      <w:jc w:val="both"/>
    </w:pPr>
    <w:rPr>
      <w:rFonts w:ascii="Times New Roman" w:eastAsia="Times New Roman" w:hAnsi="Times New Roman" w:cs="Times New Roman"/>
      <w:b/>
      <w:sz w:val="24"/>
      <w:szCs w:val="24"/>
      <w:lang w:bidi="en-US"/>
    </w:rPr>
  </w:style>
  <w:style w:type="character" w:customStyle="1" w:styleId="aff9">
    <w:name w:val="Без интервала Знак"/>
    <w:link w:val="aff8"/>
    <w:rsid w:val="00B161DC"/>
    <w:rPr>
      <w:rFonts w:ascii="Times New Roman" w:eastAsia="Times New Roman" w:hAnsi="Times New Roman" w:cs="Times New Roman"/>
      <w:b/>
      <w:sz w:val="24"/>
      <w:szCs w:val="24"/>
      <w:lang w:bidi="en-US"/>
    </w:rPr>
  </w:style>
  <w:style w:type="character" w:styleId="affa">
    <w:name w:val="Strong"/>
    <w:basedOn w:val="a1"/>
    <w:uiPriority w:val="22"/>
    <w:qFormat/>
    <w:rsid w:val="00670347"/>
    <w:rPr>
      <w:b/>
      <w:bCs/>
    </w:rPr>
  </w:style>
  <w:style w:type="table" w:customStyle="1" w:styleId="TableGrid">
    <w:name w:val="TableGrid"/>
    <w:rsid w:val="00AC0A7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3115DD"/>
    <w:pPr>
      <w:spacing w:after="0" w:line="240" w:lineRule="auto"/>
    </w:pPr>
    <w:rPr>
      <w:rFonts w:eastAsia="Times New Roman"/>
      <w:lang w:eastAsia="ru-RU"/>
    </w:rPr>
    <w:tblPr>
      <w:tblCellMar>
        <w:top w:w="0" w:type="dxa"/>
        <w:left w:w="0" w:type="dxa"/>
        <w:bottom w:w="0" w:type="dxa"/>
        <w:right w:w="0" w:type="dxa"/>
      </w:tblCellMar>
    </w:tblPr>
  </w:style>
  <w:style w:type="paragraph" w:styleId="affb">
    <w:name w:val="Bibliography"/>
    <w:basedOn w:val="a0"/>
    <w:next w:val="a0"/>
    <w:uiPriority w:val="37"/>
    <w:unhideWhenUsed/>
    <w:rsid w:val="006E6A5D"/>
  </w:style>
  <w:style w:type="paragraph" w:styleId="24">
    <w:name w:val="Body Text 2"/>
    <w:basedOn w:val="a0"/>
    <w:link w:val="25"/>
    <w:uiPriority w:val="99"/>
    <w:semiHidden/>
    <w:unhideWhenUsed/>
    <w:rsid w:val="00ED73E0"/>
    <w:pPr>
      <w:spacing w:after="120" w:line="480" w:lineRule="auto"/>
    </w:pPr>
  </w:style>
  <w:style w:type="character" w:customStyle="1" w:styleId="25">
    <w:name w:val="Основной текст 2 Знак"/>
    <w:basedOn w:val="a1"/>
    <w:link w:val="24"/>
    <w:uiPriority w:val="99"/>
    <w:semiHidden/>
    <w:rsid w:val="00ED73E0"/>
  </w:style>
  <w:style w:type="paragraph" w:customStyle="1" w:styleId="cn">
    <w:name w:val="cn"/>
    <w:basedOn w:val="a0"/>
    <w:rsid w:val="008D27AC"/>
    <w:pPr>
      <w:spacing w:before="150" w:after="100" w:afterAutospacing="1" w:line="240" w:lineRule="auto"/>
      <w:ind w:left="525" w:right="150"/>
      <w:jc w:val="center"/>
    </w:pPr>
    <w:rPr>
      <w:rFonts w:ascii="Verdana" w:eastAsia="Times New Roman" w:hAnsi="Verdana" w:cs="Times New Roman"/>
      <w:color w:val="333333"/>
      <w:sz w:val="18"/>
      <w:szCs w:val="18"/>
      <w:lang w:eastAsia="ru-RU"/>
    </w:rPr>
  </w:style>
  <w:style w:type="character" w:customStyle="1" w:styleId="hl">
    <w:name w:val="hl"/>
    <w:basedOn w:val="a1"/>
    <w:rsid w:val="009968EE"/>
  </w:style>
</w:styles>
</file>

<file path=word/webSettings.xml><?xml version="1.0" encoding="utf-8"?>
<w:webSettings xmlns:r="http://schemas.openxmlformats.org/officeDocument/2006/relationships" xmlns:w="http://schemas.openxmlformats.org/wordprocessingml/2006/main">
  <w:divs>
    <w:div w:id="39288654">
      <w:bodyDiv w:val="1"/>
      <w:marLeft w:val="0"/>
      <w:marRight w:val="0"/>
      <w:marTop w:val="0"/>
      <w:marBottom w:val="0"/>
      <w:divBdr>
        <w:top w:val="none" w:sz="0" w:space="0" w:color="auto"/>
        <w:left w:val="none" w:sz="0" w:space="0" w:color="auto"/>
        <w:bottom w:val="none" w:sz="0" w:space="0" w:color="auto"/>
        <w:right w:val="none" w:sz="0" w:space="0" w:color="auto"/>
      </w:divBdr>
    </w:div>
    <w:div w:id="39593082">
      <w:bodyDiv w:val="1"/>
      <w:marLeft w:val="0"/>
      <w:marRight w:val="0"/>
      <w:marTop w:val="0"/>
      <w:marBottom w:val="0"/>
      <w:divBdr>
        <w:top w:val="none" w:sz="0" w:space="0" w:color="auto"/>
        <w:left w:val="none" w:sz="0" w:space="0" w:color="auto"/>
        <w:bottom w:val="none" w:sz="0" w:space="0" w:color="auto"/>
        <w:right w:val="none" w:sz="0" w:space="0" w:color="auto"/>
      </w:divBdr>
      <w:divsChild>
        <w:div w:id="922108082">
          <w:marLeft w:val="0"/>
          <w:marRight w:val="0"/>
          <w:marTop w:val="0"/>
          <w:marBottom w:val="0"/>
          <w:divBdr>
            <w:top w:val="none" w:sz="0" w:space="0" w:color="auto"/>
            <w:left w:val="none" w:sz="0" w:space="0" w:color="auto"/>
            <w:bottom w:val="none" w:sz="0" w:space="0" w:color="auto"/>
            <w:right w:val="none" w:sz="0" w:space="0" w:color="auto"/>
          </w:divBdr>
          <w:divsChild>
            <w:div w:id="1562054982">
              <w:marLeft w:val="0"/>
              <w:marRight w:val="0"/>
              <w:marTop w:val="0"/>
              <w:marBottom w:val="0"/>
              <w:divBdr>
                <w:top w:val="none" w:sz="0" w:space="0" w:color="auto"/>
                <w:left w:val="none" w:sz="0" w:space="0" w:color="auto"/>
                <w:bottom w:val="single" w:sz="6" w:space="12" w:color="E5E5E5"/>
                <w:right w:val="none" w:sz="0" w:space="0" w:color="auto"/>
              </w:divBdr>
              <w:divsChild>
                <w:div w:id="582447848">
                  <w:marLeft w:val="0"/>
                  <w:marRight w:val="0"/>
                  <w:marTop w:val="0"/>
                  <w:marBottom w:val="0"/>
                  <w:divBdr>
                    <w:top w:val="none" w:sz="0" w:space="0" w:color="auto"/>
                    <w:left w:val="none" w:sz="0" w:space="0" w:color="auto"/>
                    <w:bottom w:val="none" w:sz="0" w:space="0" w:color="auto"/>
                    <w:right w:val="none" w:sz="0" w:space="0" w:color="auto"/>
                  </w:divBdr>
                  <w:divsChild>
                    <w:div w:id="303126705">
                      <w:marLeft w:val="0"/>
                      <w:marRight w:val="0"/>
                      <w:marTop w:val="0"/>
                      <w:marBottom w:val="0"/>
                      <w:divBdr>
                        <w:top w:val="none" w:sz="0" w:space="0" w:color="auto"/>
                        <w:left w:val="none" w:sz="0" w:space="0" w:color="auto"/>
                        <w:bottom w:val="none" w:sz="0" w:space="0" w:color="auto"/>
                        <w:right w:val="none" w:sz="0" w:space="0" w:color="auto"/>
                      </w:divBdr>
                    </w:div>
                    <w:div w:id="817572874">
                      <w:marLeft w:val="0"/>
                      <w:marRight w:val="0"/>
                      <w:marTop w:val="0"/>
                      <w:marBottom w:val="0"/>
                      <w:divBdr>
                        <w:top w:val="none" w:sz="0" w:space="0" w:color="auto"/>
                        <w:left w:val="none" w:sz="0" w:space="0" w:color="auto"/>
                        <w:bottom w:val="none" w:sz="0" w:space="0" w:color="auto"/>
                        <w:right w:val="none" w:sz="0" w:space="0" w:color="auto"/>
                      </w:divBdr>
                    </w:div>
                  </w:divsChild>
                </w:div>
                <w:div w:id="1351300357">
                  <w:marLeft w:val="0"/>
                  <w:marRight w:val="0"/>
                  <w:marTop w:val="0"/>
                  <w:marBottom w:val="0"/>
                  <w:divBdr>
                    <w:top w:val="none" w:sz="0" w:space="0" w:color="auto"/>
                    <w:left w:val="none" w:sz="0" w:space="0" w:color="auto"/>
                    <w:bottom w:val="none" w:sz="0" w:space="0" w:color="auto"/>
                    <w:right w:val="none" w:sz="0" w:space="0" w:color="auto"/>
                  </w:divBdr>
                  <w:divsChild>
                    <w:div w:id="1545291527">
                      <w:marLeft w:val="0"/>
                      <w:marRight w:val="0"/>
                      <w:marTop w:val="0"/>
                      <w:marBottom w:val="0"/>
                      <w:divBdr>
                        <w:top w:val="single" w:sz="6" w:space="0" w:color="CCCCCC"/>
                        <w:left w:val="single" w:sz="6" w:space="7" w:color="CCCCCC"/>
                        <w:bottom w:val="single" w:sz="6" w:space="0" w:color="CCCCCC"/>
                        <w:right w:val="single" w:sz="6" w:space="7" w:color="CCCCCC"/>
                      </w:divBdr>
                    </w:div>
                    <w:div w:id="1945843988">
                      <w:marLeft w:val="-17"/>
                      <w:marRight w:val="2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6927">
      <w:bodyDiv w:val="1"/>
      <w:marLeft w:val="0"/>
      <w:marRight w:val="0"/>
      <w:marTop w:val="0"/>
      <w:marBottom w:val="0"/>
      <w:divBdr>
        <w:top w:val="none" w:sz="0" w:space="0" w:color="auto"/>
        <w:left w:val="none" w:sz="0" w:space="0" w:color="auto"/>
        <w:bottom w:val="none" w:sz="0" w:space="0" w:color="auto"/>
        <w:right w:val="none" w:sz="0" w:space="0" w:color="auto"/>
      </w:divBdr>
    </w:div>
    <w:div w:id="133304965">
      <w:bodyDiv w:val="1"/>
      <w:marLeft w:val="0"/>
      <w:marRight w:val="0"/>
      <w:marTop w:val="0"/>
      <w:marBottom w:val="0"/>
      <w:divBdr>
        <w:top w:val="none" w:sz="0" w:space="0" w:color="auto"/>
        <w:left w:val="none" w:sz="0" w:space="0" w:color="auto"/>
        <w:bottom w:val="none" w:sz="0" w:space="0" w:color="auto"/>
        <w:right w:val="none" w:sz="0" w:space="0" w:color="auto"/>
      </w:divBdr>
    </w:div>
    <w:div w:id="169563979">
      <w:bodyDiv w:val="1"/>
      <w:marLeft w:val="0"/>
      <w:marRight w:val="0"/>
      <w:marTop w:val="0"/>
      <w:marBottom w:val="0"/>
      <w:divBdr>
        <w:top w:val="none" w:sz="0" w:space="0" w:color="auto"/>
        <w:left w:val="none" w:sz="0" w:space="0" w:color="auto"/>
        <w:bottom w:val="none" w:sz="0" w:space="0" w:color="auto"/>
        <w:right w:val="none" w:sz="0" w:space="0" w:color="auto"/>
      </w:divBdr>
    </w:div>
    <w:div w:id="189613573">
      <w:bodyDiv w:val="1"/>
      <w:marLeft w:val="0"/>
      <w:marRight w:val="0"/>
      <w:marTop w:val="0"/>
      <w:marBottom w:val="0"/>
      <w:divBdr>
        <w:top w:val="none" w:sz="0" w:space="0" w:color="auto"/>
        <w:left w:val="none" w:sz="0" w:space="0" w:color="auto"/>
        <w:bottom w:val="none" w:sz="0" w:space="0" w:color="auto"/>
        <w:right w:val="none" w:sz="0" w:space="0" w:color="auto"/>
      </w:divBdr>
    </w:div>
    <w:div w:id="236744022">
      <w:bodyDiv w:val="1"/>
      <w:marLeft w:val="0"/>
      <w:marRight w:val="0"/>
      <w:marTop w:val="0"/>
      <w:marBottom w:val="0"/>
      <w:divBdr>
        <w:top w:val="none" w:sz="0" w:space="0" w:color="auto"/>
        <w:left w:val="none" w:sz="0" w:space="0" w:color="auto"/>
        <w:bottom w:val="none" w:sz="0" w:space="0" w:color="auto"/>
        <w:right w:val="none" w:sz="0" w:space="0" w:color="auto"/>
      </w:divBdr>
      <w:divsChild>
        <w:div w:id="1248731499">
          <w:marLeft w:val="0"/>
          <w:marRight w:val="0"/>
          <w:marTop w:val="120"/>
          <w:marBottom w:val="0"/>
          <w:divBdr>
            <w:top w:val="none" w:sz="0" w:space="0" w:color="auto"/>
            <w:left w:val="none" w:sz="0" w:space="0" w:color="auto"/>
            <w:bottom w:val="none" w:sz="0" w:space="0" w:color="auto"/>
            <w:right w:val="none" w:sz="0" w:space="0" w:color="auto"/>
          </w:divBdr>
        </w:div>
      </w:divsChild>
    </w:div>
    <w:div w:id="315963478">
      <w:bodyDiv w:val="1"/>
      <w:marLeft w:val="0"/>
      <w:marRight w:val="0"/>
      <w:marTop w:val="0"/>
      <w:marBottom w:val="0"/>
      <w:divBdr>
        <w:top w:val="none" w:sz="0" w:space="0" w:color="auto"/>
        <w:left w:val="none" w:sz="0" w:space="0" w:color="auto"/>
        <w:bottom w:val="none" w:sz="0" w:space="0" w:color="auto"/>
        <w:right w:val="none" w:sz="0" w:space="0" w:color="auto"/>
      </w:divBdr>
    </w:div>
    <w:div w:id="476802869">
      <w:bodyDiv w:val="1"/>
      <w:marLeft w:val="0"/>
      <w:marRight w:val="0"/>
      <w:marTop w:val="0"/>
      <w:marBottom w:val="0"/>
      <w:divBdr>
        <w:top w:val="none" w:sz="0" w:space="0" w:color="auto"/>
        <w:left w:val="none" w:sz="0" w:space="0" w:color="auto"/>
        <w:bottom w:val="none" w:sz="0" w:space="0" w:color="auto"/>
        <w:right w:val="none" w:sz="0" w:space="0" w:color="auto"/>
      </w:divBdr>
    </w:div>
    <w:div w:id="507868471">
      <w:bodyDiv w:val="1"/>
      <w:marLeft w:val="0"/>
      <w:marRight w:val="0"/>
      <w:marTop w:val="0"/>
      <w:marBottom w:val="0"/>
      <w:divBdr>
        <w:top w:val="none" w:sz="0" w:space="0" w:color="auto"/>
        <w:left w:val="none" w:sz="0" w:space="0" w:color="auto"/>
        <w:bottom w:val="none" w:sz="0" w:space="0" w:color="auto"/>
        <w:right w:val="none" w:sz="0" w:space="0" w:color="auto"/>
      </w:divBdr>
    </w:div>
    <w:div w:id="609046445">
      <w:bodyDiv w:val="1"/>
      <w:marLeft w:val="0"/>
      <w:marRight w:val="0"/>
      <w:marTop w:val="0"/>
      <w:marBottom w:val="0"/>
      <w:divBdr>
        <w:top w:val="none" w:sz="0" w:space="0" w:color="auto"/>
        <w:left w:val="none" w:sz="0" w:space="0" w:color="auto"/>
        <w:bottom w:val="none" w:sz="0" w:space="0" w:color="auto"/>
        <w:right w:val="none" w:sz="0" w:space="0" w:color="auto"/>
      </w:divBdr>
    </w:div>
    <w:div w:id="654072856">
      <w:bodyDiv w:val="1"/>
      <w:marLeft w:val="0"/>
      <w:marRight w:val="0"/>
      <w:marTop w:val="0"/>
      <w:marBottom w:val="0"/>
      <w:divBdr>
        <w:top w:val="none" w:sz="0" w:space="0" w:color="auto"/>
        <w:left w:val="none" w:sz="0" w:space="0" w:color="auto"/>
        <w:bottom w:val="none" w:sz="0" w:space="0" w:color="auto"/>
        <w:right w:val="none" w:sz="0" w:space="0" w:color="auto"/>
      </w:divBdr>
    </w:div>
    <w:div w:id="709259179">
      <w:bodyDiv w:val="1"/>
      <w:marLeft w:val="0"/>
      <w:marRight w:val="0"/>
      <w:marTop w:val="0"/>
      <w:marBottom w:val="0"/>
      <w:divBdr>
        <w:top w:val="none" w:sz="0" w:space="0" w:color="auto"/>
        <w:left w:val="none" w:sz="0" w:space="0" w:color="auto"/>
        <w:bottom w:val="none" w:sz="0" w:space="0" w:color="auto"/>
        <w:right w:val="none" w:sz="0" w:space="0" w:color="auto"/>
      </w:divBdr>
    </w:div>
    <w:div w:id="779374009">
      <w:bodyDiv w:val="1"/>
      <w:marLeft w:val="0"/>
      <w:marRight w:val="0"/>
      <w:marTop w:val="0"/>
      <w:marBottom w:val="0"/>
      <w:divBdr>
        <w:top w:val="none" w:sz="0" w:space="0" w:color="auto"/>
        <w:left w:val="none" w:sz="0" w:space="0" w:color="auto"/>
        <w:bottom w:val="none" w:sz="0" w:space="0" w:color="auto"/>
        <w:right w:val="none" w:sz="0" w:space="0" w:color="auto"/>
      </w:divBdr>
    </w:div>
    <w:div w:id="848330120">
      <w:bodyDiv w:val="1"/>
      <w:marLeft w:val="0"/>
      <w:marRight w:val="0"/>
      <w:marTop w:val="0"/>
      <w:marBottom w:val="0"/>
      <w:divBdr>
        <w:top w:val="none" w:sz="0" w:space="0" w:color="auto"/>
        <w:left w:val="none" w:sz="0" w:space="0" w:color="auto"/>
        <w:bottom w:val="none" w:sz="0" w:space="0" w:color="auto"/>
        <w:right w:val="none" w:sz="0" w:space="0" w:color="auto"/>
      </w:divBdr>
    </w:div>
    <w:div w:id="868839952">
      <w:bodyDiv w:val="1"/>
      <w:marLeft w:val="0"/>
      <w:marRight w:val="0"/>
      <w:marTop w:val="0"/>
      <w:marBottom w:val="0"/>
      <w:divBdr>
        <w:top w:val="none" w:sz="0" w:space="0" w:color="auto"/>
        <w:left w:val="none" w:sz="0" w:space="0" w:color="auto"/>
        <w:bottom w:val="none" w:sz="0" w:space="0" w:color="auto"/>
        <w:right w:val="none" w:sz="0" w:space="0" w:color="auto"/>
      </w:divBdr>
      <w:divsChild>
        <w:div w:id="467675420">
          <w:marLeft w:val="0"/>
          <w:marRight w:val="0"/>
          <w:marTop w:val="0"/>
          <w:marBottom w:val="0"/>
          <w:divBdr>
            <w:top w:val="none" w:sz="0" w:space="0" w:color="auto"/>
            <w:left w:val="none" w:sz="0" w:space="0" w:color="auto"/>
            <w:bottom w:val="none" w:sz="0" w:space="0" w:color="auto"/>
            <w:right w:val="none" w:sz="0" w:space="0" w:color="auto"/>
          </w:divBdr>
        </w:div>
        <w:div w:id="1141264047">
          <w:marLeft w:val="0"/>
          <w:marRight w:val="0"/>
          <w:marTop w:val="0"/>
          <w:marBottom w:val="0"/>
          <w:divBdr>
            <w:top w:val="none" w:sz="0" w:space="0" w:color="auto"/>
            <w:left w:val="none" w:sz="0" w:space="0" w:color="auto"/>
            <w:bottom w:val="none" w:sz="0" w:space="0" w:color="auto"/>
            <w:right w:val="none" w:sz="0" w:space="0" w:color="auto"/>
          </w:divBdr>
          <w:divsChild>
            <w:div w:id="6611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1478">
      <w:bodyDiv w:val="1"/>
      <w:marLeft w:val="0"/>
      <w:marRight w:val="0"/>
      <w:marTop w:val="0"/>
      <w:marBottom w:val="0"/>
      <w:divBdr>
        <w:top w:val="none" w:sz="0" w:space="0" w:color="auto"/>
        <w:left w:val="none" w:sz="0" w:space="0" w:color="auto"/>
        <w:bottom w:val="none" w:sz="0" w:space="0" w:color="auto"/>
        <w:right w:val="none" w:sz="0" w:space="0" w:color="auto"/>
      </w:divBdr>
    </w:div>
    <w:div w:id="905607312">
      <w:bodyDiv w:val="1"/>
      <w:marLeft w:val="0"/>
      <w:marRight w:val="0"/>
      <w:marTop w:val="0"/>
      <w:marBottom w:val="0"/>
      <w:divBdr>
        <w:top w:val="none" w:sz="0" w:space="0" w:color="auto"/>
        <w:left w:val="none" w:sz="0" w:space="0" w:color="auto"/>
        <w:bottom w:val="none" w:sz="0" w:space="0" w:color="auto"/>
        <w:right w:val="none" w:sz="0" w:space="0" w:color="auto"/>
      </w:divBdr>
    </w:div>
    <w:div w:id="911892202">
      <w:bodyDiv w:val="1"/>
      <w:marLeft w:val="0"/>
      <w:marRight w:val="0"/>
      <w:marTop w:val="0"/>
      <w:marBottom w:val="0"/>
      <w:divBdr>
        <w:top w:val="none" w:sz="0" w:space="0" w:color="auto"/>
        <w:left w:val="none" w:sz="0" w:space="0" w:color="auto"/>
        <w:bottom w:val="none" w:sz="0" w:space="0" w:color="auto"/>
        <w:right w:val="none" w:sz="0" w:space="0" w:color="auto"/>
      </w:divBdr>
    </w:div>
    <w:div w:id="926038458">
      <w:bodyDiv w:val="1"/>
      <w:marLeft w:val="0"/>
      <w:marRight w:val="0"/>
      <w:marTop w:val="0"/>
      <w:marBottom w:val="0"/>
      <w:divBdr>
        <w:top w:val="none" w:sz="0" w:space="0" w:color="auto"/>
        <w:left w:val="none" w:sz="0" w:space="0" w:color="auto"/>
        <w:bottom w:val="none" w:sz="0" w:space="0" w:color="auto"/>
        <w:right w:val="none" w:sz="0" w:space="0" w:color="auto"/>
      </w:divBdr>
    </w:div>
    <w:div w:id="942345490">
      <w:bodyDiv w:val="1"/>
      <w:marLeft w:val="0"/>
      <w:marRight w:val="0"/>
      <w:marTop w:val="0"/>
      <w:marBottom w:val="0"/>
      <w:divBdr>
        <w:top w:val="none" w:sz="0" w:space="0" w:color="auto"/>
        <w:left w:val="none" w:sz="0" w:space="0" w:color="auto"/>
        <w:bottom w:val="none" w:sz="0" w:space="0" w:color="auto"/>
        <w:right w:val="none" w:sz="0" w:space="0" w:color="auto"/>
      </w:divBdr>
    </w:div>
    <w:div w:id="960264374">
      <w:bodyDiv w:val="1"/>
      <w:marLeft w:val="0"/>
      <w:marRight w:val="0"/>
      <w:marTop w:val="0"/>
      <w:marBottom w:val="0"/>
      <w:divBdr>
        <w:top w:val="none" w:sz="0" w:space="0" w:color="auto"/>
        <w:left w:val="none" w:sz="0" w:space="0" w:color="auto"/>
        <w:bottom w:val="none" w:sz="0" w:space="0" w:color="auto"/>
        <w:right w:val="none" w:sz="0" w:space="0" w:color="auto"/>
      </w:divBdr>
    </w:div>
    <w:div w:id="1092556575">
      <w:bodyDiv w:val="1"/>
      <w:marLeft w:val="0"/>
      <w:marRight w:val="0"/>
      <w:marTop w:val="0"/>
      <w:marBottom w:val="0"/>
      <w:divBdr>
        <w:top w:val="none" w:sz="0" w:space="0" w:color="auto"/>
        <w:left w:val="none" w:sz="0" w:space="0" w:color="auto"/>
        <w:bottom w:val="none" w:sz="0" w:space="0" w:color="auto"/>
        <w:right w:val="none" w:sz="0" w:space="0" w:color="auto"/>
      </w:divBdr>
    </w:div>
    <w:div w:id="1295986126">
      <w:bodyDiv w:val="1"/>
      <w:marLeft w:val="0"/>
      <w:marRight w:val="0"/>
      <w:marTop w:val="0"/>
      <w:marBottom w:val="0"/>
      <w:divBdr>
        <w:top w:val="none" w:sz="0" w:space="0" w:color="auto"/>
        <w:left w:val="none" w:sz="0" w:space="0" w:color="auto"/>
        <w:bottom w:val="none" w:sz="0" w:space="0" w:color="auto"/>
        <w:right w:val="none" w:sz="0" w:space="0" w:color="auto"/>
      </w:divBdr>
    </w:div>
    <w:div w:id="1353915532">
      <w:bodyDiv w:val="1"/>
      <w:marLeft w:val="0"/>
      <w:marRight w:val="0"/>
      <w:marTop w:val="0"/>
      <w:marBottom w:val="0"/>
      <w:divBdr>
        <w:top w:val="none" w:sz="0" w:space="0" w:color="auto"/>
        <w:left w:val="none" w:sz="0" w:space="0" w:color="auto"/>
        <w:bottom w:val="none" w:sz="0" w:space="0" w:color="auto"/>
        <w:right w:val="none" w:sz="0" w:space="0" w:color="auto"/>
      </w:divBdr>
    </w:div>
    <w:div w:id="1370376310">
      <w:bodyDiv w:val="1"/>
      <w:marLeft w:val="0"/>
      <w:marRight w:val="0"/>
      <w:marTop w:val="0"/>
      <w:marBottom w:val="0"/>
      <w:divBdr>
        <w:top w:val="none" w:sz="0" w:space="0" w:color="auto"/>
        <w:left w:val="none" w:sz="0" w:space="0" w:color="auto"/>
        <w:bottom w:val="none" w:sz="0" w:space="0" w:color="auto"/>
        <w:right w:val="none" w:sz="0" w:space="0" w:color="auto"/>
      </w:divBdr>
    </w:div>
    <w:div w:id="1391608672">
      <w:bodyDiv w:val="1"/>
      <w:marLeft w:val="0"/>
      <w:marRight w:val="0"/>
      <w:marTop w:val="0"/>
      <w:marBottom w:val="0"/>
      <w:divBdr>
        <w:top w:val="none" w:sz="0" w:space="0" w:color="auto"/>
        <w:left w:val="none" w:sz="0" w:space="0" w:color="auto"/>
        <w:bottom w:val="none" w:sz="0" w:space="0" w:color="auto"/>
        <w:right w:val="none" w:sz="0" w:space="0" w:color="auto"/>
      </w:divBdr>
    </w:div>
    <w:div w:id="1465267841">
      <w:bodyDiv w:val="1"/>
      <w:marLeft w:val="0"/>
      <w:marRight w:val="0"/>
      <w:marTop w:val="0"/>
      <w:marBottom w:val="0"/>
      <w:divBdr>
        <w:top w:val="none" w:sz="0" w:space="0" w:color="auto"/>
        <w:left w:val="none" w:sz="0" w:space="0" w:color="auto"/>
        <w:bottom w:val="none" w:sz="0" w:space="0" w:color="auto"/>
        <w:right w:val="none" w:sz="0" w:space="0" w:color="auto"/>
      </w:divBdr>
    </w:div>
    <w:div w:id="1503348146">
      <w:bodyDiv w:val="1"/>
      <w:marLeft w:val="0"/>
      <w:marRight w:val="0"/>
      <w:marTop w:val="0"/>
      <w:marBottom w:val="0"/>
      <w:divBdr>
        <w:top w:val="none" w:sz="0" w:space="0" w:color="auto"/>
        <w:left w:val="none" w:sz="0" w:space="0" w:color="auto"/>
        <w:bottom w:val="none" w:sz="0" w:space="0" w:color="auto"/>
        <w:right w:val="none" w:sz="0" w:space="0" w:color="auto"/>
      </w:divBdr>
    </w:div>
    <w:div w:id="1528257079">
      <w:bodyDiv w:val="1"/>
      <w:marLeft w:val="0"/>
      <w:marRight w:val="0"/>
      <w:marTop w:val="0"/>
      <w:marBottom w:val="0"/>
      <w:divBdr>
        <w:top w:val="none" w:sz="0" w:space="0" w:color="auto"/>
        <w:left w:val="none" w:sz="0" w:space="0" w:color="auto"/>
        <w:bottom w:val="none" w:sz="0" w:space="0" w:color="auto"/>
        <w:right w:val="none" w:sz="0" w:space="0" w:color="auto"/>
      </w:divBdr>
    </w:div>
    <w:div w:id="1543402074">
      <w:bodyDiv w:val="1"/>
      <w:marLeft w:val="0"/>
      <w:marRight w:val="0"/>
      <w:marTop w:val="0"/>
      <w:marBottom w:val="0"/>
      <w:divBdr>
        <w:top w:val="none" w:sz="0" w:space="0" w:color="auto"/>
        <w:left w:val="none" w:sz="0" w:space="0" w:color="auto"/>
        <w:bottom w:val="none" w:sz="0" w:space="0" w:color="auto"/>
        <w:right w:val="none" w:sz="0" w:space="0" w:color="auto"/>
      </w:divBdr>
    </w:div>
    <w:div w:id="1648970222">
      <w:bodyDiv w:val="1"/>
      <w:marLeft w:val="0"/>
      <w:marRight w:val="0"/>
      <w:marTop w:val="0"/>
      <w:marBottom w:val="0"/>
      <w:divBdr>
        <w:top w:val="none" w:sz="0" w:space="0" w:color="auto"/>
        <w:left w:val="none" w:sz="0" w:space="0" w:color="auto"/>
        <w:bottom w:val="none" w:sz="0" w:space="0" w:color="auto"/>
        <w:right w:val="none" w:sz="0" w:space="0" w:color="auto"/>
      </w:divBdr>
    </w:div>
    <w:div w:id="1714428983">
      <w:bodyDiv w:val="1"/>
      <w:marLeft w:val="0"/>
      <w:marRight w:val="0"/>
      <w:marTop w:val="0"/>
      <w:marBottom w:val="0"/>
      <w:divBdr>
        <w:top w:val="none" w:sz="0" w:space="0" w:color="auto"/>
        <w:left w:val="none" w:sz="0" w:space="0" w:color="auto"/>
        <w:bottom w:val="none" w:sz="0" w:space="0" w:color="auto"/>
        <w:right w:val="none" w:sz="0" w:space="0" w:color="auto"/>
      </w:divBdr>
    </w:div>
    <w:div w:id="1748530440">
      <w:bodyDiv w:val="1"/>
      <w:marLeft w:val="0"/>
      <w:marRight w:val="0"/>
      <w:marTop w:val="0"/>
      <w:marBottom w:val="0"/>
      <w:divBdr>
        <w:top w:val="none" w:sz="0" w:space="0" w:color="auto"/>
        <w:left w:val="none" w:sz="0" w:space="0" w:color="auto"/>
        <w:bottom w:val="none" w:sz="0" w:space="0" w:color="auto"/>
        <w:right w:val="none" w:sz="0" w:space="0" w:color="auto"/>
      </w:divBdr>
    </w:div>
    <w:div w:id="1856455302">
      <w:bodyDiv w:val="1"/>
      <w:marLeft w:val="0"/>
      <w:marRight w:val="0"/>
      <w:marTop w:val="0"/>
      <w:marBottom w:val="0"/>
      <w:divBdr>
        <w:top w:val="none" w:sz="0" w:space="0" w:color="auto"/>
        <w:left w:val="none" w:sz="0" w:space="0" w:color="auto"/>
        <w:bottom w:val="none" w:sz="0" w:space="0" w:color="auto"/>
        <w:right w:val="none" w:sz="0" w:space="0" w:color="auto"/>
      </w:divBdr>
    </w:div>
    <w:div w:id="1860965848">
      <w:bodyDiv w:val="1"/>
      <w:marLeft w:val="0"/>
      <w:marRight w:val="0"/>
      <w:marTop w:val="0"/>
      <w:marBottom w:val="0"/>
      <w:divBdr>
        <w:top w:val="none" w:sz="0" w:space="0" w:color="auto"/>
        <w:left w:val="none" w:sz="0" w:space="0" w:color="auto"/>
        <w:bottom w:val="none" w:sz="0" w:space="0" w:color="auto"/>
        <w:right w:val="none" w:sz="0" w:space="0" w:color="auto"/>
      </w:divBdr>
    </w:div>
    <w:div w:id="1894004703">
      <w:bodyDiv w:val="1"/>
      <w:marLeft w:val="0"/>
      <w:marRight w:val="0"/>
      <w:marTop w:val="0"/>
      <w:marBottom w:val="0"/>
      <w:divBdr>
        <w:top w:val="none" w:sz="0" w:space="0" w:color="auto"/>
        <w:left w:val="none" w:sz="0" w:space="0" w:color="auto"/>
        <w:bottom w:val="none" w:sz="0" w:space="0" w:color="auto"/>
        <w:right w:val="none" w:sz="0" w:space="0" w:color="auto"/>
      </w:divBdr>
    </w:div>
    <w:div w:id="1909262867">
      <w:bodyDiv w:val="1"/>
      <w:marLeft w:val="0"/>
      <w:marRight w:val="0"/>
      <w:marTop w:val="0"/>
      <w:marBottom w:val="0"/>
      <w:divBdr>
        <w:top w:val="none" w:sz="0" w:space="0" w:color="auto"/>
        <w:left w:val="none" w:sz="0" w:space="0" w:color="auto"/>
        <w:bottom w:val="none" w:sz="0" w:space="0" w:color="auto"/>
        <w:right w:val="none" w:sz="0" w:space="0" w:color="auto"/>
      </w:divBdr>
    </w:div>
    <w:div w:id="1914927740">
      <w:bodyDiv w:val="1"/>
      <w:marLeft w:val="0"/>
      <w:marRight w:val="0"/>
      <w:marTop w:val="0"/>
      <w:marBottom w:val="0"/>
      <w:divBdr>
        <w:top w:val="none" w:sz="0" w:space="0" w:color="auto"/>
        <w:left w:val="none" w:sz="0" w:space="0" w:color="auto"/>
        <w:bottom w:val="none" w:sz="0" w:space="0" w:color="auto"/>
        <w:right w:val="none" w:sz="0" w:space="0" w:color="auto"/>
      </w:divBdr>
    </w:div>
    <w:div w:id="1980498216">
      <w:bodyDiv w:val="1"/>
      <w:marLeft w:val="0"/>
      <w:marRight w:val="0"/>
      <w:marTop w:val="0"/>
      <w:marBottom w:val="0"/>
      <w:divBdr>
        <w:top w:val="none" w:sz="0" w:space="0" w:color="auto"/>
        <w:left w:val="none" w:sz="0" w:space="0" w:color="auto"/>
        <w:bottom w:val="none" w:sz="0" w:space="0" w:color="auto"/>
        <w:right w:val="none" w:sz="0" w:space="0" w:color="auto"/>
      </w:divBdr>
    </w:div>
    <w:div w:id="1986232159">
      <w:bodyDiv w:val="1"/>
      <w:marLeft w:val="0"/>
      <w:marRight w:val="0"/>
      <w:marTop w:val="0"/>
      <w:marBottom w:val="0"/>
      <w:divBdr>
        <w:top w:val="none" w:sz="0" w:space="0" w:color="auto"/>
        <w:left w:val="none" w:sz="0" w:space="0" w:color="auto"/>
        <w:bottom w:val="none" w:sz="0" w:space="0" w:color="auto"/>
        <w:right w:val="none" w:sz="0" w:space="0" w:color="auto"/>
      </w:divBdr>
    </w:div>
    <w:div w:id="1996373949">
      <w:bodyDiv w:val="1"/>
      <w:marLeft w:val="0"/>
      <w:marRight w:val="0"/>
      <w:marTop w:val="0"/>
      <w:marBottom w:val="0"/>
      <w:divBdr>
        <w:top w:val="none" w:sz="0" w:space="0" w:color="auto"/>
        <w:left w:val="none" w:sz="0" w:space="0" w:color="auto"/>
        <w:bottom w:val="none" w:sz="0" w:space="0" w:color="auto"/>
        <w:right w:val="none" w:sz="0" w:space="0" w:color="auto"/>
      </w:divBdr>
      <w:divsChild>
        <w:div w:id="2102683088">
          <w:marLeft w:val="0"/>
          <w:marRight w:val="0"/>
          <w:marTop w:val="120"/>
          <w:marBottom w:val="0"/>
          <w:divBdr>
            <w:top w:val="none" w:sz="0" w:space="0" w:color="auto"/>
            <w:left w:val="none" w:sz="0" w:space="0" w:color="auto"/>
            <w:bottom w:val="none" w:sz="0" w:space="0" w:color="auto"/>
            <w:right w:val="none" w:sz="0" w:space="0" w:color="auto"/>
          </w:divBdr>
        </w:div>
      </w:divsChild>
    </w:div>
    <w:div w:id="2046707076">
      <w:bodyDiv w:val="1"/>
      <w:marLeft w:val="0"/>
      <w:marRight w:val="0"/>
      <w:marTop w:val="0"/>
      <w:marBottom w:val="0"/>
      <w:divBdr>
        <w:top w:val="none" w:sz="0" w:space="0" w:color="auto"/>
        <w:left w:val="none" w:sz="0" w:space="0" w:color="auto"/>
        <w:bottom w:val="none" w:sz="0" w:space="0" w:color="auto"/>
        <w:right w:val="none" w:sz="0" w:space="0" w:color="auto"/>
      </w:divBdr>
    </w:div>
    <w:div w:id="2084908970">
      <w:bodyDiv w:val="1"/>
      <w:marLeft w:val="0"/>
      <w:marRight w:val="0"/>
      <w:marTop w:val="0"/>
      <w:marBottom w:val="0"/>
      <w:divBdr>
        <w:top w:val="none" w:sz="0" w:space="0" w:color="auto"/>
        <w:left w:val="none" w:sz="0" w:space="0" w:color="auto"/>
        <w:bottom w:val="none" w:sz="0" w:space="0" w:color="auto"/>
        <w:right w:val="none" w:sz="0" w:space="0" w:color="auto"/>
      </w:divBdr>
    </w:div>
    <w:div w:id="2088069881">
      <w:bodyDiv w:val="1"/>
      <w:marLeft w:val="0"/>
      <w:marRight w:val="0"/>
      <w:marTop w:val="0"/>
      <w:marBottom w:val="0"/>
      <w:divBdr>
        <w:top w:val="none" w:sz="0" w:space="0" w:color="auto"/>
        <w:left w:val="none" w:sz="0" w:space="0" w:color="auto"/>
        <w:bottom w:val="none" w:sz="0" w:space="0" w:color="auto"/>
        <w:right w:val="none" w:sz="0" w:space="0" w:color="auto"/>
      </w:divBdr>
      <w:divsChild>
        <w:div w:id="723214719">
          <w:marLeft w:val="0"/>
          <w:marRight w:val="0"/>
          <w:marTop w:val="0"/>
          <w:marBottom w:val="0"/>
          <w:divBdr>
            <w:top w:val="none" w:sz="0" w:space="0" w:color="auto"/>
            <w:left w:val="none" w:sz="0" w:space="0" w:color="auto"/>
            <w:bottom w:val="none" w:sz="0" w:space="0" w:color="auto"/>
            <w:right w:val="none" w:sz="0" w:space="0" w:color="auto"/>
          </w:divBdr>
        </w:div>
      </w:divsChild>
    </w:div>
    <w:div w:id="2092727185">
      <w:bodyDiv w:val="1"/>
      <w:marLeft w:val="0"/>
      <w:marRight w:val="0"/>
      <w:marTop w:val="0"/>
      <w:marBottom w:val="0"/>
      <w:divBdr>
        <w:top w:val="none" w:sz="0" w:space="0" w:color="auto"/>
        <w:left w:val="none" w:sz="0" w:space="0" w:color="auto"/>
        <w:bottom w:val="none" w:sz="0" w:space="0" w:color="auto"/>
        <w:right w:val="none" w:sz="0" w:space="0" w:color="auto"/>
      </w:divBdr>
    </w:div>
    <w:div w:id="21056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4576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4576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194519215449503E-2"/>
          <c:y val="4.5422331118822989E-2"/>
          <c:w val="0.87992941933006308"/>
          <c:h val="0.86777608267716966"/>
        </c:manualLayout>
      </c:layout>
      <c:barChart>
        <c:barDir val="col"/>
        <c:grouping val="clustered"/>
        <c:ser>
          <c:idx val="0"/>
          <c:order val="0"/>
          <c:tx>
            <c:strRef>
              <c:f>Лист1!$B$1</c:f>
              <c:strCache>
                <c:ptCount val="1"/>
                <c:pt idx="0">
                  <c:v>Объемы выплат (млрд руб.)</c:v>
                </c:pt>
              </c:strCache>
            </c:strRef>
          </c:tx>
          <c:spPr>
            <a:solidFill>
              <a:srgbClr val="00B050"/>
            </a:solidFill>
          </c:spPr>
          <c:dLbls>
            <c:dLbl>
              <c:idx val="0"/>
              <c:layout>
                <c:manualLayout>
                  <c:x val="-4.0296938825091243E-2"/>
                  <c:y val="-1.1983491898967113E-2"/>
                </c:manualLayout>
              </c:layout>
              <c:dLblPos val="outEnd"/>
              <c:showVal val="1"/>
            </c:dLbl>
            <c:dLbl>
              <c:idx val="1"/>
              <c:layout>
                <c:manualLayout>
                  <c:x val="-1.1579332363569681E-2"/>
                  <c:y val="-3.1250000000000232E-3"/>
                </c:manualLayout>
              </c:layout>
              <c:dLblPos val="outEnd"/>
              <c:showVal val="1"/>
            </c:dLbl>
            <c:dLbl>
              <c:idx val="2"/>
              <c:layout>
                <c:manualLayout>
                  <c:x val="-9.9251420259169245E-3"/>
                  <c:y val="-3.1250000000000232E-3"/>
                </c:manualLayout>
              </c:layout>
              <c:dLblPos val="outEnd"/>
              <c:showVal val="1"/>
            </c:dLbl>
            <c:dLbl>
              <c:idx val="3"/>
              <c:layout>
                <c:manualLayout>
                  <c:x val="-8.2709516882640537E-3"/>
                  <c:y val="5.4644808743170405E-3"/>
                </c:manualLayout>
              </c:layout>
              <c:dLblPos val="outEnd"/>
              <c:showVal val="1"/>
            </c:dLbl>
            <c:dLbl>
              <c:idx val="4"/>
              <c:layout>
                <c:manualLayout>
                  <c:x val="-6.6167613506112281E-3"/>
                  <c:y val="5.4644808743169355E-3"/>
                </c:manualLayout>
              </c:layout>
              <c:dLblPos val="outEnd"/>
              <c:showVal val="1"/>
            </c:dLbl>
            <c:dLbl>
              <c:idx val="6"/>
              <c:layout>
                <c:manualLayout>
                  <c:x val="0"/>
                  <c:y val="6.6438358194822727E-3"/>
                </c:manualLayout>
              </c:layout>
              <c:dLblPos val="outEnd"/>
              <c:showVal val="1"/>
            </c:dLbl>
            <c:dLbl>
              <c:idx val="7"/>
              <c:layout>
                <c:manualLayout>
                  <c:x val="-1.1579332363569681E-2"/>
                  <c:y val="0"/>
                </c:manualLayout>
              </c:layout>
              <c:dLblPos val="outEnd"/>
              <c:showVal val="1"/>
            </c:dLbl>
            <c:dLbl>
              <c:idx val="8"/>
              <c:layout>
                <c:manualLayout>
                  <c:x val="5.3310189261486134E-3"/>
                  <c:y val="3.7551170301243467E-3"/>
                </c:manualLayout>
              </c:layout>
              <c:dLblPos val="outEnd"/>
              <c:showVal val="1"/>
            </c:dLbl>
            <c:dLbl>
              <c:idx val="9"/>
              <c:layout>
                <c:manualLayout>
                  <c:x val="1.660503299707351E-3"/>
                  <c:y val="0"/>
                </c:manualLayout>
              </c:layout>
              <c:dLblPos val="outEnd"/>
              <c:showVal val="1"/>
            </c:dLbl>
            <c:dLbl>
              <c:idx val="11"/>
              <c:layout>
                <c:manualLayout>
                  <c:x val="3.9616954439800206E-3"/>
                  <c:y val="6.4091949127717965E-3"/>
                </c:manualLayout>
              </c:layout>
              <c:dLblPos val="outEnd"/>
              <c:showVal val="1"/>
            </c:dLbl>
            <c:spPr>
              <a:effectLst>
                <a:outerShdw blurRad="50800" dist="38100" dir="2700000" algn="ctr" rotWithShape="0">
                  <a:srgbClr val="00B050">
                    <a:alpha val="40000"/>
                  </a:srgbClr>
                </a:outerShdw>
              </a:effectLst>
            </c:spPr>
            <c:txPr>
              <a:bodyPr/>
              <a:lstStyle/>
              <a:p>
                <a:pPr>
                  <a:defRPr sz="656" b="1" i="0" u="none" strike="noStrike" baseline="0">
                    <a:solidFill>
                      <a:srgbClr val="339966"/>
                    </a:solidFill>
                    <a:latin typeface="Calibri"/>
                    <a:ea typeface="Calibri"/>
                    <a:cs typeface="Calibri"/>
                  </a:defRPr>
                </a:pPr>
                <a:endParaRPr lang="ru-RU"/>
              </a:p>
            </c:txPr>
            <c:showVal val="1"/>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Лист1!$B$2:$B$15</c:f>
              <c:numCache>
                <c:formatCode>General</c:formatCode>
                <c:ptCount val="14"/>
                <c:pt idx="0">
                  <c:v>3.5000000000000044E-3</c:v>
                </c:pt>
                <c:pt idx="1">
                  <c:v>3.0000000000000027E-2</c:v>
                </c:pt>
                <c:pt idx="2">
                  <c:v>0.31000000000000033</c:v>
                </c:pt>
                <c:pt idx="3">
                  <c:v>10.6</c:v>
                </c:pt>
                <c:pt idx="4">
                  <c:v>10.9</c:v>
                </c:pt>
                <c:pt idx="5">
                  <c:v>9.5</c:v>
                </c:pt>
                <c:pt idx="6">
                  <c:v>27</c:v>
                </c:pt>
                <c:pt idx="7">
                  <c:v>14.3</c:v>
                </c:pt>
                <c:pt idx="8">
                  <c:v>103.9</c:v>
                </c:pt>
                <c:pt idx="9">
                  <c:v>202.4</c:v>
                </c:pt>
                <c:pt idx="10">
                  <c:v>369.2</c:v>
                </c:pt>
                <c:pt idx="11">
                  <c:v>568.4</c:v>
                </c:pt>
                <c:pt idx="12">
                  <c:v>404.3</c:v>
                </c:pt>
                <c:pt idx="13">
                  <c:v>188.3</c:v>
                </c:pt>
              </c:numCache>
            </c:numRef>
          </c:val>
        </c:ser>
        <c:overlap val="-18"/>
        <c:axId val="102614144"/>
        <c:axId val="102615680"/>
      </c:barChart>
      <c:lineChart>
        <c:grouping val="standard"/>
        <c:ser>
          <c:idx val="2"/>
          <c:order val="1"/>
          <c:tx>
            <c:strRef>
              <c:f>Лист1!$D$1</c:f>
              <c:strCache>
                <c:ptCount val="1"/>
                <c:pt idx="0">
                  <c:v>Количество страховых случаев</c:v>
                </c:pt>
              </c:strCache>
            </c:strRef>
          </c:tx>
          <c:spPr>
            <a:ln>
              <a:solidFill>
                <a:srgbClr val="C00000"/>
              </a:solidFill>
            </a:ln>
          </c:spPr>
          <c:marker>
            <c:symbol val="circle"/>
            <c:size val="7"/>
            <c:spPr>
              <a:solidFill>
                <a:srgbClr val="C00000"/>
              </a:solidFill>
              <a:ln w="9462">
                <a:solidFill>
                  <a:schemeClr val="tx1"/>
                </a:solidFill>
              </a:ln>
            </c:spPr>
          </c:marker>
          <c:dLbls>
            <c:dLbl>
              <c:idx val="0"/>
              <c:layout>
                <c:manualLayout>
                  <c:x val="-2.7560557292671897E-2"/>
                  <c:y val="-3.6589313010876839E-2"/>
                </c:manualLayout>
              </c:layout>
              <c:dLblPos val="r"/>
              <c:showVal val="1"/>
            </c:dLbl>
            <c:dLbl>
              <c:idx val="1"/>
              <c:layout>
                <c:manualLayout>
                  <c:x val="-3.3906232966885552E-2"/>
                  <c:y val="-3.9138934793644546E-2"/>
                </c:manualLayout>
              </c:layout>
              <c:dLblPos val="r"/>
              <c:showVal val="1"/>
            </c:dLbl>
            <c:dLbl>
              <c:idx val="2"/>
              <c:layout>
                <c:manualLayout>
                  <c:x val="-4.3392492130908684E-2"/>
                  <c:y val="-4.6084679436665422E-2"/>
                </c:manualLayout>
              </c:layout>
              <c:dLblPos val="r"/>
              <c:showVal val="1"/>
            </c:dLbl>
            <c:dLbl>
              <c:idx val="3"/>
              <c:layout>
                <c:manualLayout>
                  <c:x val="-3.9153396560254454E-2"/>
                  <c:y val="-4.1921735091755445E-2"/>
                </c:manualLayout>
              </c:layout>
              <c:dLblPos val="r"/>
              <c:showVal val="1"/>
            </c:dLbl>
            <c:dLbl>
              <c:idx val="4"/>
              <c:layout>
                <c:manualLayout>
                  <c:x val="-3.7619682523710389E-2"/>
                  <c:y val="-4.1893652182366112E-2"/>
                </c:manualLayout>
              </c:layout>
              <c:dLblPos val="r"/>
              <c:showVal val="1"/>
            </c:dLbl>
            <c:dLbl>
              <c:idx val="5"/>
              <c:layout>
                <c:manualLayout>
                  <c:x val="-3.71990641744862E-2"/>
                  <c:y val="-4.6947495760560745E-2"/>
                </c:manualLayout>
              </c:layout>
              <c:dLblPos val="r"/>
              <c:showVal val="1"/>
            </c:dLbl>
            <c:dLbl>
              <c:idx val="6"/>
              <c:layout>
                <c:manualLayout>
                  <c:x val="-4.2963279749775922E-2"/>
                  <c:y val="-3.6412516336692478E-2"/>
                </c:manualLayout>
              </c:layout>
              <c:dLblPos val="r"/>
              <c:showVal val="1"/>
            </c:dLbl>
            <c:dLbl>
              <c:idx val="7"/>
              <c:layout>
                <c:manualLayout>
                  <c:x val="-4.267766848632739E-2"/>
                  <c:y val="-4.1267403302982175E-2"/>
                </c:manualLayout>
              </c:layout>
              <c:dLblPos val="r"/>
              <c:showVal val="1"/>
            </c:dLbl>
            <c:dLbl>
              <c:idx val="8"/>
              <c:layout>
                <c:manualLayout>
                  <c:x val="-5.8611355689164576E-2"/>
                  <c:y val="-2.9610835682576959E-2"/>
                </c:manualLayout>
              </c:layout>
              <c:dLblPos val="r"/>
              <c:showVal val="1"/>
            </c:dLbl>
            <c:dLbl>
              <c:idx val="9"/>
              <c:layout>
                <c:manualLayout>
                  <c:x val="-6.7082253695923993E-2"/>
                  <c:y val="-1.2816175755808387E-2"/>
                </c:manualLayout>
              </c:layout>
              <c:dLblPos val="r"/>
              <c:showVal val="1"/>
            </c:dLbl>
            <c:dLbl>
              <c:idx val="10"/>
              <c:layout>
                <c:manualLayout>
                  <c:x val="-6.8420584807091137E-2"/>
                  <c:y val="-7.0410334510655698E-3"/>
                </c:manualLayout>
              </c:layout>
              <c:dLblPos val="r"/>
              <c:showVal val="1"/>
            </c:dLbl>
            <c:dLbl>
              <c:idx val="11"/>
              <c:layout>
                <c:manualLayout>
                  <c:x val="-7.2417465388711827E-2"/>
                  <c:y val="-1.0959031355648446E-2"/>
                </c:manualLayout>
              </c:layout>
              <c:dLblPos val="r"/>
              <c:showVal val="1"/>
            </c:dLbl>
            <c:dLbl>
              <c:idx val="13"/>
              <c:layout>
                <c:manualLayout>
                  <c:x val="-3.7655379155961073E-2"/>
                  <c:y val="-5.84957412480838E-2"/>
                </c:manualLayout>
              </c:layout>
              <c:dLblPos val="r"/>
              <c:showVal val="1"/>
            </c:dLbl>
            <c:spPr>
              <a:noFill/>
              <a:ln>
                <a:noFill/>
              </a:ln>
            </c:spPr>
            <c:txPr>
              <a:bodyPr/>
              <a:lstStyle/>
              <a:p>
                <a:pPr>
                  <a:defRPr sz="716" b="1" i="0" u="none" strike="noStrike" baseline="0">
                    <a:solidFill>
                      <a:srgbClr val="FF0000"/>
                    </a:solidFill>
                    <a:latin typeface="Calibri"/>
                    <a:ea typeface="Calibri"/>
                    <a:cs typeface="Calibri"/>
                  </a:defRPr>
                </a:pPr>
                <a:endParaRPr lang="ru-RU"/>
              </a:p>
            </c:txPr>
            <c:showVal val="1"/>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Лист1!$D$2:$D$15</c:f>
              <c:numCache>
                <c:formatCode>General</c:formatCode>
                <c:ptCount val="14"/>
                <c:pt idx="0">
                  <c:v>1</c:v>
                </c:pt>
                <c:pt idx="1">
                  <c:v>9</c:v>
                </c:pt>
                <c:pt idx="2">
                  <c:v>15</c:v>
                </c:pt>
                <c:pt idx="3">
                  <c:v>27</c:v>
                </c:pt>
                <c:pt idx="4">
                  <c:v>31</c:v>
                </c:pt>
                <c:pt idx="5">
                  <c:v>16</c:v>
                </c:pt>
                <c:pt idx="6">
                  <c:v>17</c:v>
                </c:pt>
                <c:pt idx="7">
                  <c:v>14</c:v>
                </c:pt>
                <c:pt idx="8">
                  <c:v>27</c:v>
                </c:pt>
                <c:pt idx="9">
                  <c:v>61</c:v>
                </c:pt>
                <c:pt idx="10">
                  <c:v>77</c:v>
                </c:pt>
                <c:pt idx="11">
                  <c:v>88</c:v>
                </c:pt>
                <c:pt idx="12">
                  <c:v>41</c:v>
                </c:pt>
                <c:pt idx="13">
                  <c:v>57</c:v>
                </c:pt>
              </c:numCache>
            </c:numRef>
          </c:val>
        </c:ser>
        <c:marker val="1"/>
        <c:axId val="102678912"/>
        <c:axId val="102680448"/>
      </c:lineChart>
      <c:catAx>
        <c:axId val="102614144"/>
        <c:scaling>
          <c:orientation val="minMax"/>
        </c:scaling>
        <c:axPos val="b"/>
        <c:numFmt formatCode="General" sourceLinked="1"/>
        <c:tickLblPos val="nextTo"/>
        <c:txPr>
          <a:bodyPr rot="0" vert="horz"/>
          <a:lstStyle/>
          <a:p>
            <a:pPr>
              <a:defRPr sz="716" b="1" i="0" u="none" strike="noStrike" baseline="0">
                <a:solidFill>
                  <a:srgbClr val="000000"/>
                </a:solidFill>
                <a:latin typeface="Calibri"/>
                <a:ea typeface="Calibri"/>
                <a:cs typeface="Calibri"/>
              </a:defRPr>
            </a:pPr>
            <a:endParaRPr lang="ru-RU"/>
          </a:p>
        </c:txPr>
        <c:crossAx val="102615680"/>
        <c:crosses val="autoZero"/>
        <c:auto val="1"/>
        <c:lblAlgn val="ctr"/>
        <c:lblOffset val="100"/>
      </c:catAx>
      <c:valAx>
        <c:axId val="102615680"/>
        <c:scaling>
          <c:orientation val="minMax"/>
          <c:max val="600"/>
          <c:min val="0"/>
        </c:scaling>
        <c:axPos val="l"/>
        <c:majorGridlines/>
        <c:numFmt formatCode="General" sourceLinked="1"/>
        <c:tickLblPos val="nextTo"/>
        <c:txPr>
          <a:bodyPr rot="0" vert="horz"/>
          <a:lstStyle/>
          <a:p>
            <a:pPr>
              <a:defRPr sz="835" b="0" i="0" u="none" strike="noStrike" baseline="0">
                <a:solidFill>
                  <a:srgbClr val="000000"/>
                </a:solidFill>
                <a:latin typeface="Calibri"/>
                <a:ea typeface="Calibri"/>
                <a:cs typeface="Calibri"/>
              </a:defRPr>
            </a:pPr>
            <a:endParaRPr lang="ru-RU"/>
          </a:p>
        </c:txPr>
        <c:crossAx val="102614144"/>
        <c:crosses val="autoZero"/>
        <c:crossBetween val="between"/>
        <c:majorUnit val="40"/>
      </c:valAx>
      <c:catAx>
        <c:axId val="102678912"/>
        <c:scaling>
          <c:orientation val="minMax"/>
        </c:scaling>
        <c:delete val="1"/>
        <c:axPos val="b"/>
        <c:numFmt formatCode="General" sourceLinked="1"/>
        <c:tickLblPos val="nextTo"/>
        <c:crossAx val="102680448"/>
        <c:crosses val="autoZero"/>
        <c:auto val="1"/>
        <c:lblAlgn val="ctr"/>
        <c:lblOffset val="100"/>
      </c:catAx>
      <c:valAx>
        <c:axId val="102680448"/>
        <c:scaling>
          <c:orientation val="minMax"/>
        </c:scaling>
        <c:axPos val="r"/>
        <c:numFmt formatCode="General" sourceLinked="1"/>
        <c:tickLblPos val="nextTo"/>
        <c:txPr>
          <a:bodyPr rot="0" vert="horz"/>
          <a:lstStyle/>
          <a:p>
            <a:pPr>
              <a:defRPr sz="835" b="0" i="0" u="none" strike="noStrike" baseline="0">
                <a:solidFill>
                  <a:srgbClr val="000000"/>
                </a:solidFill>
                <a:latin typeface="Calibri"/>
                <a:ea typeface="Calibri"/>
                <a:cs typeface="Calibri"/>
              </a:defRPr>
            </a:pPr>
            <a:endParaRPr lang="ru-RU"/>
          </a:p>
        </c:txPr>
        <c:crossAx val="102678912"/>
        <c:crosses val="max"/>
        <c:crossBetween val="between"/>
      </c:valAx>
      <c:spPr>
        <a:gradFill>
          <a:gsLst>
            <a:gs pos="0">
              <a:srgbClr val="499BC9">
                <a:tint val="66000"/>
                <a:satMod val="160000"/>
              </a:srgbClr>
            </a:gs>
            <a:gs pos="50000">
              <a:srgbClr val="499BC9">
                <a:tint val="44500"/>
                <a:satMod val="160000"/>
              </a:srgbClr>
            </a:gs>
            <a:gs pos="100000">
              <a:srgbClr val="499BC9">
                <a:tint val="23500"/>
                <a:satMod val="160000"/>
              </a:srgbClr>
            </a:gs>
          </a:gsLst>
          <a:lin ang="5400000" scaled="0"/>
        </a:gradFill>
      </c:spPr>
    </c:plotArea>
    <c:legend>
      <c:legendPos val="r"/>
      <c:layout>
        <c:manualLayout>
          <c:xMode val="edge"/>
          <c:yMode val="edge"/>
          <c:x val="0.10930339276191811"/>
          <c:y val="0.21014118593999412"/>
          <c:w val="0.32381642596164745"/>
          <c:h val="0.22434903069842857"/>
        </c:manualLayout>
      </c:layout>
      <c:txPr>
        <a:bodyPr/>
        <a:lstStyle/>
        <a:p>
          <a:pPr>
            <a:defRPr sz="656" b="0" i="0" u="none" strike="noStrike" baseline="0">
              <a:solidFill>
                <a:srgbClr val="000000"/>
              </a:solidFill>
              <a:latin typeface="Calibri"/>
              <a:ea typeface="Calibri"/>
              <a:cs typeface="Calibri"/>
            </a:defRPr>
          </a:pPr>
          <a:endParaRPr lang="ru-RU"/>
        </a:p>
      </c:txPr>
    </c:legend>
    <c:plotVisOnly val="1"/>
    <c:dispBlanksAs val="gap"/>
  </c:chart>
  <c:spPr>
    <a:ln>
      <a:noFill/>
    </a:ln>
  </c:spPr>
  <c:txPr>
    <a:bodyPr/>
    <a:lstStyle/>
    <a:p>
      <a:pPr>
        <a:defRPr sz="1074"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Аге16</b:Tag>
    <b:SourceType>Report</b:SourceType>
    <b:Guid>{81BAE05A-431B-4133-B520-DC742F0E0E92}</b:Guid>
    <b:Title>Годовой отчет за 2016 год</b:Title>
    <b:Year>2016</b:Year>
    <b:City>Москва</b:City>
    <b:Publisher>Агенство по страхованию вкладов</b:Publisher>
    <b:Author>
      <b:Author>
        <b:Corporate>Агенство по страхованию вкладов</b:Corporate>
      </b:Author>
    </b:Author>
    <b:RefOrder>1</b:RefOrder>
  </b:Source>
</b:Sources>
</file>

<file path=customXml/itemProps1.xml><?xml version="1.0" encoding="utf-8"?>
<ds:datastoreItem xmlns:ds="http://schemas.openxmlformats.org/officeDocument/2006/customXml" ds:itemID="{50951B93-A8DB-4CA1-AF0E-F55F05F8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7458</Words>
  <Characters>42515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MSK2 Lectorium 305g</dc:creator>
  <cp:lastModifiedBy>ДНС</cp:lastModifiedBy>
  <cp:revision>2</cp:revision>
  <dcterms:created xsi:type="dcterms:W3CDTF">2019-04-14T13:09:00Z</dcterms:created>
  <dcterms:modified xsi:type="dcterms:W3CDTF">2019-04-14T13:09:00Z</dcterms:modified>
</cp:coreProperties>
</file>