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21C" w:rsidRDefault="00C622A6">
      <w:pPr>
        <w:ind w:right="-99"/>
        <w:jc w:val="center"/>
        <w:rPr>
          <w:sz w:val="20"/>
          <w:szCs w:val="20"/>
        </w:rPr>
      </w:pPr>
      <w:bookmarkStart w:id="0" w:name="page1"/>
      <w:bookmarkEnd w:id="0"/>
      <w:r>
        <w:rPr>
          <w:rFonts w:eastAsia="Times New Roman"/>
          <w:b/>
          <w:bCs/>
          <w:sz w:val="24"/>
          <w:szCs w:val="24"/>
        </w:rPr>
        <w:t>Задания по учебной дисциплине «Банковское дело»</w:t>
      </w:r>
    </w:p>
    <w:p w:rsidR="00EA321C" w:rsidRDefault="00C622A6">
      <w:pPr>
        <w:ind w:left="120"/>
        <w:rPr>
          <w:sz w:val="20"/>
          <w:szCs w:val="20"/>
        </w:rPr>
      </w:pPr>
      <w:r>
        <w:rPr>
          <w:rFonts w:eastAsia="Times New Roman"/>
          <w:b/>
          <w:bCs/>
          <w:sz w:val="24"/>
          <w:szCs w:val="24"/>
        </w:rPr>
        <w:t>Модуль 2</w:t>
      </w:r>
    </w:p>
    <w:p w:rsidR="00EA321C" w:rsidRDefault="00C622A6">
      <w:pPr>
        <w:ind w:left="820"/>
        <w:rPr>
          <w:sz w:val="20"/>
          <w:szCs w:val="20"/>
        </w:rPr>
      </w:pPr>
      <w:r>
        <w:rPr>
          <w:rFonts w:eastAsia="Times New Roman"/>
          <w:b/>
          <w:bCs/>
          <w:sz w:val="24"/>
          <w:szCs w:val="24"/>
        </w:rPr>
        <w:t>Задание 1.</w:t>
      </w:r>
    </w:p>
    <w:p w:rsidR="00EA321C" w:rsidRDefault="00EA321C">
      <w:pPr>
        <w:spacing w:line="8" w:lineRule="exact"/>
        <w:rPr>
          <w:sz w:val="24"/>
          <w:szCs w:val="24"/>
        </w:rPr>
      </w:pPr>
    </w:p>
    <w:p w:rsidR="00EA321C" w:rsidRDefault="00C622A6">
      <w:pPr>
        <w:spacing w:line="237" w:lineRule="auto"/>
        <w:ind w:left="120" w:firstLine="708"/>
        <w:jc w:val="both"/>
        <w:rPr>
          <w:sz w:val="20"/>
          <w:szCs w:val="20"/>
        </w:rPr>
      </w:pPr>
      <w:r>
        <w:rPr>
          <w:rFonts w:eastAsia="Times New Roman"/>
          <w:sz w:val="24"/>
          <w:szCs w:val="24"/>
        </w:rPr>
        <w:t xml:space="preserve">На основании изучения ст. 845-860 ГК РФ и Инструкции Банка России № 153-И «Об открытии и закрытии банковских счетов, счетов по вкладам (депозитам), депозитных счетов» (в последней действующей редакции), </w:t>
      </w:r>
      <w:r>
        <w:rPr>
          <w:rFonts w:eastAsia="Times New Roman"/>
          <w:i/>
          <w:iCs/>
          <w:sz w:val="24"/>
          <w:szCs w:val="24"/>
        </w:rPr>
        <w:t>оцените достоверность</w:t>
      </w:r>
      <w:r>
        <w:rPr>
          <w:rFonts w:eastAsia="Times New Roman"/>
          <w:sz w:val="24"/>
          <w:szCs w:val="24"/>
        </w:rPr>
        <w:t xml:space="preserve"> приведенных высказываний, указав документ и № статьи/пункта из него (основание):</w:t>
      </w:r>
    </w:p>
    <w:tbl>
      <w:tblPr>
        <w:tblW w:w="515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49"/>
        <w:gridCol w:w="860"/>
        <w:gridCol w:w="3823"/>
      </w:tblGrid>
      <w:tr w:rsidR="00D95F30" w:rsidRPr="00316A99" w:rsidTr="00B133B1">
        <w:trPr>
          <w:trHeight w:val="276"/>
        </w:trPr>
        <w:tc>
          <w:tcPr>
            <w:tcW w:w="2798" w:type="pct"/>
            <w:vMerge w:val="restart"/>
            <w:vAlign w:val="bottom"/>
          </w:tcPr>
          <w:p w:rsidR="00D95F30" w:rsidRPr="00316A99" w:rsidRDefault="00D95F30" w:rsidP="00D95F30">
            <w:pPr>
              <w:jc w:val="center"/>
              <w:rPr>
                <w:sz w:val="24"/>
                <w:szCs w:val="24"/>
              </w:rPr>
            </w:pPr>
            <w:r w:rsidRPr="00316A99">
              <w:rPr>
                <w:rFonts w:eastAsia="Times New Roman"/>
                <w:i/>
                <w:iCs/>
                <w:sz w:val="24"/>
                <w:szCs w:val="24"/>
              </w:rPr>
              <w:t>Высказывание</w:t>
            </w:r>
          </w:p>
        </w:tc>
        <w:tc>
          <w:tcPr>
            <w:tcW w:w="404" w:type="pct"/>
            <w:vMerge w:val="restart"/>
            <w:vAlign w:val="bottom"/>
          </w:tcPr>
          <w:p w:rsidR="00D95F30" w:rsidRPr="00316A99" w:rsidRDefault="00D95F30" w:rsidP="00D95F30">
            <w:pPr>
              <w:jc w:val="center"/>
              <w:rPr>
                <w:sz w:val="24"/>
                <w:szCs w:val="24"/>
              </w:rPr>
            </w:pPr>
            <w:r w:rsidRPr="00316A99">
              <w:rPr>
                <w:rFonts w:eastAsia="Times New Roman"/>
                <w:i/>
                <w:iCs/>
                <w:sz w:val="24"/>
                <w:szCs w:val="24"/>
              </w:rPr>
              <w:t>Верно/</w:t>
            </w:r>
          </w:p>
          <w:p w:rsidR="00D95F30" w:rsidRPr="00316A99" w:rsidRDefault="00D95F30" w:rsidP="00D95F30">
            <w:pPr>
              <w:jc w:val="center"/>
              <w:rPr>
                <w:sz w:val="24"/>
                <w:szCs w:val="24"/>
              </w:rPr>
            </w:pPr>
            <w:r w:rsidRPr="00316A99">
              <w:rPr>
                <w:rFonts w:eastAsia="Times New Roman"/>
                <w:i/>
                <w:iCs/>
                <w:sz w:val="24"/>
                <w:szCs w:val="24"/>
              </w:rPr>
              <w:t>неверно</w:t>
            </w:r>
          </w:p>
        </w:tc>
        <w:tc>
          <w:tcPr>
            <w:tcW w:w="1798" w:type="pct"/>
            <w:vMerge w:val="restart"/>
            <w:vAlign w:val="bottom"/>
          </w:tcPr>
          <w:p w:rsidR="00D95F30" w:rsidRPr="00316A99" w:rsidRDefault="00D95F30" w:rsidP="00D95F30">
            <w:pPr>
              <w:ind w:left="220"/>
              <w:rPr>
                <w:sz w:val="24"/>
                <w:szCs w:val="24"/>
              </w:rPr>
            </w:pPr>
            <w:r w:rsidRPr="00316A99">
              <w:rPr>
                <w:rFonts w:eastAsia="Times New Roman"/>
                <w:i/>
                <w:iCs/>
                <w:sz w:val="24"/>
                <w:szCs w:val="24"/>
              </w:rPr>
              <w:t>Основание</w:t>
            </w:r>
          </w:p>
        </w:tc>
      </w:tr>
      <w:tr w:rsidR="00D95F30" w:rsidRPr="00316A99" w:rsidTr="00B133B1">
        <w:trPr>
          <w:trHeight w:val="276"/>
        </w:trPr>
        <w:tc>
          <w:tcPr>
            <w:tcW w:w="2798" w:type="pct"/>
            <w:vMerge/>
            <w:vAlign w:val="bottom"/>
          </w:tcPr>
          <w:p w:rsidR="00D95F30" w:rsidRPr="00316A99" w:rsidRDefault="00D95F30" w:rsidP="00D95F30">
            <w:pPr>
              <w:rPr>
                <w:sz w:val="24"/>
                <w:szCs w:val="24"/>
              </w:rPr>
            </w:pPr>
          </w:p>
        </w:tc>
        <w:tc>
          <w:tcPr>
            <w:tcW w:w="404" w:type="pct"/>
            <w:vMerge/>
            <w:vAlign w:val="bottom"/>
          </w:tcPr>
          <w:p w:rsidR="00D95F30" w:rsidRPr="00316A99" w:rsidRDefault="00D95F30" w:rsidP="00D95F30">
            <w:pPr>
              <w:jc w:val="center"/>
              <w:rPr>
                <w:sz w:val="24"/>
                <w:szCs w:val="24"/>
              </w:rPr>
            </w:pPr>
          </w:p>
        </w:tc>
        <w:tc>
          <w:tcPr>
            <w:tcW w:w="1798" w:type="pct"/>
            <w:vMerge/>
            <w:vAlign w:val="bottom"/>
          </w:tcPr>
          <w:p w:rsidR="00D95F30" w:rsidRPr="00316A99" w:rsidRDefault="00D95F30" w:rsidP="00D95F30">
            <w:pPr>
              <w:rPr>
                <w:sz w:val="24"/>
                <w:szCs w:val="24"/>
              </w:rPr>
            </w:pPr>
          </w:p>
        </w:tc>
      </w:tr>
      <w:tr w:rsidR="00D95F30" w:rsidRPr="00316A99" w:rsidTr="00B133B1">
        <w:trPr>
          <w:trHeight w:val="276"/>
        </w:trPr>
        <w:tc>
          <w:tcPr>
            <w:tcW w:w="2798" w:type="pct"/>
            <w:vMerge/>
            <w:vAlign w:val="bottom"/>
          </w:tcPr>
          <w:p w:rsidR="00D95F30" w:rsidRPr="00316A99" w:rsidRDefault="00D95F30" w:rsidP="00D95F30">
            <w:pPr>
              <w:rPr>
                <w:sz w:val="24"/>
                <w:szCs w:val="24"/>
              </w:rPr>
            </w:pPr>
          </w:p>
        </w:tc>
        <w:tc>
          <w:tcPr>
            <w:tcW w:w="404" w:type="pct"/>
            <w:vMerge/>
            <w:vAlign w:val="bottom"/>
          </w:tcPr>
          <w:p w:rsidR="00D95F30" w:rsidRPr="00316A99" w:rsidRDefault="00D95F30" w:rsidP="00D95F30">
            <w:pPr>
              <w:rPr>
                <w:sz w:val="24"/>
                <w:szCs w:val="24"/>
              </w:rPr>
            </w:pPr>
          </w:p>
        </w:tc>
        <w:tc>
          <w:tcPr>
            <w:tcW w:w="1798" w:type="pct"/>
            <w:vMerge/>
            <w:vAlign w:val="bottom"/>
          </w:tcPr>
          <w:p w:rsidR="00D95F30" w:rsidRPr="00316A99" w:rsidRDefault="00D95F30" w:rsidP="00D95F30">
            <w:pPr>
              <w:rPr>
                <w:sz w:val="24"/>
                <w:szCs w:val="24"/>
              </w:rPr>
            </w:pPr>
          </w:p>
        </w:tc>
      </w:tr>
      <w:tr w:rsidR="00D95F30" w:rsidRPr="00316A99" w:rsidTr="00B133B1">
        <w:trPr>
          <w:trHeight w:val="276"/>
        </w:trPr>
        <w:tc>
          <w:tcPr>
            <w:tcW w:w="2798" w:type="pct"/>
            <w:vMerge w:val="restart"/>
            <w:vAlign w:val="bottom"/>
          </w:tcPr>
          <w:p w:rsidR="00D95F30" w:rsidRPr="00316A99" w:rsidRDefault="00D95F30" w:rsidP="00D95F30">
            <w:pPr>
              <w:ind w:left="120"/>
              <w:jc w:val="both"/>
              <w:rPr>
                <w:sz w:val="24"/>
                <w:szCs w:val="24"/>
              </w:rPr>
            </w:pPr>
            <w:r w:rsidRPr="00316A99">
              <w:rPr>
                <w:rFonts w:eastAsia="Times New Roman"/>
                <w:sz w:val="24"/>
                <w:szCs w:val="24"/>
              </w:rPr>
              <w:t>1.Банк    обязан    располагать    копиями    документов,</w:t>
            </w:r>
            <w:r w:rsidRPr="00316A99">
              <w:rPr>
                <w:sz w:val="24"/>
                <w:szCs w:val="24"/>
              </w:rPr>
              <w:t xml:space="preserve"> </w:t>
            </w:r>
            <w:r w:rsidRPr="00316A99">
              <w:rPr>
                <w:rFonts w:eastAsia="Times New Roman"/>
                <w:sz w:val="24"/>
                <w:szCs w:val="24"/>
              </w:rPr>
              <w:t>удостоверяющих  личность  клиента,  а  также  лиц,  личности</w:t>
            </w:r>
            <w:r w:rsidRPr="00316A99">
              <w:rPr>
                <w:sz w:val="24"/>
                <w:szCs w:val="24"/>
              </w:rPr>
              <w:t xml:space="preserve"> </w:t>
            </w:r>
            <w:r w:rsidRPr="00316A99">
              <w:rPr>
                <w:rFonts w:eastAsia="Times New Roman"/>
                <w:sz w:val="24"/>
                <w:szCs w:val="24"/>
              </w:rPr>
              <w:t>которых  необходимо  установить  при  открытии  счета,  либо</w:t>
            </w:r>
            <w:r w:rsidRPr="00316A99">
              <w:rPr>
                <w:sz w:val="24"/>
                <w:szCs w:val="24"/>
              </w:rPr>
              <w:t xml:space="preserve"> </w:t>
            </w:r>
            <w:r w:rsidRPr="00316A99">
              <w:rPr>
                <w:rFonts w:eastAsia="Times New Roman"/>
                <w:sz w:val="24"/>
                <w:szCs w:val="24"/>
              </w:rPr>
              <w:t>сведениями об их реквизитах: серия и номер документа, дата</w:t>
            </w:r>
            <w:r w:rsidRPr="00316A99">
              <w:rPr>
                <w:sz w:val="24"/>
                <w:szCs w:val="24"/>
              </w:rPr>
              <w:t xml:space="preserve"> </w:t>
            </w:r>
            <w:r w:rsidRPr="00316A99">
              <w:rPr>
                <w:rFonts w:eastAsia="Times New Roman"/>
                <w:sz w:val="24"/>
                <w:szCs w:val="24"/>
              </w:rPr>
              <w:t>выдачи документа, наименование органа, выдавшего документ,</w:t>
            </w:r>
            <w:r w:rsidRPr="00316A99">
              <w:rPr>
                <w:sz w:val="24"/>
                <w:szCs w:val="24"/>
              </w:rPr>
              <w:t xml:space="preserve"> </w:t>
            </w:r>
            <w:r w:rsidRPr="00316A99">
              <w:rPr>
                <w:rFonts w:eastAsia="Times New Roman"/>
                <w:sz w:val="24"/>
                <w:szCs w:val="24"/>
              </w:rPr>
              <w:t>и код подразделения (если имеется).</w:t>
            </w:r>
          </w:p>
        </w:tc>
        <w:tc>
          <w:tcPr>
            <w:tcW w:w="404" w:type="pct"/>
            <w:vMerge w:val="restart"/>
            <w:vAlign w:val="bottom"/>
          </w:tcPr>
          <w:p w:rsidR="00D95F30" w:rsidRPr="00316A99" w:rsidRDefault="00D95F30" w:rsidP="00D95F30">
            <w:pPr>
              <w:jc w:val="center"/>
              <w:rPr>
                <w:i/>
                <w:sz w:val="24"/>
                <w:szCs w:val="24"/>
              </w:rPr>
            </w:pPr>
            <w:r w:rsidRPr="00316A99">
              <w:rPr>
                <w:i/>
                <w:sz w:val="24"/>
                <w:szCs w:val="24"/>
              </w:rPr>
              <w:t>Верно</w:t>
            </w:r>
          </w:p>
        </w:tc>
        <w:tc>
          <w:tcPr>
            <w:tcW w:w="1798" w:type="pct"/>
            <w:vMerge w:val="restart"/>
            <w:vAlign w:val="bottom"/>
          </w:tcPr>
          <w:p w:rsidR="00D95F30" w:rsidRPr="00316A99" w:rsidRDefault="00D95F30" w:rsidP="00D95F30">
            <w:pPr>
              <w:rPr>
                <w:sz w:val="24"/>
                <w:szCs w:val="24"/>
              </w:rPr>
            </w:pPr>
            <w:r w:rsidRPr="00316A99">
              <w:rPr>
                <w:sz w:val="24"/>
                <w:szCs w:val="24"/>
              </w:rPr>
              <w:t xml:space="preserve">п.1.8 </w:t>
            </w:r>
            <w:r w:rsidRPr="00316A99">
              <w:rPr>
                <w:rFonts w:eastAsia="Times New Roman"/>
                <w:sz w:val="24"/>
                <w:szCs w:val="24"/>
              </w:rPr>
              <w:t>Инструкции Банка России № 153-И</w:t>
            </w:r>
          </w:p>
          <w:p w:rsidR="00D95F30" w:rsidRPr="00316A99" w:rsidRDefault="00D95F30" w:rsidP="00D95F30">
            <w:pPr>
              <w:rPr>
                <w:sz w:val="24"/>
                <w:szCs w:val="24"/>
              </w:rPr>
            </w:pPr>
          </w:p>
          <w:p w:rsidR="00D95F30" w:rsidRPr="00316A99" w:rsidRDefault="00D95F30" w:rsidP="00D95F30">
            <w:pPr>
              <w:rPr>
                <w:sz w:val="24"/>
                <w:szCs w:val="24"/>
              </w:rPr>
            </w:pPr>
          </w:p>
        </w:tc>
      </w:tr>
      <w:tr w:rsidR="00D95F30" w:rsidRPr="00316A99" w:rsidTr="00B133B1">
        <w:trPr>
          <w:trHeight w:val="276"/>
        </w:trPr>
        <w:tc>
          <w:tcPr>
            <w:tcW w:w="2798" w:type="pct"/>
            <w:vMerge/>
            <w:vAlign w:val="bottom"/>
          </w:tcPr>
          <w:p w:rsidR="00D95F30" w:rsidRPr="00316A99" w:rsidRDefault="00D95F30" w:rsidP="00D95F30">
            <w:pPr>
              <w:rPr>
                <w:sz w:val="24"/>
                <w:szCs w:val="24"/>
              </w:rPr>
            </w:pPr>
          </w:p>
        </w:tc>
        <w:tc>
          <w:tcPr>
            <w:tcW w:w="404" w:type="pct"/>
            <w:vMerge/>
            <w:vAlign w:val="bottom"/>
          </w:tcPr>
          <w:p w:rsidR="00D95F30" w:rsidRPr="00316A99" w:rsidRDefault="00D95F30" w:rsidP="00D95F30">
            <w:pPr>
              <w:rPr>
                <w:sz w:val="24"/>
                <w:szCs w:val="24"/>
              </w:rPr>
            </w:pPr>
          </w:p>
        </w:tc>
        <w:tc>
          <w:tcPr>
            <w:tcW w:w="1798" w:type="pct"/>
            <w:vMerge/>
            <w:vAlign w:val="bottom"/>
          </w:tcPr>
          <w:p w:rsidR="00D95F30" w:rsidRPr="00316A99" w:rsidRDefault="00D95F30" w:rsidP="00D95F30">
            <w:pPr>
              <w:rPr>
                <w:sz w:val="24"/>
                <w:szCs w:val="24"/>
              </w:rPr>
            </w:pPr>
          </w:p>
        </w:tc>
      </w:tr>
      <w:tr w:rsidR="00D95F30" w:rsidRPr="00316A99" w:rsidTr="00B133B1">
        <w:trPr>
          <w:trHeight w:val="276"/>
        </w:trPr>
        <w:tc>
          <w:tcPr>
            <w:tcW w:w="2798" w:type="pct"/>
            <w:vMerge/>
            <w:vAlign w:val="bottom"/>
          </w:tcPr>
          <w:p w:rsidR="00D95F30" w:rsidRPr="00316A99" w:rsidRDefault="00D95F30" w:rsidP="00D95F30">
            <w:pPr>
              <w:rPr>
                <w:sz w:val="24"/>
                <w:szCs w:val="24"/>
              </w:rPr>
            </w:pPr>
          </w:p>
        </w:tc>
        <w:tc>
          <w:tcPr>
            <w:tcW w:w="404" w:type="pct"/>
            <w:vMerge/>
            <w:vAlign w:val="bottom"/>
          </w:tcPr>
          <w:p w:rsidR="00D95F30" w:rsidRPr="00316A99" w:rsidRDefault="00D95F30" w:rsidP="00D95F30">
            <w:pPr>
              <w:rPr>
                <w:sz w:val="24"/>
                <w:szCs w:val="24"/>
              </w:rPr>
            </w:pPr>
          </w:p>
        </w:tc>
        <w:tc>
          <w:tcPr>
            <w:tcW w:w="1798" w:type="pct"/>
            <w:vMerge/>
            <w:vAlign w:val="bottom"/>
          </w:tcPr>
          <w:p w:rsidR="00D95F30" w:rsidRPr="00316A99" w:rsidRDefault="00D95F30" w:rsidP="00D95F30">
            <w:pPr>
              <w:rPr>
                <w:sz w:val="24"/>
                <w:szCs w:val="24"/>
              </w:rPr>
            </w:pPr>
          </w:p>
        </w:tc>
      </w:tr>
      <w:tr w:rsidR="00D95F30" w:rsidRPr="00316A99" w:rsidTr="00B133B1">
        <w:trPr>
          <w:trHeight w:val="276"/>
        </w:trPr>
        <w:tc>
          <w:tcPr>
            <w:tcW w:w="2798" w:type="pct"/>
            <w:vMerge/>
            <w:vAlign w:val="bottom"/>
          </w:tcPr>
          <w:p w:rsidR="00D95F30" w:rsidRPr="00316A99" w:rsidRDefault="00D95F30" w:rsidP="00D95F30">
            <w:pPr>
              <w:rPr>
                <w:sz w:val="24"/>
                <w:szCs w:val="24"/>
              </w:rPr>
            </w:pPr>
          </w:p>
        </w:tc>
        <w:tc>
          <w:tcPr>
            <w:tcW w:w="404" w:type="pct"/>
            <w:vMerge/>
            <w:vAlign w:val="bottom"/>
          </w:tcPr>
          <w:p w:rsidR="00D95F30" w:rsidRPr="00316A99" w:rsidRDefault="00D95F30" w:rsidP="00D95F30">
            <w:pPr>
              <w:rPr>
                <w:sz w:val="24"/>
                <w:szCs w:val="24"/>
              </w:rPr>
            </w:pPr>
          </w:p>
        </w:tc>
        <w:tc>
          <w:tcPr>
            <w:tcW w:w="1798" w:type="pct"/>
            <w:vMerge/>
            <w:vAlign w:val="bottom"/>
          </w:tcPr>
          <w:p w:rsidR="00D95F30" w:rsidRPr="00316A99" w:rsidRDefault="00D95F30" w:rsidP="00D95F30">
            <w:pPr>
              <w:rPr>
                <w:sz w:val="24"/>
                <w:szCs w:val="24"/>
              </w:rPr>
            </w:pPr>
          </w:p>
        </w:tc>
      </w:tr>
      <w:tr w:rsidR="00D95F30" w:rsidRPr="00316A99" w:rsidTr="00B133B1">
        <w:trPr>
          <w:trHeight w:val="276"/>
        </w:trPr>
        <w:tc>
          <w:tcPr>
            <w:tcW w:w="2798" w:type="pct"/>
            <w:vMerge/>
            <w:vAlign w:val="bottom"/>
          </w:tcPr>
          <w:p w:rsidR="00D95F30" w:rsidRPr="00316A99" w:rsidRDefault="00D95F30" w:rsidP="00D95F30">
            <w:pPr>
              <w:rPr>
                <w:sz w:val="24"/>
                <w:szCs w:val="24"/>
              </w:rPr>
            </w:pPr>
          </w:p>
        </w:tc>
        <w:tc>
          <w:tcPr>
            <w:tcW w:w="404" w:type="pct"/>
            <w:vMerge/>
            <w:vAlign w:val="bottom"/>
          </w:tcPr>
          <w:p w:rsidR="00D95F30" w:rsidRPr="00316A99" w:rsidRDefault="00D95F30" w:rsidP="00D95F30">
            <w:pPr>
              <w:rPr>
                <w:sz w:val="24"/>
                <w:szCs w:val="24"/>
              </w:rPr>
            </w:pPr>
          </w:p>
        </w:tc>
        <w:tc>
          <w:tcPr>
            <w:tcW w:w="1798" w:type="pct"/>
            <w:vMerge/>
            <w:vAlign w:val="bottom"/>
          </w:tcPr>
          <w:p w:rsidR="00D95F30" w:rsidRPr="00316A99" w:rsidRDefault="00D95F30" w:rsidP="00D95F30">
            <w:pPr>
              <w:rPr>
                <w:sz w:val="24"/>
                <w:szCs w:val="24"/>
              </w:rPr>
            </w:pPr>
          </w:p>
        </w:tc>
      </w:tr>
      <w:tr w:rsidR="00D95F30" w:rsidRPr="00316A99" w:rsidTr="00B133B1">
        <w:trPr>
          <w:trHeight w:val="281"/>
        </w:trPr>
        <w:tc>
          <w:tcPr>
            <w:tcW w:w="2798" w:type="pct"/>
            <w:vMerge/>
            <w:vAlign w:val="bottom"/>
          </w:tcPr>
          <w:p w:rsidR="00D95F30" w:rsidRPr="00316A99" w:rsidRDefault="00D95F30" w:rsidP="00D95F30">
            <w:pPr>
              <w:rPr>
                <w:sz w:val="24"/>
                <w:szCs w:val="24"/>
              </w:rPr>
            </w:pPr>
          </w:p>
        </w:tc>
        <w:tc>
          <w:tcPr>
            <w:tcW w:w="404" w:type="pct"/>
            <w:vMerge/>
            <w:vAlign w:val="bottom"/>
          </w:tcPr>
          <w:p w:rsidR="00D95F30" w:rsidRPr="00316A99" w:rsidRDefault="00D95F30" w:rsidP="00D95F30">
            <w:pPr>
              <w:rPr>
                <w:sz w:val="24"/>
                <w:szCs w:val="24"/>
              </w:rPr>
            </w:pPr>
          </w:p>
        </w:tc>
        <w:tc>
          <w:tcPr>
            <w:tcW w:w="1798" w:type="pct"/>
            <w:vMerge/>
            <w:vAlign w:val="bottom"/>
          </w:tcPr>
          <w:p w:rsidR="00D95F30" w:rsidRPr="00316A99" w:rsidRDefault="00D95F30" w:rsidP="00D95F30">
            <w:pPr>
              <w:rPr>
                <w:sz w:val="24"/>
                <w:szCs w:val="24"/>
              </w:rPr>
            </w:pPr>
          </w:p>
        </w:tc>
      </w:tr>
      <w:tr w:rsidR="00D95F30" w:rsidRPr="00316A99" w:rsidTr="00B133B1">
        <w:trPr>
          <w:trHeight w:val="276"/>
        </w:trPr>
        <w:tc>
          <w:tcPr>
            <w:tcW w:w="2798" w:type="pct"/>
            <w:vMerge w:val="restart"/>
            <w:vAlign w:val="bottom"/>
          </w:tcPr>
          <w:p w:rsidR="00D95F30" w:rsidRPr="00316A99" w:rsidRDefault="00D95F30" w:rsidP="00D95F30">
            <w:pPr>
              <w:ind w:left="120"/>
              <w:jc w:val="both"/>
              <w:rPr>
                <w:sz w:val="24"/>
                <w:szCs w:val="24"/>
              </w:rPr>
            </w:pPr>
            <w:r w:rsidRPr="00316A99">
              <w:rPr>
                <w:rFonts w:eastAsia="Times New Roman"/>
                <w:sz w:val="24"/>
                <w:szCs w:val="24"/>
              </w:rPr>
              <w:t>2.</w:t>
            </w:r>
            <w:r w:rsidRPr="00316A99">
              <w:rPr>
                <w:sz w:val="24"/>
                <w:szCs w:val="24"/>
              </w:rPr>
              <w:t xml:space="preserve"> </w:t>
            </w:r>
            <w:r w:rsidRPr="00316A99">
              <w:rPr>
                <w:rFonts w:eastAsia="Times New Roman"/>
                <w:sz w:val="24"/>
                <w:szCs w:val="24"/>
              </w:rPr>
              <w:t xml:space="preserve">Расчетные счета открываются </w:t>
            </w:r>
            <w:proofErr w:type="gramStart"/>
            <w:r w:rsidRPr="00316A99">
              <w:rPr>
                <w:rFonts w:eastAsia="Times New Roman"/>
                <w:sz w:val="24"/>
                <w:szCs w:val="24"/>
              </w:rPr>
              <w:t>юридическим  лицам</w:t>
            </w:r>
            <w:proofErr w:type="gramEnd"/>
            <w:r w:rsidRPr="00316A99">
              <w:rPr>
                <w:rFonts w:eastAsia="Times New Roman"/>
                <w:sz w:val="24"/>
                <w:szCs w:val="24"/>
              </w:rPr>
              <w:t>,</w:t>
            </w:r>
            <w:r w:rsidRPr="00316A99">
              <w:rPr>
                <w:sz w:val="24"/>
                <w:szCs w:val="24"/>
              </w:rPr>
              <w:t xml:space="preserve"> </w:t>
            </w:r>
            <w:r w:rsidRPr="00316A99">
              <w:rPr>
                <w:rFonts w:eastAsia="Times New Roman"/>
                <w:sz w:val="24"/>
                <w:szCs w:val="24"/>
              </w:rPr>
              <w:t>индивидуальным предпринимателям и  физическим  лицам,</w:t>
            </w:r>
            <w:r w:rsidRPr="00316A99">
              <w:rPr>
                <w:sz w:val="24"/>
                <w:szCs w:val="24"/>
              </w:rPr>
              <w:t xml:space="preserve"> </w:t>
            </w:r>
            <w:r w:rsidRPr="00316A99">
              <w:rPr>
                <w:rFonts w:eastAsia="Times New Roman"/>
                <w:sz w:val="24"/>
                <w:szCs w:val="24"/>
              </w:rPr>
              <w:t>занимающимся частной практикой, для совершения операций,</w:t>
            </w:r>
            <w:r w:rsidRPr="00316A99">
              <w:rPr>
                <w:sz w:val="24"/>
                <w:szCs w:val="24"/>
              </w:rPr>
              <w:t xml:space="preserve"> </w:t>
            </w:r>
            <w:r w:rsidRPr="00316A99">
              <w:rPr>
                <w:rFonts w:eastAsia="Times New Roman"/>
                <w:sz w:val="24"/>
                <w:szCs w:val="24"/>
              </w:rPr>
              <w:t>связанных с предпринимательской деятельностью или частной</w:t>
            </w:r>
            <w:r w:rsidRPr="00316A99">
              <w:rPr>
                <w:sz w:val="24"/>
                <w:szCs w:val="24"/>
              </w:rPr>
              <w:t xml:space="preserve"> </w:t>
            </w:r>
            <w:r w:rsidRPr="00316A99">
              <w:rPr>
                <w:rFonts w:eastAsia="Times New Roman"/>
                <w:sz w:val="24"/>
                <w:szCs w:val="24"/>
              </w:rPr>
              <w:t>практикой.</w:t>
            </w:r>
          </w:p>
        </w:tc>
        <w:tc>
          <w:tcPr>
            <w:tcW w:w="404" w:type="pct"/>
            <w:vMerge w:val="restart"/>
            <w:vAlign w:val="bottom"/>
          </w:tcPr>
          <w:p w:rsidR="00D95F30" w:rsidRPr="00316A99" w:rsidRDefault="00D95F30" w:rsidP="00D95F30">
            <w:pPr>
              <w:jc w:val="center"/>
              <w:rPr>
                <w:i/>
                <w:sz w:val="24"/>
                <w:szCs w:val="24"/>
              </w:rPr>
            </w:pPr>
            <w:r w:rsidRPr="00316A99">
              <w:rPr>
                <w:i/>
                <w:sz w:val="24"/>
                <w:szCs w:val="24"/>
              </w:rPr>
              <w:t>Верно</w:t>
            </w:r>
          </w:p>
        </w:tc>
        <w:tc>
          <w:tcPr>
            <w:tcW w:w="1798" w:type="pct"/>
            <w:vMerge w:val="restart"/>
            <w:vAlign w:val="bottom"/>
          </w:tcPr>
          <w:p w:rsidR="00D95F30" w:rsidRPr="00316A99" w:rsidRDefault="00D95F30" w:rsidP="00D95F30">
            <w:pPr>
              <w:rPr>
                <w:sz w:val="24"/>
                <w:szCs w:val="24"/>
              </w:rPr>
            </w:pPr>
            <w:r w:rsidRPr="00316A99">
              <w:rPr>
                <w:sz w:val="24"/>
                <w:szCs w:val="24"/>
              </w:rPr>
              <w:t xml:space="preserve">п.2.2, п.2.3 </w:t>
            </w:r>
            <w:r w:rsidRPr="00316A99">
              <w:rPr>
                <w:rFonts w:eastAsia="Times New Roman"/>
                <w:sz w:val="24"/>
                <w:szCs w:val="24"/>
              </w:rPr>
              <w:t>Инструкции Банка России № 153-И</w:t>
            </w:r>
          </w:p>
          <w:p w:rsidR="00D95F30" w:rsidRPr="00316A99" w:rsidRDefault="00D95F30" w:rsidP="00D95F30">
            <w:pPr>
              <w:rPr>
                <w:sz w:val="24"/>
                <w:szCs w:val="24"/>
              </w:rPr>
            </w:pPr>
          </w:p>
          <w:p w:rsidR="00D95F30" w:rsidRPr="00316A99" w:rsidRDefault="00D95F30" w:rsidP="00D95F30">
            <w:pPr>
              <w:rPr>
                <w:sz w:val="24"/>
                <w:szCs w:val="24"/>
              </w:rPr>
            </w:pPr>
          </w:p>
        </w:tc>
      </w:tr>
      <w:tr w:rsidR="00D95F30" w:rsidRPr="00316A99" w:rsidTr="00B133B1">
        <w:trPr>
          <w:trHeight w:val="277"/>
        </w:trPr>
        <w:tc>
          <w:tcPr>
            <w:tcW w:w="2798" w:type="pct"/>
            <w:vMerge/>
            <w:vAlign w:val="bottom"/>
          </w:tcPr>
          <w:p w:rsidR="00D95F30" w:rsidRPr="00316A99" w:rsidRDefault="00D95F30" w:rsidP="00D95F30">
            <w:pPr>
              <w:rPr>
                <w:sz w:val="24"/>
                <w:szCs w:val="24"/>
              </w:rPr>
            </w:pPr>
          </w:p>
        </w:tc>
        <w:tc>
          <w:tcPr>
            <w:tcW w:w="404" w:type="pct"/>
            <w:vMerge/>
            <w:vAlign w:val="bottom"/>
          </w:tcPr>
          <w:p w:rsidR="00D95F30" w:rsidRPr="00316A99" w:rsidRDefault="00D95F30" w:rsidP="00D95F30">
            <w:pPr>
              <w:rPr>
                <w:sz w:val="24"/>
                <w:szCs w:val="24"/>
              </w:rPr>
            </w:pPr>
          </w:p>
        </w:tc>
        <w:tc>
          <w:tcPr>
            <w:tcW w:w="1798" w:type="pct"/>
            <w:vMerge/>
            <w:vAlign w:val="bottom"/>
          </w:tcPr>
          <w:p w:rsidR="00D95F30" w:rsidRPr="00316A99" w:rsidRDefault="00D95F30" w:rsidP="00D95F30">
            <w:pPr>
              <w:rPr>
                <w:sz w:val="24"/>
                <w:szCs w:val="24"/>
              </w:rPr>
            </w:pPr>
          </w:p>
        </w:tc>
      </w:tr>
      <w:tr w:rsidR="00D95F30" w:rsidRPr="00316A99" w:rsidTr="00B133B1">
        <w:trPr>
          <w:trHeight w:val="276"/>
        </w:trPr>
        <w:tc>
          <w:tcPr>
            <w:tcW w:w="2798" w:type="pct"/>
            <w:vMerge/>
            <w:vAlign w:val="bottom"/>
          </w:tcPr>
          <w:p w:rsidR="00D95F30" w:rsidRPr="00316A99" w:rsidRDefault="00D95F30" w:rsidP="00D95F30">
            <w:pPr>
              <w:rPr>
                <w:sz w:val="24"/>
                <w:szCs w:val="24"/>
              </w:rPr>
            </w:pPr>
          </w:p>
        </w:tc>
        <w:tc>
          <w:tcPr>
            <w:tcW w:w="404" w:type="pct"/>
            <w:vMerge/>
            <w:vAlign w:val="bottom"/>
          </w:tcPr>
          <w:p w:rsidR="00D95F30" w:rsidRPr="00316A99" w:rsidRDefault="00D95F30" w:rsidP="00D95F30">
            <w:pPr>
              <w:rPr>
                <w:sz w:val="24"/>
                <w:szCs w:val="24"/>
              </w:rPr>
            </w:pPr>
          </w:p>
        </w:tc>
        <w:tc>
          <w:tcPr>
            <w:tcW w:w="1798" w:type="pct"/>
            <w:vMerge/>
            <w:vAlign w:val="bottom"/>
          </w:tcPr>
          <w:p w:rsidR="00D95F30" w:rsidRPr="00316A99" w:rsidRDefault="00D95F30" w:rsidP="00D95F30">
            <w:pPr>
              <w:rPr>
                <w:sz w:val="24"/>
                <w:szCs w:val="24"/>
              </w:rPr>
            </w:pPr>
          </w:p>
        </w:tc>
      </w:tr>
      <w:tr w:rsidR="00D95F30" w:rsidRPr="00316A99" w:rsidTr="00B133B1">
        <w:trPr>
          <w:trHeight w:val="276"/>
        </w:trPr>
        <w:tc>
          <w:tcPr>
            <w:tcW w:w="2798" w:type="pct"/>
            <w:vMerge/>
            <w:vAlign w:val="bottom"/>
          </w:tcPr>
          <w:p w:rsidR="00D95F30" w:rsidRPr="00316A99" w:rsidRDefault="00D95F30" w:rsidP="00D95F30">
            <w:pPr>
              <w:rPr>
                <w:sz w:val="24"/>
                <w:szCs w:val="24"/>
              </w:rPr>
            </w:pPr>
          </w:p>
        </w:tc>
        <w:tc>
          <w:tcPr>
            <w:tcW w:w="404" w:type="pct"/>
            <w:vMerge/>
            <w:vAlign w:val="bottom"/>
          </w:tcPr>
          <w:p w:rsidR="00D95F30" w:rsidRPr="00316A99" w:rsidRDefault="00D95F30" w:rsidP="00D95F30">
            <w:pPr>
              <w:rPr>
                <w:sz w:val="24"/>
                <w:szCs w:val="24"/>
              </w:rPr>
            </w:pPr>
          </w:p>
        </w:tc>
        <w:tc>
          <w:tcPr>
            <w:tcW w:w="1798" w:type="pct"/>
            <w:vMerge/>
            <w:vAlign w:val="bottom"/>
          </w:tcPr>
          <w:p w:rsidR="00D95F30" w:rsidRPr="00316A99" w:rsidRDefault="00D95F30" w:rsidP="00D95F30">
            <w:pPr>
              <w:rPr>
                <w:sz w:val="24"/>
                <w:szCs w:val="24"/>
              </w:rPr>
            </w:pPr>
          </w:p>
        </w:tc>
      </w:tr>
      <w:tr w:rsidR="00D95F30" w:rsidRPr="00316A99" w:rsidTr="00B133B1">
        <w:trPr>
          <w:trHeight w:val="276"/>
        </w:trPr>
        <w:tc>
          <w:tcPr>
            <w:tcW w:w="2798" w:type="pct"/>
            <w:vMerge/>
            <w:vAlign w:val="bottom"/>
          </w:tcPr>
          <w:p w:rsidR="00D95F30" w:rsidRPr="00316A99" w:rsidRDefault="00D95F30" w:rsidP="00D95F30">
            <w:pPr>
              <w:rPr>
                <w:sz w:val="24"/>
                <w:szCs w:val="24"/>
              </w:rPr>
            </w:pPr>
          </w:p>
        </w:tc>
        <w:tc>
          <w:tcPr>
            <w:tcW w:w="404" w:type="pct"/>
            <w:vMerge/>
            <w:vAlign w:val="bottom"/>
          </w:tcPr>
          <w:p w:rsidR="00D95F30" w:rsidRPr="00316A99" w:rsidRDefault="00D95F30" w:rsidP="00D95F30">
            <w:pPr>
              <w:rPr>
                <w:sz w:val="24"/>
                <w:szCs w:val="24"/>
              </w:rPr>
            </w:pPr>
          </w:p>
        </w:tc>
        <w:tc>
          <w:tcPr>
            <w:tcW w:w="1798" w:type="pct"/>
            <w:vMerge/>
            <w:vAlign w:val="bottom"/>
          </w:tcPr>
          <w:p w:rsidR="00D95F30" w:rsidRPr="00316A99" w:rsidRDefault="00D95F30" w:rsidP="00D95F30">
            <w:pPr>
              <w:rPr>
                <w:sz w:val="24"/>
                <w:szCs w:val="24"/>
              </w:rPr>
            </w:pPr>
          </w:p>
        </w:tc>
      </w:tr>
      <w:tr w:rsidR="00D95F30" w:rsidRPr="00316A99" w:rsidTr="00B133B1">
        <w:trPr>
          <w:trHeight w:val="276"/>
        </w:trPr>
        <w:tc>
          <w:tcPr>
            <w:tcW w:w="2798" w:type="pct"/>
            <w:vMerge w:val="restart"/>
            <w:vAlign w:val="bottom"/>
          </w:tcPr>
          <w:p w:rsidR="00D95F30" w:rsidRPr="00316A99" w:rsidRDefault="00D95F30" w:rsidP="00D95F30">
            <w:pPr>
              <w:ind w:left="120"/>
              <w:jc w:val="both"/>
              <w:rPr>
                <w:sz w:val="24"/>
                <w:szCs w:val="24"/>
              </w:rPr>
            </w:pPr>
            <w:r w:rsidRPr="00316A99">
              <w:rPr>
                <w:rFonts w:eastAsia="Times New Roman"/>
                <w:sz w:val="24"/>
                <w:szCs w:val="24"/>
              </w:rPr>
              <w:t>3.</w:t>
            </w:r>
            <w:r w:rsidRPr="00316A99">
              <w:rPr>
                <w:sz w:val="24"/>
                <w:szCs w:val="24"/>
              </w:rPr>
              <w:t xml:space="preserve"> </w:t>
            </w:r>
            <w:r w:rsidRPr="00316A99">
              <w:rPr>
                <w:rFonts w:eastAsia="Times New Roman"/>
                <w:sz w:val="24"/>
                <w:szCs w:val="24"/>
              </w:rPr>
              <w:t>Текущие</w:t>
            </w:r>
            <w:r w:rsidRPr="00316A99">
              <w:rPr>
                <w:sz w:val="24"/>
                <w:szCs w:val="24"/>
              </w:rPr>
              <w:t xml:space="preserve"> </w:t>
            </w:r>
            <w:r w:rsidRPr="00316A99">
              <w:rPr>
                <w:rFonts w:eastAsia="Times New Roman"/>
                <w:sz w:val="24"/>
                <w:szCs w:val="24"/>
              </w:rPr>
              <w:t>счета</w:t>
            </w:r>
            <w:r w:rsidRPr="00316A99">
              <w:rPr>
                <w:sz w:val="24"/>
                <w:szCs w:val="24"/>
              </w:rPr>
              <w:t xml:space="preserve"> </w:t>
            </w:r>
            <w:r w:rsidRPr="00316A99">
              <w:rPr>
                <w:rFonts w:eastAsia="Times New Roman"/>
                <w:sz w:val="24"/>
                <w:szCs w:val="24"/>
              </w:rPr>
              <w:t>открываются</w:t>
            </w:r>
            <w:r w:rsidRPr="00316A99">
              <w:rPr>
                <w:sz w:val="24"/>
                <w:szCs w:val="24"/>
              </w:rPr>
              <w:t xml:space="preserve"> </w:t>
            </w:r>
            <w:r w:rsidRPr="00316A99">
              <w:rPr>
                <w:rFonts w:eastAsia="Times New Roman"/>
                <w:sz w:val="24"/>
                <w:szCs w:val="24"/>
              </w:rPr>
              <w:t>некоммерческим организациям.</w:t>
            </w:r>
          </w:p>
        </w:tc>
        <w:tc>
          <w:tcPr>
            <w:tcW w:w="404" w:type="pct"/>
            <w:vMerge w:val="restart"/>
            <w:vAlign w:val="bottom"/>
          </w:tcPr>
          <w:p w:rsidR="00D95F30" w:rsidRPr="00316A99" w:rsidRDefault="00D95F30" w:rsidP="00D95F30">
            <w:pPr>
              <w:jc w:val="center"/>
              <w:rPr>
                <w:sz w:val="24"/>
                <w:szCs w:val="24"/>
              </w:rPr>
            </w:pPr>
            <w:r w:rsidRPr="00316A99">
              <w:rPr>
                <w:i/>
                <w:sz w:val="24"/>
                <w:szCs w:val="24"/>
              </w:rPr>
              <w:t>Верно</w:t>
            </w:r>
          </w:p>
        </w:tc>
        <w:tc>
          <w:tcPr>
            <w:tcW w:w="1798" w:type="pct"/>
            <w:vMerge w:val="restart"/>
            <w:vAlign w:val="bottom"/>
          </w:tcPr>
          <w:p w:rsidR="00D95F30" w:rsidRPr="00316A99" w:rsidRDefault="00D95F30" w:rsidP="00D95F30">
            <w:pPr>
              <w:rPr>
                <w:sz w:val="24"/>
                <w:szCs w:val="24"/>
              </w:rPr>
            </w:pPr>
            <w:r w:rsidRPr="00316A99">
              <w:rPr>
                <w:sz w:val="24"/>
                <w:szCs w:val="24"/>
              </w:rPr>
              <w:t xml:space="preserve">п.2.3 </w:t>
            </w:r>
            <w:r w:rsidRPr="00316A99">
              <w:rPr>
                <w:rFonts w:eastAsia="Times New Roman"/>
                <w:sz w:val="24"/>
                <w:szCs w:val="24"/>
              </w:rPr>
              <w:t>Инструкции Банка России № 153-И</w:t>
            </w:r>
          </w:p>
        </w:tc>
      </w:tr>
      <w:tr w:rsidR="00D95F30" w:rsidRPr="00316A99" w:rsidTr="00B133B1">
        <w:trPr>
          <w:trHeight w:val="276"/>
        </w:trPr>
        <w:tc>
          <w:tcPr>
            <w:tcW w:w="2798" w:type="pct"/>
            <w:vMerge/>
            <w:vAlign w:val="bottom"/>
          </w:tcPr>
          <w:p w:rsidR="00D95F30" w:rsidRPr="00316A99" w:rsidRDefault="00D95F30" w:rsidP="00D95F30">
            <w:pPr>
              <w:rPr>
                <w:sz w:val="24"/>
                <w:szCs w:val="24"/>
              </w:rPr>
            </w:pPr>
          </w:p>
        </w:tc>
        <w:tc>
          <w:tcPr>
            <w:tcW w:w="404" w:type="pct"/>
            <w:vMerge/>
            <w:vAlign w:val="bottom"/>
          </w:tcPr>
          <w:p w:rsidR="00D95F30" w:rsidRPr="00316A99" w:rsidRDefault="00D95F30" w:rsidP="00D95F30">
            <w:pPr>
              <w:rPr>
                <w:sz w:val="24"/>
                <w:szCs w:val="24"/>
              </w:rPr>
            </w:pPr>
          </w:p>
        </w:tc>
        <w:tc>
          <w:tcPr>
            <w:tcW w:w="1798" w:type="pct"/>
            <w:vMerge/>
            <w:vAlign w:val="bottom"/>
          </w:tcPr>
          <w:p w:rsidR="00D95F30" w:rsidRPr="00316A99" w:rsidRDefault="00D95F30" w:rsidP="00D95F30">
            <w:pPr>
              <w:rPr>
                <w:sz w:val="24"/>
                <w:szCs w:val="24"/>
              </w:rPr>
            </w:pPr>
          </w:p>
        </w:tc>
      </w:tr>
      <w:tr w:rsidR="00D95F30" w:rsidRPr="00316A99" w:rsidTr="00B133B1">
        <w:trPr>
          <w:trHeight w:val="276"/>
        </w:trPr>
        <w:tc>
          <w:tcPr>
            <w:tcW w:w="2798" w:type="pct"/>
            <w:vMerge w:val="restart"/>
            <w:vAlign w:val="bottom"/>
          </w:tcPr>
          <w:p w:rsidR="00D95F30" w:rsidRPr="00316A99" w:rsidRDefault="00D95F30" w:rsidP="00D95F30">
            <w:pPr>
              <w:ind w:left="120"/>
              <w:jc w:val="both"/>
              <w:rPr>
                <w:sz w:val="24"/>
                <w:szCs w:val="24"/>
              </w:rPr>
            </w:pPr>
            <w:r w:rsidRPr="00316A99">
              <w:rPr>
                <w:rFonts w:eastAsia="Times New Roman"/>
                <w:sz w:val="24"/>
                <w:szCs w:val="24"/>
              </w:rPr>
              <w:t>4.</w:t>
            </w:r>
            <w:r w:rsidRPr="00316A99">
              <w:rPr>
                <w:sz w:val="24"/>
                <w:szCs w:val="24"/>
              </w:rPr>
              <w:t xml:space="preserve"> </w:t>
            </w:r>
            <w:r w:rsidRPr="00316A99">
              <w:rPr>
                <w:rFonts w:eastAsia="Times New Roman"/>
                <w:sz w:val="24"/>
                <w:szCs w:val="24"/>
              </w:rPr>
              <w:t>Права   на   денежные   средства, поступающие на</w:t>
            </w:r>
            <w:r w:rsidRPr="00316A99">
              <w:rPr>
                <w:sz w:val="24"/>
                <w:szCs w:val="24"/>
              </w:rPr>
              <w:t xml:space="preserve"> </w:t>
            </w:r>
            <w:r w:rsidRPr="00316A99">
              <w:rPr>
                <w:rFonts w:eastAsia="Times New Roman"/>
                <w:sz w:val="24"/>
                <w:szCs w:val="24"/>
              </w:rPr>
              <w:t xml:space="preserve">номинальный счет, </w:t>
            </w:r>
            <w:proofErr w:type="gramStart"/>
            <w:r w:rsidRPr="00316A99">
              <w:rPr>
                <w:rFonts w:eastAsia="Times New Roman"/>
                <w:sz w:val="24"/>
                <w:szCs w:val="24"/>
              </w:rPr>
              <w:t>в  том</w:t>
            </w:r>
            <w:proofErr w:type="gramEnd"/>
            <w:r w:rsidRPr="00316A99">
              <w:rPr>
                <w:rFonts w:eastAsia="Times New Roman"/>
                <w:sz w:val="24"/>
                <w:szCs w:val="24"/>
              </w:rPr>
              <w:t xml:space="preserve">  числе  в  результате  их  внесения</w:t>
            </w:r>
            <w:r w:rsidRPr="00316A99">
              <w:rPr>
                <w:sz w:val="24"/>
                <w:szCs w:val="24"/>
              </w:rPr>
              <w:t xml:space="preserve"> </w:t>
            </w:r>
            <w:r w:rsidRPr="00316A99">
              <w:rPr>
                <w:rFonts w:eastAsia="Times New Roman"/>
                <w:sz w:val="24"/>
                <w:szCs w:val="24"/>
              </w:rPr>
              <w:t>владельцем счета, принадлежат бенефициару.</w:t>
            </w:r>
          </w:p>
        </w:tc>
        <w:tc>
          <w:tcPr>
            <w:tcW w:w="404" w:type="pct"/>
            <w:vMerge w:val="restart"/>
            <w:vAlign w:val="bottom"/>
          </w:tcPr>
          <w:p w:rsidR="00D95F30" w:rsidRPr="00316A99" w:rsidRDefault="00D95F30" w:rsidP="00D95F30">
            <w:pPr>
              <w:jc w:val="center"/>
              <w:rPr>
                <w:sz w:val="24"/>
                <w:szCs w:val="24"/>
              </w:rPr>
            </w:pPr>
            <w:r w:rsidRPr="00316A99">
              <w:rPr>
                <w:i/>
                <w:sz w:val="24"/>
                <w:szCs w:val="24"/>
              </w:rPr>
              <w:t>Верно</w:t>
            </w:r>
          </w:p>
        </w:tc>
        <w:tc>
          <w:tcPr>
            <w:tcW w:w="1798" w:type="pct"/>
            <w:vMerge w:val="restart"/>
            <w:vAlign w:val="bottom"/>
          </w:tcPr>
          <w:p w:rsidR="00D95F30" w:rsidRPr="00316A99" w:rsidRDefault="00D95F30" w:rsidP="00D95F30">
            <w:pPr>
              <w:rPr>
                <w:sz w:val="24"/>
                <w:szCs w:val="24"/>
              </w:rPr>
            </w:pPr>
            <w:r w:rsidRPr="00316A99">
              <w:rPr>
                <w:sz w:val="24"/>
                <w:szCs w:val="24"/>
              </w:rPr>
              <w:t>ГК РФ ст. 860.1. Договор номинального счета</w:t>
            </w:r>
          </w:p>
        </w:tc>
      </w:tr>
      <w:tr w:rsidR="00D95F30" w:rsidRPr="00316A99" w:rsidTr="00B133B1">
        <w:trPr>
          <w:trHeight w:val="276"/>
        </w:trPr>
        <w:tc>
          <w:tcPr>
            <w:tcW w:w="2798" w:type="pct"/>
            <w:vMerge/>
            <w:vAlign w:val="bottom"/>
          </w:tcPr>
          <w:p w:rsidR="00D95F30" w:rsidRPr="00316A99" w:rsidRDefault="00D95F30" w:rsidP="00D95F30">
            <w:pPr>
              <w:rPr>
                <w:sz w:val="24"/>
                <w:szCs w:val="24"/>
              </w:rPr>
            </w:pPr>
          </w:p>
        </w:tc>
        <w:tc>
          <w:tcPr>
            <w:tcW w:w="404" w:type="pct"/>
            <w:vMerge/>
            <w:vAlign w:val="bottom"/>
          </w:tcPr>
          <w:p w:rsidR="00D95F30" w:rsidRPr="00316A99" w:rsidRDefault="00D95F30" w:rsidP="00D95F30">
            <w:pPr>
              <w:rPr>
                <w:sz w:val="24"/>
                <w:szCs w:val="24"/>
              </w:rPr>
            </w:pPr>
          </w:p>
        </w:tc>
        <w:tc>
          <w:tcPr>
            <w:tcW w:w="1798" w:type="pct"/>
            <w:vMerge/>
            <w:vAlign w:val="bottom"/>
          </w:tcPr>
          <w:p w:rsidR="00D95F30" w:rsidRPr="00316A99" w:rsidRDefault="00D95F30" w:rsidP="00D95F30">
            <w:pPr>
              <w:rPr>
                <w:sz w:val="24"/>
                <w:szCs w:val="24"/>
              </w:rPr>
            </w:pPr>
          </w:p>
        </w:tc>
      </w:tr>
      <w:tr w:rsidR="00D95F30" w:rsidRPr="00316A99" w:rsidTr="00B133B1">
        <w:trPr>
          <w:trHeight w:val="276"/>
        </w:trPr>
        <w:tc>
          <w:tcPr>
            <w:tcW w:w="2798" w:type="pct"/>
            <w:vMerge/>
            <w:vAlign w:val="bottom"/>
          </w:tcPr>
          <w:p w:rsidR="00D95F30" w:rsidRPr="00316A99" w:rsidRDefault="00D95F30" w:rsidP="00D95F30">
            <w:pPr>
              <w:rPr>
                <w:sz w:val="24"/>
                <w:szCs w:val="24"/>
              </w:rPr>
            </w:pPr>
          </w:p>
        </w:tc>
        <w:tc>
          <w:tcPr>
            <w:tcW w:w="404" w:type="pct"/>
            <w:vMerge/>
            <w:vAlign w:val="bottom"/>
          </w:tcPr>
          <w:p w:rsidR="00D95F30" w:rsidRPr="00316A99" w:rsidRDefault="00D95F30" w:rsidP="00D95F30">
            <w:pPr>
              <w:rPr>
                <w:sz w:val="24"/>
                <w:szCs w:val="24"/>
              </w:rPr>
            </w:pPr>
          </w:p>
        </w:tc>
        <w:tc>
          <w:tcPr>
            <w:tcW w:w="1798" w:type="pct"/>
            <w:vMerge/>
            <w:vAlign w:val="bottom"/>
          </w:tcPr>
          <w:p w:rsidR="00D95F30" w:rsidRPr="00316A99" w:rsidRDefault="00D95F30" w:rsidP="00D95F30">
            <w:pPr>
              <w:rPr>
                <w:sz w:val="24"/>
                <w:szCs w:val="24"/>
              </w:rPr>
            </w:pPr>
          </w:p>
        </w:tc>
      </w:tr>
      <w:tr w:rsidR="00D95F30" w:rsidRPr="00316A99" w:rsidTr="00B133B1">
        <w:trPr>
          <w:trHeight w:val="276"/>
        </w:trPr>
        <w:tc>
          <w:tcPr>
            <w:tcW w:w="2798" w:type="pct"/>
            <w:vMerge w:val="restart"/>
            <w:vAlign w:val="bottom"/>
          </w:tcPr>
          <w:p w:rsidR="00D95F30" w:rsidRPr="00316A99" w:rsidRDefault="00D95F30" w:rsidP="00D95F30">
            <w:pPr>
              <w:ind w:left="120"/>
              <w:jc w:val="both"/>
              <w:rPr>
                <w:sz w:val="24"/>
                <w:szCs w:val="24"/>
              </w:rPr>
            </w:pPr>
            <w:r w:rsidRPr="00316A99">
              <w:rPr>
                <w:rFonts w:eastAsia="Times New Roman"/>
                <w:sz w:val="24"/>
                <w:szCs w:val="24"/>
              </w:rPr>
              <w:t>5.</w:t>
            </w:r>
            <w:r w:rsidRPr="00316A99">
              <w:rPr>
                <w:sz w:val="24"/>
                <w:szCs w:val="24"/>
              </w:rPr>
              <w:t xml:space="preserve"> </w:t>
            </w:r>
            <w:r w:rsidRPr="00316A99">
              <w:rPr>
                <w:rFonts w:eastAsia="Times New Roman"/>
                <w:sz w:val="24"/>
                <w:szCs w:val="24"/>
              </w:rPr>
              <w:t xml:space="preserve">Банк </w:t>
            </w:r>
            <w:proofErr w:type="gramStart"/>
            <w:r w:rsidRPr="00316A99">
              <w:rPr>
                <w:rFonts w:eastAsia="Times New Roman"/>
                <w:sz w:val="24"/>
                <w:szCs w:val="24"/>
              </w:rPr>
              <w:t>обязан  зачислять</w:t>
            </w:r>
            <w:proofErr w:type="gramEnd"/>
            <w:r w:rsidRPr="00316A99">
              <w:rPr>
                <w:rFonts w:eastAsia="Times New Roman"/>
                <w:sz w:val="24"/>
                <w:szCs w:val="24"/>
              </w:rPr>
              <w:t xml:space="preserve">  поступившие  на  счет  клиента</w:t>
            </w:r>
            <w:r w:rsidRPr="00316A99">
              <w:rPr>
                <w:sz w:val="24"/>
                <w:szCs w:val="24"/>
              </w:rPr>
              <w:t xml:space="preserve"> </w:t>
            </w:r>
            <w:r w:rsidRPr="00316A99">
              <w:rPr>
                <w:rFonts w:eastAsia="Times New Roman"/>
                <w:sz w:val="24"/>
                <w:szCs w:val="24"/>
              </w:rPr>
              <w:t>денежные  средства  не  позже  дня,  следующего  за  днем</w:t>
            </w:r>
            <w:r w:rsidRPr="00316A99">
              <w:rPr>
                <w:sz w:val="24"/>
                <w:szCs w:val="24"/>
              </w:rPr>
              <w:t xml:space="preserve"> </w:t>
            </w:r>
            <w:r w:rsidRPr="00316A99">
              <w:rPr>
                <w:rFonts w:eastAsia="Times New Roman"/>
                <w:sz w:val="24"/>
                <w:szCs w:val="24"/>
              </w:rPr>
              <w:t>поступления в банк соответствующего платежного документа,</w:t>
            </w:r>
            <w:r w:rsidRPr="00316A99">
              <w:rPr>
                <w:sz w:val="24"/>
                <w:szCs w:val="24"/>
              </w:rPr>
              <w:t xml:space="preserve"> </w:t>
            </w:r>
            <w:r w:rsidRPr="00316A99">
              <w:rPr>
                <w:rFonts w:eastAsia="Times New Roman"/>
                <w:sz w:val="24"/>
                <w:szCs w:val="24"/>
              </w:rPr>
              <w:t>если более короткий срок не предусмотрен договором.</w:t>
            </w:r>
          </w:p>
        </w:tc>
        <w:tc>
          <w:tcPr>
            <w:tcW w:w="404" w:type="pct"/>
            <w:vMerge w:val="restart"/>
            <w:vAlign w:val="bottom"/>
          </w:tcPr>
          <w:p w:rsidR="00D95F30" w:rsidRPr="00316A99" w:rsidRDefault="00D95F30" w:rsidP="00D95F30">
            <w:pPr>
              <w:jc w:val="center"/>
              <w:rPr>
                <w:sz w:val="24"/>
                <w:szCs w:val="24"/>
              </w:rPr>
            </w:pPr>
            <w:r w:rsidRPr="00316A99">
              <w:rPr>
                <w:i/>
                <w:sz w:val="24"/>
                <w:szCs w:val="24"/>
              </w:rPr>
              <w:t>Верно</w:t>
            </w:r>
          </w:p>
        </w:tc>
        <w:tc>
          <w:tcPr>
            <w:tcW w:w="1798" w:type="pct"/>
            <w:vMerge w:val="restart"/>
            <w:vAlign w:val="bottom"/>
          </w:tcPr>
          <w:p w:rsidR="00D95F30" w:rsidRPr="00316A99" w:rsidRDefault="00D95F30" w:rsidP="00D95F30">
            <w:pPr>
              <w:rPr>
                <w:sz w:val="24"/>
                <w:szCs w:val="24"/>
              </w:rPr>
            </w:pPr>
            <w:r w:rsidRPr="00316A99">
              <w:rPr>
                <w:sz w:val="24"/>
                <w:szCs w:val="24"/>
              </w:rPr>
              <w:t>ГК РФ ст. 849. Сроки операций по счету</w:t>
            </w:r>
          </w:p>
        </w:tc>
      </w:tr>
      <w:tr w:rsidR="00D95F30" w:rsidRPr="00316A99" w:rsidTr="00B133B1">
        <w:trPr>
          <w:trHeight w:val="276"/>
        </w:trPr>
        <w:tc>
          <w:tcPr>
            <w:tcW w:w="2798" w:type="pct"/>
            <w:vMerge/>
            <w:vAlign w:val="bottom"/>
          </w:tcPr>
          <w:p w:rsidR="00D95F30" w:rsidRPr="00316A99" w:rsidRDefault="00D95F30" w:rsidP="00D95F30">
            <w:pPr>
              <w:ind w:left="120"/>
              <w:rPr>
                <w:sz w:val="24"/>
                <w:szCs w:val="24"/>
              </w:rPr>
            </w:pPr>
          </w:p>
        </w:tc>
        <w:tc>
          <w:tcPr>
            <w:tcW w:w="404" w:type="pct"/>
            <w:vMerge/>
            <w:vAlign w:val="bottom"/>
          </w:tcPr>
          <w:p w:rsidR="00D95F30" w:rsidRPr="00316A99" w:rsidRDefault="00D95F30" w:rsidP="00D95F30">
            <w:pPr>
              <w:rPr>
                <w:sz w:val="24"/>
                <w:szCs w:val="24"/>
              </w:rPr>
            </w:pPr>
          </w:p>
        </w:tc>
        <w:tc>
          <w:tcPr>
            <w:tcW w:w="1798" w:type="pct"/>
            <w:vMerge/>
            <w:vAlign w:val="bottom"/>
          </w:tcPr>
          <w:p w:rsidR="00D95F30" w:rsidRPr="00316A99" w:rsidRDefault="00D95F30" w:rsidP="00D95F30">
            <w:pPr>
              <w:rPr>
                <w:sz w:val="24"/>
                <w:szCs w:val="24"/>
              </w:rPr>
            </w:pPr>
          </w:p>
        </w:tc>
      </w:tr>
      <w:tr w:rsidR="00D95F30" w:rsidRPr="00316A99" w:rsidTr="00B133B1">
        <w:trPr>
          <w:trHeight w:val="276"/>
        </w:trPr>
        <w:tc>
          <w:tcPr>
            <w:tcW w:w="2798" w:type="pct"/>
            <w:vMerge/>
            <w:vAlign w:val="bottom"/>
          </w:tcPr>
          <w:p w:rsidR="00D95F30" w:rsidRPr="00316A99" w:rsidRDefault="00D95F30" w:rsidP="00D95F30">
            <w:pPr>
              <w:ind w:left="120"/>
              <w:rPr>
                <w:sz w:val="24"/>
                <w:szCs w:val="24"/>
              </w:rPr>
            </w:pPr>
          </w:p>
        </w:tc>
        <w:tc>
          <w:tcPr>
            <w:tcW w:w="404" w:type="pct"/>
            <w:vMerge/>
            <w:vAlign w:val="bottom"/>
          </w:tcPr>
          <w:p w:rsidR="00D95F30" w:rsidRPr="00316A99" w:rsidRDefault="00D95F30" w:rsidP="00D95F30">
            <w:pPr>
              <w:rPr>
                <w:sz w:val="24"/>
                <w:szCs w:val="24"/>
              </w:rPr>
            </w:pPr>
          </w:p>
        </w:tc>
        <w:tc>
          <w:tcPr>
            <w:tcW w:w="1798" w:type="pct"/>
            <w:vMerge/>
            <w:vAlign w:val="bottom"/>
          </w:tcPr>
          <w:p w:rsidR="00D95F30" w:rsidRPr="00316A99" w:rsidRDefault="00D95F30" w:rsidP="00D95F30">
            <w:pPr>
              <w:rPr>
                <w:sz w:val="24"/>
                <w:szCs w:val="24"/>
              </w:rPr>
            </w:pPr>
          </w:p>
        </w:tc>
      </w:tr>
      <w:tr w:rsidR="00D95F30" w:rsidRPr="00316A99" w:rsidTr="00B133B1">
        <w:trPr>
          <w:trHeight w:val="281"/>
        </w:trPr>
        <w:tc>
          <w:tcPr>
            <w:tcW w:w="2798" w:type="pct"/>
            <w:vMerge/>
            <w:vAlign w:val="bottom"/>
          </w:tcPr>
          <w:p w:rsidR="00D95F30" w:rsidRPr="00316A99" w:rsidRDefault="00D95F30" w:rsidP="00D95F30">
            <w:pPr>
              <w:ind w:left="120"/>
              <w:rPr>
                <w:sz w:val="24"/>
                <w:szCs w:val="24"/>
              </w:rPr>
            </w:pPr>
          </w:p>
        </w:tc>
        <w:tc>
          <w:tcPr>
            <w:tcW w:w="404" w:type="pct"/>
            <w:vMerge/>
            <w:vAlign w:val="bottom"/>
          </w:tcPr>
          <w:p w:rsidR="00D95F30" w:rsidRPr="00316A99" w:rsidRDefault="00D95F30" w:rsidP="00D95F30">
            <w:pPr>
              <w:rPr>
                <w:sz w:val="24"/>
                <w:szCs w:val="24"/>
              </w:rPr>
            </w:pPr>
          </w:p>
        </w:tc>
        <w:tc>
          <w:tcPr>
            <w:tcW w:w="1798" w:type="pct"/>
            <w:vMerge/>
            <w:vAlign w:val="bottom"/>
          </w:tcPr>
          <w:p w:rsidR="00D95F30" w:rsidRPr="00316A99" w:rsidRDefault="00D95F30" w:rsidP="00D95F30">
            <w:pPr>
              <w:rPr>
                <w:sz w:val="24"/>
                <w:szCs w:val="24"/>
              </w:rPr>
            </w:pPr>
          </w:p>
        </w:tc>
      </w:tr>
      <w:tr w:rsidR="00D95F30" w:rsidRPr="00316A99" w:rsidTr="00B133B1">
        <w:trPr>
          <w:trHeight w:val="276"/>
        </w:trPr>
        <w:tc>
          <w:tcPr>
            <w:tcW w:w="2798" w:type="pct"/>
            <w:vMerge w:val="restart"/>
            <w:vAlign w:val="bottom"/>
          </w:tcPr>
          <w:p w:rsidR="00D95F30" w:rsidRPr="00316A99" w:rsidRDefault="00D95F30" w:rsidP="00D95F30">
            <w:pPr>
              <w:ind w:left="120"/>
              <w:jc w:val="both"/>
              <w:rPr>
                <w:sz w:val="24"/>
                <w:szCs w:val="24"/>
              </w:rPr>
            </w:pPr>
            <w:r w:rsidRPr="00316A99">
              <w:rPr>
                <w:rFonts w:eastAsia="Times New Roman"/>
                <w:sz w:val="24"/>
                <w:szCs w:val="24"/>
              </w:rPr>
              <w:t>6.</w:t>
            </w:r>
            <w:r w:rsidRPr="00316A99">
              <w:rPr>
                <w:sz w:val="24"/>
                <w:szCs w:val="24"/>
              </w:rPr>
              <w:t xml:space="preserve"> </w:t>
            </w:r>
            <w:r w:rsidRPr="00316A99">
              <w:rPr>
                <w:rFonts w:eastAsia="Times New Roman"/>
                <w:sz w:val="24"/>
                <w:szCs w:val="24"/>
              </w:rPr>
              <w:t>Бенефициар по договору номинального счета не вправе</w:t>
            </w:r>
            <w:r w:rsidRPr="00316A99">
              <w:rPr>
                <w:sz w:val="24"/>
                <w:szCs w:val="24"/>
              </w:rPr>
              <w:t xml:space="preserve"> </w:t>
            </w:r>
            <w:proofErr w:type="gramStart"/>
            <w:r w:rsidRPr="00316A99">
              <w:rPr>
                <w:rFonts w:eastAsia="Times New Roman"/>
                <w:sz w:val="24"/>
                <w:szCs w:val="24"/>
              </w:rPr>
              <w:t>требовать  от</w:t>
            </w:r>
            <w:proofErr w:type="gramEnd"/>
            <w:r w:rsidRPr="00316A99">
              <w:rPr>
                <w:rFonts w:eastAsia="Times New Roman"/>
                <w:sz w:val="24"/>
                <w:szCs w:val="24"/>
              </w:rPr>
              <w:t xml:space="preserve">  банка  предоставления  сведений,  составляющих</w:t>
            </w:r>
            <w:r w:rsidRPr="00316A99">
              <w:rPr>
                <w:sz w:val="24"/>
                <w:szCs w:val="24"/>
              </w:rPr>
              <w:t xml:space="preserve"> </w:t>
            </w:r>
            <w:r w:rsidRPr="00316A99">
              <w:rPr>
                <w:rFonts w:eastAsia="Times New Roman"/>
                <w:sz w:val="24"/>
                <w:szCs w:val="24"/>
              </w:rPr>
              <w:t>банковскую  тайну,  даже  если  договор  был  заключён  с участием бенефициара.</w:t>
            </w:r>
          </w:p>
        </w:tc>
        <w:tc>
          <w:tcPr>
            <w:tcW w:w="404" w:type="pct"/>
            <w:vMerge w:val="restart"/>
            <w:vAlign w:val="bottom"/>
          </w:tcPr>
          <w:p w:rsidR="00D95F30" w:rsidRPr="00316A99" w:rsidRDefault="00D95F30" w:rsidP="00D95F30">
            <w:pPr>
              <w:jc w:val="center"/>
              <w:rPr>
                <w:i/>
                <w:sz w:val="24"/>
                <w:szCs w:val="24"/>
              </w:rPr>
            </w:pPr>
            <w:r w:rsidRPr="00316A99">
              <w:rPr>
                <w:i/>
                <w:sz w:val="24"/>
                <w:szCs w:val="24"/>
              </w:rPr>
              <w:t>Неверно</w:t>
            </w:r>
          </w:p>
        </w:tc>
        <w:tc>
          <w:tcPr>
            <w:tcW w:w="1798" w:type="pct"/>
            <w:vMerge w:val="restart"/>
            <w:vAlign w:val="bottom"/>
          </w:tcPr>
          <w:p w:rsidR="00D95F30" w:rsidRPr="00316A99" w:rsidRDefault="00D95F30" w:rsidP="00D95F30">
            <w:pPr>
              <w:jc w:val="both"/>
              <w:rPr>
                <w:sz w:val="24"/>
                <w:szCs w:val="24"/>
              </w:rPr>
            </w:pPr>
            <w:r w:rsidRPr="00316A99">
              <w:rPr>
                <w:color w:val="000000" w:themeColor="text1"/>
                <w:sz w:val="24"/>
                <w:szCs w:val="24"/>
              </w:rPr>
              <w:t xml:space="preserve">ГК РФ ст. 860,4. </w:t>
            </w:r>
            <w:r w:rsidRPr="00316A99">
              <w:rPr>
                <w:bCs/>
                <w:color w:val="000000" w:themeColor="text1"/>
                <w:sz w:val="24"/>
                <w:szCs w:val="24"/>
              </w:rPr>
              <w:t>Предоставление сведений, составляющих банковскую тайну, бенефициару по договору номинального счета</w:t>
            </w:r>
          </w:p>
        </w:tc>
      </w:tr>
      <w:tr w:rsidR="00D95F30" w:rsidRPr="00316A99" w:rsidTr="00B133B1">
        <w:trPr>
          <w:trHeight w:val="276"/>
        </w:trPr>
        <w:tc>
          <w:tcPr>
            <w:tcW w:w="2798" w:type="pct"/>
            <w:vMerge/>
            <w:vAlign w:val="bottom"/>
          </w:tcPr>
          <w:p w:rsidR="00D95F30" w:rsidRPr="00316A99" w:rsidRDefault="00D95F30" w:rsidP="00D95F30">
            <w:pPr>
              <w:rPr>
                <w:sz w:val="24"/>
                <w:szCs w:val="24"/>
              </w:rPr>
            </w:pPr>
          </w:p>
        </w:tc>
        <w:tc>
          <w:tcPr>
            <w:tcW w:w="404" w:type="pct"/>
            <w:vMerge/>
            <w:vAlign w:val="bottom"/>
          </w:tcPr>
          <w:p w:rsidR="00D95F30" w:rsidRPr="00316A99" w:rsidRDefault="00D95F30" w:rsidP="00D95F30">
            <w:pPr>
              <w:rPr>
                <w:sz w:val="24"/>
                <w:szCs w:val="24"/>
              </w:rPr>
            </w:pPr>
          </w:p>
        </w:tc>
        <w:tc>
          <w:tcPr>
            <w:tcW w:w="1798" w:type="pct"/>
            <w:vMerge/>
            <w:vAlign w:val="bottom"/>
          </w:tcPr>
          <w:p w:rsidR="00D95F30" w:rsidRPr="00316A99" w:rsidRDefault="00D95F30" w:rsidP="00D95F30">
            <w:pPr>
              <w:rPr>
                <w:sz w:val="24"/>
                <w:szCs w:val="24"/>
              </w:rPr>
            </w:pPr>
          </w:p>
        </w:tc>
      </w:tr>
      <w:tr w:rsidR="00D95F30" w:rsidRPr="00316A99" w:rsidTr="00B133B1">
        <w:trPr>
          <w:trHeight w:val="276"/>
        </w:trPr>
        <w:tc>
          <w:tcPr>
            <w:tcW w:w="2798" w:type="pct"/>
            <w:vMerge/>
            <w:vAlign w:val="bottom"/>
          </w:tcPr>
          <w:p w:rsidR="00D95F30" w:rsidRPr="00316A99" w:rsidRDefault="00D95F30" w:rsidP="00D95F30">
            <w:pPr>
              <w:rPr>
                <w:sz w:val="24"/>
                <w:szCs w:val="24"/>
              </w:rPr>
            </w:pPr>
          </w:p>
        </w:tc>
        <w:tc>
          <w:tcPr>
            <w:tcW w:w="404" w:type="pct"/>
            <w:vMerge/>
            <w:vAlign w:val="bottom"/>
          </w:tcPr>
          <w:p w:rsidR="00D95F30" w:rsidRPr="00316A99" w:rsidRDefault="00D95F30" w:rsidP="00D95F30">
            <w:pPr>
              <w:rPr>
                <w:sz w:val="24"/>
                <w:szCs w:val="24"/>
              </w:rPr>
            </w:pPr>
          </w:p>
        </w:tc>
        <w:tc>
          <w:tcPr>
            <w:tcW w:w="1798" w:type="pct"/>
            <w:vMerge/>
            <w:vAlign w:val="bottom"/>
          </w:tcPr>
          <w:p w:rsidR="00D95F30" w:rsidRPr="00316A99" w:rsidRDefault="00D95F30" w:rsidP="00D95F30">
            <w:pPr>
              <w:rPr>
                <w:sz w:val="24"/>
                <w:szCs w:val="24"/>
              </w:rPr>
            </w:pPr>
          </w:p>
        </w:tc>
      </w:tr>
      <w:tr w:rsidR="00D95F30" w:rsidRPr="00316A99" w:rsidTr="00B133B1">
        <w:trPr>
          <w:trHeight w:val="276"/>
        </w:trPr>
        <w:tc>
          <w:tcPr>
            <w:tcW w:w="2798" w:type="pct"/>
            <w:vMerge/>
            <w:vAlign w:val="bottom"/>
          </w:tcPr>
          <w:p w:rsidR="00D95F30" w:rsidRPr="00316A99" w:rsidRDefault="00D95F30" w:rsidP="00D95F30">
            <w:pPr>
              <w:rPr>
                <w:sz w:val="24"/>
                <w:szCs w:val="24"/>
              </w:rPr>
            </w:pPr>
          </w:p>
        </w:tc>
        <w:tc>
          <w:tcPr>
            <w:tcW w:w="404" w:type="pct"/>
            <w:vMerge/>
            <w:vAlign w:val="bottom"/>
          </w:tcPr>
          <w:p w:rsidR="00D95F30" w:rsidRPr="00316A99" w:rsidRDefault="00D95F30" w:rsidP="00D95F30">
            <w:pPr>
              <w:rPr>
                <w:sz w:val="24"/>
                <w:szCs w:val="24"/>
              </w:rPr>
            </w:pPr>
          </w:p>
        </w:tc>
        <w:tc>
          <w:tcPr>
            <w:tcW w:w="1798" w:type="pct"/>
            <w:vMerge/>
            <w:vAlign w:val="bottom"/>
          </w:tcPr>
          <w:p w:rsidR="00D95F30" w:rsidRPr="00316A99" w:rsidRDefault="00D95F30" w:rsidP="00D95F30">
            <w:pPr>
              <w:rPr>
                <w:sz w:val="24"/>
                <w:szCs w:val="24"/>
              </w:rPr>
            </w:pPr>
          </w:p>
        </w:tc>
      </w:tr>
      <w:tr w:rsidR="00D95F30" w:rsidRPr="00316A99" w:rsidTr="00B133B1">
        <w:trPr>
          <w:trHeight w:val="276"/>
        </w:trPr>
        <w:tc>
          <w:tcPr>
            <w:tcW w:w="2798" w:type="pct"/>
            <w:vMerge w:val="restart"/>
            <w:vAlign w:val="bottom"/>
          </w:tcPr>
          <w:p w:rsidR="00D95F30" w:rsidRPr="00316A99" w:rsidRDefault="00D95F30" w:rsidP="00D95F30">
            <w:pPr>
              <w:ind w:left="120"/>
              <w:jc w:val="both"/>
              <w:rPr>
                <w:sz w:val="24"/>
                <w:szCs w:val="24"/>
              </w:rPr>
            </w:pPr>
            <w:r w:rsidRPr="00316A99">
              <w:rPr>
                <w:rFonts w:eastAsia="Times New Roman"/>
                <w:sz w:val="24"/>
                <w:szCs w:val="24"/>
              </w:rPr>
              <w:t>7.</w:t>
            </w:r>
            <w:r w:rsidRPr="00316A99">
              <w:rPr>
                <w:sz w:val="24"/>
                <w:szCs w:val="24"/>
              </w:rPr>
              <w:t xml:space="preserve"> </w:t>
            </w:r>
            <w:r w:rsidRPr="00316A99">
              <w:rPr>
                <w:rFonts w:eastAsia="Times New Roman"/>
                <w:sz w:val="24"/>
                <w:szCs w:val="24"/>
              </w:rPr>
              <w:t>Для заполнения полей карточки с образцами подписей и</w:t>
            </w:r>
            <w:r w:rsidRPr="00316A99">
              <w:rPr>
                <w:sz w:val="24"/>
                <w:szCs w:val="24"/>
              </w:rPr>
              <w:t xml:space="preserve"> </w:t>
            </w:r>
            <w:r w:rsidRPr="00316A99">
              <w:rPr>
                <w:rFonts w:eastAsia="Times New Roman"/>
                <w:sz w:val="24"/>
                <w:szCs w:val="24"/>
              </w:rPr>
              <w:t>оттиска печати возможно применение факсимильной подписи.</w:t>
            </w:r>
          </w:p>
        </w:tc>
        <w:tc>
          <w:tcPr>
            <w:tcW w:w="404" w:type="pct"/>
            <w:vMerge w:val="restart"/>
            <w:vAlign w:val="bottom"/>
          </w:tcPr>
          <w:p w:rsidR="00D95F30" w:rsidRPr="00316A99" w:rsidRDefault="00D95F30" w:rsidP="00D95F30">
            <w:pPr>
              <w:jc w:val="center"/>
              <w:rPr>
                <w:sz w:val="24"/>
                <w:szCs w:val="24"/>
              </w:rPr>
            </w:pPr>
            <w:r w:rsidRPr="00316A99">
              <w:rPr>
                <w:i/>
                <w:sz w:val="24"/>
                <w:szCs w:val="24"/>
              </w:rPr>
              <w:t>Неверно</w:t>
            </w:r>
          </w:p>
        </w:tc>
        <w:tc>
          <w:tcPr>
            <w:tcW w:w="1798" w:type="pct"/>
            <w:vMerge w:val="restart"/>
            <w:vAlign w:val="bottom"/>
          </w:tcPr>
          <w:p w:rsidR="00D95F30" w:rsidRPr="00316A99" w:rsidRDefault="00D95F30" w:rsidP="00D95F30">
            <w:pPr>
              <w:jc w:val="both"/>
              <w:rPr>
                <w:sz w:val="24"/>
                <w:szCs w:val="24"/>
              </w:rPr>
            </w:pPr>
            <w:r w:rsidRPr="00316A99">
              <w:rPr>
                <w:color w:val="000000" w:themeColor="text1"/>
                <w:sz w:val="24"/>
                <w:szCs w:val="24"/>
              </w:rPr>
              <w:t xml:space="preserve">п.7.2. </w:t>
            </w:r>
            <w:r w:rsidRPr="00316A99">
              <w:rPr>
                <w:rFonts w:eastAsia="Times New Roman"/>
                <w:color w:val="000000" w:themeColor="text1"/>
                <w:sz w:val="24"/>
                <w:szCs w:val="24"/>
              </w:rPr>
              <w:t xml:space="preserve">Инструкции Банка России № 153-И </w:t>
            </w:r>
          </w:p>
        </w:tc>
      </w:tr>
      <w:tr w:rsidR="00D95F30" w:rsidRPr="00316A99" w:rsidTr="00B133B1">
        <w:trPr>
          <w:trHeight w:val="492"/>
        </w:trPr>
        <w:tc>
          <w:tcPr>
            <w:tcW w:w="2798" w:type="pct"/>
            <w:vMerge/>
            <w:vAlign w:val="bottom"/>
          </w:tcPr>
          <w:p w:rsidR="00D95F30" w:rsidRPr="00316A99" w:rsidRDefault="00D95F30" w:rsidP="00D95F30">
            <w:pPr>
              <w:ind w:left="120"/>
              <w:rPr>
                <w:sz w:val="24"/>
                <w:szCs w:val="24"/>
              </w:rPr>
            </w:pPr>
          </w:p>
        </w:tc>
        <w:tc>
          <w:tcPr>
            <w:tcW w:w="404" w:type="pct"/>
            <w:vMerge/>
            <w:vAlign w:val="bottom"/>
          </w:tcPr>
          <w:p w:rsidR="00D95F30" w:rsidRPr="00316A99" w:rsidRDefault="00D95F30" w:rsidP="00D95F30">
            <w:pPr>
              <w:jc w:val="center"/>
              <w:rPr>
                <w:sz w:val="24"/>
                <w:szCs w:val="24"/>
              </w:rPr>
            </w:pPr>
          </w:p>
        </w:tc>
        <w:tc>
          <w:tcPr>
            <w:tcW w:w="1798" w:type="pct"/>
            <w:vMerge/>
            <w:vAlign w:val="bottom"/>
          </w:tcPr>
          <w:p w:rsidR="00D95F30" w:rsidRPr="00316A99" w:rsidRDefault="00D95F30" w:rsidP="00D95F30">
            <w:pPr>
              <w:rPr>
                <w:sz w:val="24"/>
                <w:szCs w:val="24"/>
              </w:rPr>
            </w:pPr>
          </w:p>
        </w:tc>
      </w:tr>
      <w:tr w:rsidR="00D95F30" w:rsidRPr="00316A99" w:rsidTr="00B133B1">
        <w:trPr>
          <w:trHeight w:val="276"/>
        </w:trPr>
        <w:tc>
          <w:tcPr>
            <w:tcW w:w="2798" w:type="pct"/>
            <w:vMerge w:val="restart"/>
            <w:vAlign w:val="bottom"/>
          </w:tcPr>
          <w:p w:rsidR="00D95F30" w:rsidRPr="00316A99" w:rsidRDefault="00D95F30" w:rsidP="00D95F30">
            <w:pPr>
              <w:ind w:left="120"/>
              <w:jc w:val="both"/>
              <w:rPr>
                <w:sz w:val="24"/>
                <w:szCs w:val="24"/>
              </w:rPr>
            </w:pPr>
            <w:r w:rsidRPr="00316A99">
              <w:rPr>
                <w:rFonts w:eastAsia="Times New Roman"/>
                <w:sz w:val="24"/>
                <w:szCs w:val="24"/>
              </w:rPr>
              <w:t>8.</w:t>
            </w:r>
            <w:r w:rsidRPr="00316A99">
              <w:rPr>
                <w:sz w:val="24"/>
                <w:szCs w:val="24"/>
              </w:rPr>
              <w:t xml:space="preserve"> </w:t>
            </w:r>
            <w:r w:rsidRPr="00316A99">
              <w:rPr>
                <w:rFonts w:eastAsia="Times New Roman"/>
                <w:sz w:val="24"/>
                <w:szCs w:val="24"/>
              </w:rPr>
              <w:t>Корреспондентские</w:t>
            </w:r>
            <w:r w:rsidRPr="00316A99">
              <w:rPr>
                <w:sz w:val="24"/>
                <w:szCs w:val="24"/>
              </w:rPr>
              <w:t xml:space="preserve"> </w:t>
            </w:r>
            <w:r w:rsidRPr="00316A99">
              <w:rPr>
                <w:rFonts w:eastAsia="Times New Roman"/>
                <w:sz w:val="24"/>
                <w:szCs w:val="24"/>
              </w:rPr>
              <w:t>счета открываются кредитным</w:t>
            </w:r>
            <w:r w:rsidRPr="00316A99">
              <w:rPr>
                <w:sz w:val="24"/>
                <w:szCs w:val="24"/>
              </w:rPr>
              <w:t xml:space="preserve"> </w:t>
            </w:r>
            <w:r w:rsidRPr="00316A99">
              <w:rPr>
                <w:rFonts w:eastAsia="Times New Roman"/>
                <w:sz w:val="24"/>
                <w:szCs w:val="24"/>
              </w:rPr>
              <w:t>организациям.</w:t>
            </w:r>
          </w:p>
        </w:tc>
        <w:tc>
          <w:tcPr>
            <w:tcW w:w="404" w:type="pct"/>
            <w:vMerge w:val="restart"/>
            <w:vAlign w:val="bottom"/>
          </w:tcPr>
          <w:p w:rsidR="00D95F30" w:rsidRPr="00316A99" w:rsidRDefault="00D95F30" w:rsidP="00D95F30">
            <w:pPr>
              <w:jc w:val="center"/>
              <w:rPr>
                <w:i/>
                <w:sz w:val="24"/>
                <w:szCs w:val="24"/>
              </w:rPr>
            </w:pPr>
            <w:r w:rsidRPr="00316A99">
              <w:rPr>
                <w:i/>
                <w:sz w:val="24"/>
                <w:szCs w:val="24"/>
              </w:rPr>
              <w:t xml:space="preserve">Верно </w:t>
            </w:r>
          </w:p>
        </w:tc>
        <w:tc>
          <w:tcPr>
            <w:tcW w:w="1798" w:type="pct"/>
            <w:vMerge w:val="restart"/>
            <w:vAlign w:val="bottom"/>
          </w:tcPr>
          <w:p w:rsidR="00D95F30" w:rsidRPr="00316A99" w:rsidRDefault="00D95F30" w:rsidP="00D95F30">
            <w:pPr>
              <w:jc w:val="both"/>
              <w:rPr>
                <w:sz w:val="24"/>
                <w:szCs w:val="24"/>
              </w:rPr>
            </w:pPr>
            <w:r w:rsidRPr="00316A99">
              <w:rPr>
                <w:rFonts w:eastAsia="Times New Roman"/>
                <w:sz w:val="24"/>
                <w:szCs w:val="24"/>
              </w:rPr>
              <w:t>Инструкции Банка России № 153-И</w:t>
            </w:r>
          </w:p>
        </w:tc>
      </w:tr>
      <w:tr w:rsidR="00D95F30" w:rsidRPr="00316A99" w:rsidTr="00B133B1">
        <w:trPr>
          <w:trHeight w:val="276"/>
        </w:trPr>
        <w:tc>
          <w:tcPr>
            <w:tcW w:w="2798" w:type="pct"/>
            <w:vMerge/>
            <w:vAlign w:val="bottom"/>
          </w:tcPr>
          <w:p w:rsidR="00D95F30" w:rsidRPr="00316A99" w:rsidRDefault="00D95F30" w:rsidP="00D95F30">
            <w:pPr>
              <w:rPr>
                <w:sz w:val="24"/>
                <w:szCs w:val="24"/>
              </w:rPr>
            </w:pPr>
          </w:p>
        </w:tc>
        <w:tc>
          <w:tcPr>
            <w:tcW w:w="404" w:type="pct"/>
            <w:vMerge/>
            <w:vAlign w:val="bottom"/>
          </w:tcPr>
          <w:p w:rsidR="00D95F30" w:rsidRPr="00316A99" w:rsidRDefault="00D95F30" w:rsidP="00D95F30">
            <w:pPr>
              <w:jc w:val="center"/>
              <w:rPr>
                <w:i/>
                <w:sz w:val="24"/>
                <w:szCs w:val="24"/>
              </w:rPr>
            </w:pPr>
          </w:p>
        </w:tc>
        <w:tc>
          <w:tcPr>
            <w:tcW w:w="1798" w:type="pct"/>
            <w:vMerge/>
            <w:vAlign w:val="bottom"/>
          </w:tcPr>
          <w:p w:rsidR="00D95F30" w:rsidRPr="00316A99" w:rsidRDefault="00D95F30" w:rsidP="00D95F30">
            <w:pPr>
              <w:rPr>
                <w:sz w:val="24"/>
                <w:szCs w:val="24"/>
              </w:rPr>
            </w:pPr>
          </w:p>
        </w:tc>
      </w:tr>
      <w:tr w:rsidR="00D95F30" w:rsidRPr="00316A99" w:rsidTr="00B133B1">
        <w:trPr>
          <w:trHeight w:val="276"/>
        </w:trPr>
        <w:tc>
          <w:tcPr>
            <w:tcW w:w="2798" w:type="pct"/>
            <w:vMerge w:val="restart"/>
            <w:vAlign w:val="bottom"/>
          </w:tcPr>
          <w:p w:rsidR="00D95F30" w:rsidRPr="00316A99" w:rsidRDefault="00D95F30" w:rsidP="00D95F30">
            <w:pPr>
              <w:ind w:left="120"/>
              <w:jc w:val="both"/>
              <w:rPr>
                <w:sz w:val="24"/>
                <w:szCs w:val="24"/>
              </w:rPr>
            </w:pPr>
            <w:r w:rsidRPr="00316A99">
              <w:rPr>
                <w:rFonts w:eastAsia="Times New Roman"/>
                <w:sz w:val="24"/>
                <w:szCs w:val="24"/>
              </w:rPr>
              <w:t>9.</w:t>
            </w:r>
            <w:r w:rsidRPr="00316A99">
              <w:rPr>
                <w:sz w:val="24"/>
                <w:szCs w:val="24"/>
              </w:rPr>
              <w:t xml:space="preserve"> </w:t>
            </w:r>
            <w:r w:rsidRPr="00316A99">
              <w:rPr>
                <w:rFonts w:eastAsia="Times New Roman"/>
                <w:sz w:val="24"/>
                <w:szCs w:val="24"/>
              </w:rPr>
              <w:t xml:space="preserve">В </w:t>
            </w:r>
            <w:proofErr w:type="gramStart"/>
            <w:r w:rsidRPr="00316A99">
              <w:rPr>
                <w:rFonts w:eastAsia="Times New Roman"/>
                <w:sz w:val="24"/>
                <w:szCs w:val="24"/>
              </w:rPr>
              <w:t>случае  замены</w:t>
            </w:r>
            <w:proofErr w:type="gramEnd"/>
            <w:r w:rsidRPr="00316A99">
              <w:rPr>
                <w:rFonts w:eastAsia="Times New Roman"/>
                <w:sz w:val="24"/>
                <w:szCs w:val="24"/>
              </w:rPr>
              <w:t xml:space="preserve">  или  дополнения  хотя  бы  одной</w:t>
            </w:r>
            <w:r w:rsidRPr="00316A99">
              <w:rPr>
                <w:sz w:val="24"/>
                <w:szCs w:val="24"/>
              </w:rPr>
              <w:t xml:space="preserve"> </w:t>
            </w:r>
            <w:r w:rsidRPr="00316A99">
              <w:rPr>
                <w:rFonts w:eastAsia="Times New Roman"/>
                <w:sz w:val="24"/>
                <w:szCs w:val="24"/>
              </w:rPr>
              <w:t>подписи   и   (или)   замены   (утери)   печати,   изменения организационно-правовой формы клиента - юридического лица</w:t>
            </w:r>
            <w:r w:rsidRPr="00316A99">
              <w:rPr>
                <w:sz w:val="24"/>
                <w:szCs w:val="24"/>
              </w:rPr>
              <w:t xml:space="preserve"> </w:t>
            </w:r>
            <w:r w:rsidRPr="00316A99">
              <w:rPr>
                <w:rFonts w:eastAsia="Times New Roman"/>
                <w:sz w:val="24"/>
                <w:szCs w:val="24"/>
              </w:rPr>
              <w:t>клиентом представляется новая карточка с образцами подписей</w:t>
            </w:r>
            <w:r w:rsidRPr="00316A99">
              <w:rPr>
                <w:sz w:val="24"/>
                <w:szCs w:val="24"/>
              </w:rPr>
              <w:t xml:space="preserve"> </w:t>
            </w:r>
            <w:r w:rsidRPr="00316A99">
              <w:rPr>
                <w:rFonts w:eastAsia="Times New Roman"/>
                <w:sz w:val="24"/>
                <w:szCs w:val="24"/>
              </w:rPr>
              <w:t>и оттиска печати.</w:t>
            </w:r>
          </w:p>
        </w:tc>
        <w:tc>
          <w:tcPr>
            <w:tcW w:w="404" w:type="pct"/>
            <w:vMerge w:val="restart"/>
            <w:vAlign w:val="bottom"/>
          </w:tcPr>
          <w:p w:rsidR="00D95F30" w:rsidRPr="00316A99" w:rsidRDefault="00D95F30" w:rsidP="00D95F30">
            <w:pPr>
              <w:jc w:val="center"/>
              <w:rPr>
                <w:i/>
                <w:sz w:val="24"/>
                <w:szCs w:val="24"/>
              </w:rPr>
            </w:pPr>
            <w:r w:rsidRPr="00316A99">
              <w:rPr>
                <w:i/>
                <w:sz w:val="24"/>
                <w:szCs w:val="24"/>
              </w:rPr>
              <w:t>Верно</w:t>
            </w:r>
          </w:p>
        </w:tc>
        <w:tc>
          <w:tcPr>
            <w:tcW w:w="1798" w:type="pct"/>
            <w:vMerge w:val="restart"/>
            <w:vAlign w:val="bottom"/>
          </w:tcPr>
          <w:p w:rsidR="00D95F30" w:rsidRPr="00316A99" w:rsidRDefault="00D95F30" w:rsidP="00D95F30">
            <w:pPr>
              <w:rPr>
                <w:sz w:val="24"/>
                <w:szCs w:val="24"/>
              </w:rPr>
            </w:pPr>
            <w:r w:rsidRPr="00316A99">
              <w:rPr>
                <w:sz w:val="24"/>
                <w:szCs w:val="24"/>
              </w:rPr>
              <w:t xml:space="preserve">п.7.11 </w:t>
            </w:r>
            <w:r w:rsidRPr="00316A99">
              <w:rPr>
                <w:rFonts w:eastAsia="Times New Roman"/>
                <w:sz w:val="24"/>
                <w:szCs w:val="24"/>
              </w:rPr>
              <w:t>Инструкции Банка России № 153-И</w:t>
            </w:r>
          </w:p>
        </w:tc>
      </w:tr>
      <w:tr w:rsidR="00D95F30" w:rsidRPr="00316A99" w:rsidTr="00B133B1">
        <w:trPr>
          <w:trHeight w:val="276"/>
        </w:trPr>
        <w:tc>
          <w:tcPr>
            <w:tcW w:w="2798" w:type="pct"/>
            <w:vMerge/>
            <w:vAlign w:val="bottom"/>
          </w:tcPr>
          <w:p w:rsidR="00D95F30" w:rsidRPr="00316A99" w:rsidRDefault="00D95F30" w:rsidP="00D95F30">
            <w:pPr>
              <w:rPr>
                <w:sz w:val="24"/>
                <w:szCs w:val="24"/>
              </w:rPr>
            </w:pPr>
          </w:p>
        </w:tc>
        <w:tc>
          <w:tcPr>
            <w:tcW w:w="404" w:type="pct"/>
            <w:vMerge/>
            <w:vAlign w:val="bottom"/>
          </w:tcPr>
          <w:p w:rsidR="00D95F30" w:rsidRPr="00316A99" w:rsidRDefault="00D95F30" w:rsidP="00D95F30">
            <w:pPr>
              <w:jc w:val="center"/>
              <w:rPr>
                <w:i/>
                <w:sz w:val="24"/>
                <w:szCs w:val="24"/>
              </w:rPr>
            </w:pPr>
          </w:p>
        </w:tc>
        <w:tc>
          <w:tcPr>
            <w:tcW w:w="1798" w:type="pct"/>
            <w:vMerge/>
            <w:vAlign w:val="bottom"/>
          </w:tcPr>
          <w:p w:rsidR="00D95F30" w:rsidRPr="00316A99" w:rsidRDefault="00D95F30" w:rsidP="00D95F30">
            <w:pPr>
              <w:rPr>
                <w:sz w:val="24"/>
                <w:szCs w:val="24"/>
              </w:rPr>
            </w:pPr>
          </w:p>
        </w:tc>
      </w:tr>
      <w:tr w:rsidR="00D95F30" w:rsidRPr="00316A99" w:rsidTr="00B133B1">
        <w:trPr>
          <w:trHeight w:val="276"/>
        </w:trPr>
        <w:tc>
          <w:tcPr>
            <w:tcW w:w="2798" w:type="pct"/>
            <w:vMerge/>
            <w:vAlign w:val="bottom"/>
          </w:tcPr>
          <w:p w:rsidR="00D95F30" w:rsidRPr="00316A99" w:rsidRDefault="00D95F30" w:rsidP="00D95F30">
            <w:pPr>
              <w:rPr>
                <w:sz w:val="24"/>
                <w:szCs w:val="24"/>
              </w:rPr>
            </w:pPr>
          </w:p>
        </w:tc>
        <w:tc>
          <w:tcPr>
            <w:tcW w:w="404" w:type="pct"/>
            <w:vMerge/>
            <w:vAlign w:val="bottom"/>
          </w:tcPr>
          <w:p w:rsidR="00D95F30" w:rsidRPr="00316A99" w:rsidRDefault="00D95F30" w:rsidP="00D95F30">
            <w:pPr>
              <w:jc w:val="center"/>
              <w:rPr>
                <w:i/>
                <w:sz w:val="24"/>
                <w:szCs w:val="24"/>
              </w:rPr>
            </w:pPr>
          </w:p>
        </w:tc>
        <w:tc>
          <w:tcPr>
            <w:tcW w:w="1798" w:type="pct"/>
            <w:vMerge/>
            <w:vAlign w:val="bottom"/>
          </w:tcPr>
          <w:p w:rsidR="00D95F30" w:rsidRPr="00316A99" w:rsidRDefault="00D95F30" w:rsidP="00D95F30">
            <w:pPr>
              <w:rPr>
                <w:sz w:val="24"/>
                <w:szCs w:val="24"/>
              </w:rPr>
            </w:pPr>
          </w:p>
        </w:tc>
      </w:tr>
      <w:tr w:rsidR="00D95F30" w:rsidRPr="00316A99" w:rsidTr="00B133B1">
        <w:trPr>
          <w:trHeight w:val="276"/>
        </w:trPr>
        <w:tc>
          <w:tcPr>
            <w:tcW w:w="2798" w:type="pct"/>
            <w:vMerge/>
            <w:vAlign w:val="bottom"/>
          </w:tcPr>
          <w:p w:rsidR="00D95F30" w:rsidRPr="00316A99" w:rsidRDefault="00D95F30" w:rsidP="00D95F30">
            <w:pPr>
              <w:rPr>
                <w:sz w:val="24"/>
                <w:szCs w:val="24"/>
              </w:rPr>
            </w:pPr>
          </w:p>
        </w:tc>
        <w:tc>
          <w:tcPr>
            <w:tcW w:w="404" w:type="pct"/>
            <w:vMerge/>
            <w:vAlign w:val="bottom"/>
          </w:tcPr>
          <w:p w:rsidR="00D95F30" w:rsidRPr="00316A99" w:rsidRDefault="00D95F30" w:rsidP="00D95F30">
            <w:pPr>
              <w:jc w:val="center"/>
              <w:rPr>
                <w:i/>
                <w:sz w:val="24"/>
                <w:szCs w:val="24"/>
              </w:rPr>
            </w:pPr>
          </w:p>
        </w:tc>
        <w:tc>
          <w:tcPr>
            <w:tcW w:w="1798" w:type="pct"/>
            <w:vMerge/>
            <w:vAlign w:val="bottom"/>
          </w:tcPr>
          <w:p w:rsidR="00D95F30" w:rsidRPr="00316A99" w:rsidRDefault="00D95F30" w:rsidP="00D95F30">
            <w:pPr>
              <w:rPr>
                <w:sz w:val="24"/>
                <w:szCs w:val="24"/>
              </w:rPr>
            </w:pPr>
          </w:p>
        </w:tc>
      </w:tr>
      <w:tr w:rsidR="00D95F30" w:rsidRPr="00316A99" w:rsidTr="00B133B1">
        <w:trPr>
          <w:trHeight w:val="276"/>
        </w:trPr>
        <w:tc>
          <w:tcPr>
            <w:tcW w:w="2798" w:type="pct"/>
            <w:vMerge/>
            <w:vAlign w:val="bottom"/>
          </w:tcPr>
          <w:p w:rsidR="00D95F30" w:rsidRPr="00316A99" w:rsidRDefault="00D95F30" w:rsidP="00D95F30">
            <w:pPr>
              <w:rPr>
                <w:sz w:val="24"/>
                <w:szCs w:val="24"/>
              </w:rPr>
            </w:pPr>
          </w:p>
        </w:tc>
        <w:tc>
          <w:tcPr>
            <w:tcW w:w="404" w:type="pct"/>
            <w:vMerge/>
            <w:vAlign w:val="bottom"/>
          </w:tcPr>
          <w:p w:rsidR="00D95F30" w:rsidRPr="00316A99" w:rsidRDefault="00D95F30" w:rsidP="00D95F30">
            <w:pPr>
              <w:jc w:val="center"/>
              <w:rPr>
                <w:i/>
                <w:sz w:val="24"/>
                <w:szCs w:val="24"/>
              </w:rPr>
            </w:pPr>
          </w:p>
        </w:tc>
        <w:tc>
          <w:tcPr>
            <w:tcW w:w="1798" w:type="pct"/>
            <w:vMerge/>
            <w:vAlign w:val="bottom"/>
          </w:tcPr>
          <w:p w:rsidR="00D95F30" w:rsidRPr="00316A99" w:rsidRDefault="00D95F30" w:rsidP="00D95F30">
            <w:pPr>
              <w:rPr>
                <w:sz w:val="24"/>
                <w:szCs w:val="24"/>
              </w:rPr>
            </w:pPr>
          </w:p>
        </w:tc>
      </w:tr>
      <w:tr w:rsidR="00D95F30" w:rsidRPr="00316A99" w:rsidTr="00B133B1">
        <w:trPr>
          <w:trHeight w:val="276"/>
        </w:trPr>
        <w:tc>
          <w:tcPr>
            <w:tcW w:w="2798" w:type="pct"/>
            <w:vMerge w:val="restart"/>
            <w:vAlign w:val="bottom"/>
          </w:tcPr>
          <w:p w:rsidR="00D95F30" w:rsidRPr="00316A99" w:rsidRDefault="00D95F30" w:rsidP="00D95F30">
            <w:pPr>
              <w:ind w:left="120"/>
              <w:jc w:val="both"/>
              <w:rPr>
                <w:sz w:val="24"/>
                <w:szCs w:val="24"/>
              </w:rPr>
            </w:pPr>
            <w:r w:rsidRPr="00316A99">
              <w:rPr>
                <w:rFonts w:eastAsia="Times New Roman"/>
                <w:sz w:val="24"/>
                <w:szCs w:val="24"/>
              </w:rPr>
              <w:t>10.</w:t>
            </w:r>
            <w:r w:rsidRPr="00316A99">
              <w:rPr>
                <w:sz w:val="24"/>
                <w:szCs w:val="24"/>
              </w:rPr>
              <w:t xml:space="preserve"> </w:t>
            </w:r>
            <w:r w:rsidRPr="00316A99">
              <w:rPr>
                <w:rFonts w:eastAsia="Times New Roman"/>
                <w:sz w:val="24"/>
                <w:szCs w:val="24"/>
              </w:rPr>
              <w:t>Внесение в Книгу регистрации открытых счетов записи</w:t>
            </w:r>
            <w:r w:rsidRPr="00316A99">
              <w:rPr>
                <w:sz w:val="24"/>
                <w:szCs w:val="24"/>
              </w:rPr>
              <w:t xml:space="preserve"> </w:t>
            </w:r>
            <w:proofErr w:type="gramStart"/>
            <w:r w:rsidRPr="00316A99">
              <w:rPr>
                <w:rFonts w:eastAsia="Times New Roman"/>
                <w:sz w:val="24"/>
                <w:szCs w:val="24"/>
              </w:rPr>
              <w:t>о  закрытии</w:t>
            </w:r>
            <w:proofErr w:type="gramEnd"/>
            <w:r w:rsidRPr="00316A99">
              <w:rPr>
                <w:rFonts w:eastAsia="Times New Roman"/>
                <w:sz w:val="24"/>
                <w:szCs w:val="24"/>
              </w:rPr>
              <w:t xml:space="preserve">  лицевого  счета  в  связи  с  изменение  номера лицевого счета является закрытием счета</w:t>
            </w:r>
          </w:p>
        </w:tc>
        <w:tc>
          <w:tcPr>
            <w:tcW w:w="404" w:type="pct"/>
            <w:vMerge w:val="restart"/>
            <w:vAlign w:val="bottom"/>
          </w:tcPr>
          <w:p w:rsidR="00D95F30" w:rsidRPr="00316A99" w:rsidRDefault="00D95F30" w:rsidP="00D95F30">
            <w:pPr>
              <w:jc w:val="center"/>
              <w:rPr>
                <w:i/>
                <w:sz w:val="24"/>
                <w:szCs w:val="24"/>
              </w:rPr>
            </w:pPr>
            <w:r w:rsidRPr="00316A99">
              <w:rPr>
                <w:i/>
                <w:sz w:val="24"/>
                <w:szCs w:val="24"/>
              </w:rPr>
              <w:t xml:space="preserve">Верно </w:t>
            </w:r>
          </w:p>
        </w:tc>
        <w:tc>
          <w:tcPr>
            <w:tcW w:w="1798" w:type="pct"/>
            <w:vMerge w:val="restart"/>
            <w:vAlign w:val="bottom"/>
          </w:tcPr>
          <w:p w:rsidR="00D95F30" w:rsidRPr="00316A99" w:rsidRDefault="00D95F30" w:rsidP="00D95F30">
            <w:pPr>
              <w:jc w:val="both"/>
              <w:rPr>
                <w:sz w:val="24"/>
                <w:szCs w:val="24"/>
              </w:rPr>
            </w:pPr>
            <w:r w:rsidRPr="00316A99">
              <w:rPr>
                <w:sz w:val="24"/>
                <w:szCs w:val="24"/>
              </w:rPr>
              <w:t xml:space="preserve">п.1.3 </w:t>
            </w:r>
            <w:r w:rsidRPr="00316A99">
              <w:rPr>
                <w:rFonts w:eastAsia="Times New Roman"/>
                <w:sz w:val="24"/>
                <w:szCs w:val="24"/>
              </w:rPr>
              <w:t>Инструкции Банка России № 153-И</w:t>
            </w:r>
          </w:p>
        </w:tc>
      </w:tr>
      <w:tr w:rsidR="00D95F30" w:rsidRPr="00316A99" w:rsidTr="00B133B1">
        <w:trPr>
          <w:trHeight w:val="277"/>
        </w:trPr>
        <w:tc>
          <w:tcPr>
            <w:tcW w:w="2798" w:type="pct"/>
            <w:vMerge/>
            <w:vAlign w:val="bottom"/>
          </w:tcPr>
          <w:p w:rsidR="00D95F30" w:rsidRPr="00316A99" w:rsidRDefault="00D95F30" w:rsidP="00D95F30">
            <w:pPr>
              <w:rPr>
                <w:sz w:val="24"/>
                <w:szCs w:val="24"/>
              </w:rPr>
            </w:pPr>
          </w:p>
        </w:tc>
        <w:tc>
          <w:tcPr>
            <w:tcW w:w="404" w:type="pct"/>
            <w:vMerge/>
            <w:vAlign w:val="bottom"/>
          </w:tcPr>
          <w:p w:rsidR="00D95F30" w:rsidRPr="00316A99" w:rsidRDefault="00D95F30" w:rsidP="00D95F30">
            <w:pPr>
              <w:rPr>
                <w:i/>
                <w:sz w:val="24"/>
                <w:szCs w:val="24"/>
              </w:rPr>
            </w:pPr>
          </w:p>
        </w:tc>
        <w:tc>
          <w:tcPr>
            <w:tcW w:w="1798" w:type="pct"/>
            <w:vMerge/>
            <w:vAlign w:val="bottom"/>
          </w:tcPr>
          <w:p w:rsidR="00D95F30" w:rsidRPr="00316A99" w:rsidRDefault="00D95F30" w:rsidP="00D95F30">
            <w:pPr>
              <w:rPr>
                <w:sz w:val="24"/>
                <w:szCs w:val="24"/>
              </w:rPr>
            </w:pPr>
          </w:p>
        </w:tc>
      </w:tr>
      <w:tr w:rsidR="00D95F30" w:rsidRPr="00316A99" w:rsidTr="00B133B1">
        <w:trPr>
          <w:trHeight w:val="276"/>
        </w:trPr>
        <w:tc>
          <w:tcPr>
            <w:tcW w:w="2798" w:type="pct"/>
            <w:vMerge/>
            <w:vAlign w:val="bottom"/>
          </w:tcPr>
          <w:p w:rsidR="00D95F30" w:rsidRPr="00316A99" w:rsidRDefault="00D95F30" w:rsidP="00D95F30">
            <w:pPr>
              <w:rPr>
                <w:sz w:val="24"/>
                <w:szCs w:val="24"/>
              </w:rPr>
            </w:pPr>
          </w:p>
        </w:tc>
        <w:tc>
          <w:tcPr>
            <w:tcW w:w="404" w:type="pct"/>
            <w:vMerge/>
            <w:vAlign w:val="bottom"/>
          </w:tcPr>
          <w:p w:rsidR="00D95F30" w:rsidRPr="00316A99" w:rsidRDefault="00D95F30" w:rsidP="00D95F30">
            <w:pPr>
              <w:rPr>
                <w:i/>
                <w:sz w:val="24"/>
                <w:szCs w:val="24"/>
              </w:rPr>
            </w:pPr>
          </w:p>
        </w:tc>
        <w:tc>
          <w:tcPr>
            <w:tcW w:w="1798" w:type="pct"/>
            <w:vMerge/>
            <w:vAlign w:val="bottom"/>
          </w:tcPr>
          <w:p w:rsidR="00D95F30" w:rsidRPr="00316A99" w:rsidRDefault="00D95F30" w:rsidP="00D95F30">
            <w:pPr>
              <w:rPr>
                <w:sz w:val="24"/>
                <w:szCs w:val="24"/>
              </w:rPr>
            </w:pPr>
          </w:p>
        </w:tc>
      </w:tr>
      <w:tr w:rsidR="00D95F30" w:rsidRPr="00316A99" w:rsidTr="00B133B1">
        <w:trPr>
          <w:trHeight w:val="276"/>
        </w:trPr>
        <w:tc>
          <w:tcPr>
            <w:tcW w:w="2798" w:type="pct"/>
            <w:vMerge w:val="restart"/>
            <w:vAlign w:val="bottom"/>
          </w:tcPr>
          <w:p w:rsidR="00D95F30" w:rsidRDefault="00D95F30" w:rsidP="00D95F30">
            <w:pPr>
              <w:ind w:left="120"/>
              <w:jc w:val="both"/>
              <w:rPr>
                <w:rFonts w:eastAsia="Times New Roman"/>
                <w:sz w:val="24"/>
                <w:szCs w:val="24"/>
              </w:rPr>
            </w:pPr>
            <w:r w:rsidRPr="00316A99">
              <w:rPr>
                <w:rFonts w:eastAsia="Times New Roman"/>
                <w:sz w:val="24"/>
                <w:szCs w:val="24"/>
              </w:rPr>
              <w:t xml:space="preserve">11.Банковские </w:t>
            </w:r>
            <w:proofErr w:type="gramStart"/>
            <w:r w:rsidRPr="00316A99">
              <w:rPr>
                <w:rFonts w:eastAsia="Times New Roman"/>
                <w:sz w:val="24"/>
                <w:szCs w:val="24"/>
              </w:rPr>
              <w:t>счета  физическим</w:t>
            </w:r>
            <w:proofErr w:type="gramEnd"/>
            <w:r w:rsidRPr="00316A99">
              <w:rPr>
                <w:rFonts w:eastAsia="Times New Roman"/>
                <w:sz w:val="24"/>
                <w:szCs w:val="24"/>
              </w:rPr>
              <w:t xml:space="preserve">  лицам  банки  могут</w:t>
            </w:r>
            <w:r w:rsidRPr="00316A99">
              <w:rPr>
                <w:sz w:val="24"/>
                <w:szCs w:val="24"/>
              </w:rPr>
              <w:t xml:space="preserve"> </w:t>
            </w:r>
            <w:r w:rsidRPr="00316A99">
              <w:rPr>
                <w:rFonts w:eastAsia="Times New Roman"/>
                <w:sz w:val="24"/>
                <w:szCs w:val="24"/>
              </w:rPr>
              <w:t>открывать без личного присутствия владельца счёта, через его</w:t>
            </w:r>
            <w:r w:rsidRPr="00316A99">
              <w:rPr>
                <w:sz w:val="24"/>
                <w:szCs w:val="24"/>
              </w:rPr>
              <w:t xml:space="preserve"> </w:t>
            </w:r>
            <w:r w:rsidRPr="00316A99">
              <w:rPr>
                <w:rFonts w:eastAsia="Times New Roman"/>
                <w:sz w:val="24"/>
                <w:szCs w:val="24"/>
              </w:rPr>
              <w:t>представителя.</w:t>
            </w:r>
          </w:p>
          <w:p w:rsidR="00316A99" w:rsidRPr="00316A99" w:rsidRDefault="00316A99" w:rsidP="00D95F30">
            <w:pPr>
              <w:ind w:left="120"/>
              <w:jc w:val="both"/>
              <w:rPr>
                <w:sz w:val="24"/>
                <w:szCs w:val="24"/>
              </w:rPr>
            </w:pPr>
          </w:p>
        </w:tc>
        <w:tc>
          <w:tcPr>
            <w:tcW w:w="404" w:type="pct"/>
            <w:vMerge w:val="restart"/>
            <w:vAlign w:val="bottom"/>
          </w:tcPr>
          <w:p w:rsidR="00D95F30" w:rsidRPr="00316A99" w:rsidRDefault="00D95F30" w:rsidP="00D95F30">
            <w:pPr>
              <w:jc w:val="center"/>
              <w:rPr>
                <w:i/>
                <w:sz w:val="24"/>
                <w:szCs w:val="24"/>
              </w:rPr>
            </w:pPr>
            <w:r w:rsidRPr="00316A99">
              <w:rPr>
                <w:i/>
                <w:sz w:val="24"/>
                <w:szCs w:val="24"/>
              </w:rPr>
              <w:t xml:space="preserve">Неверно </w:t>
            </w:r>
          </w:p>
        </w:tc>
        <w:tc>
          <w:tcPr>
            <w:tcW w:w="1798" w:type="pct"/>
            <w:vMerge w:val="restart"/>
            <w:vAlign w:val="bottom"/>
          </w:tcPr>
          <w:p w:rsidR="00D95F30" w:rsidRPr="00316A99" w:rsidRDefault="00D95F30" w:rsidP="00D95F30">
            <w:pPr>
              <w:jc w:val="both"/>
              <w:rPr>
                <w:sz w:val="24"/>
                <w:szCs w:val="24"/>
              </w:rPr>
            </w:pPr>
            <w:r w:rsidRPr="00316A99">
              <w:rPr>
                <w:sz w:val="24"/>
                <w:szCs w:val="24"/>
              </w:rPr>
              <w:t xml:space="preserve">Глава 1 </w:t>
            </w:r>
            <w:r w:rsidRPr="00316A99">
              <w:rPr>
                <w:rFonts w:eastAsia="Times New Roman"/>
                <w:sz w:val="24"/>
                <w:szCs w:val="24"/>
              </w:rPr>
              <w:t>Инструкции Банка России № 153-И</w:t>
            </w:r>
          </w:p>
        </w:tc>
      </w:tr>
      <w:tr w:rsidR="00D95F30" w:rsidRPr="00316A99" w:rsidTr="00B133B1">
        <w:trPr>
          <w:trHeight w:val="276"/>
        </w:trPr>
        <w:tc>
          <w:tcPr>
            <w:tcW w:w="2798" w:type="pct"/>
            <w:vMerge/>
            <w:vAlign w:val="bottom"/>
          </w:tcPr>
          <w:p w:rsidR="00D95F30" w:rsidRPr="00316A99" w:rsidRDefault="00D95F30" w:rsidP="00D95F30">
            <w:pPr>
              <w:rPr>
                <w:sz w:val="24"/>
                <w:szCs w:val="24"/>
              </w:rPr>
            </w:pPr>
          </w:p>
        </w:tc>
        <w:tc>
          <w:tcPr>
            <w:tcW w:w="404" w:type="pct"/>
            <w:vMerge/>
            <w:vAlign w:val="bottom"/>
          </w:tcPr>
          <w:p w:rsidR="00D95F30" w:rsidRPr="00316A99" w:rsidRDefault="00D95F30" w:rsidP="00D95F30">
            <w:pPr>
              <w:rPr>
                <w:sz w:val="24"/>
                <w:szCs w:val="24"/>
              </w:rPr>
            </w:pPr>
          </w:p>
        </w:tc>
        <w:tc>
          <w:tcPr>
            <w:tcW w:w="1798" w:type="pct"/>
            <w:vMerge/>
            <w:vAlign w:val="bottom"/>
          </w:tcPr>
          <w:p w:rsidR="00D95F30" w:rsidRPr="00316A99" w:rsidRDefault="00D95F30" w:rsidP="00D95F30">
            <w:pPr>
              <w:rPr>
                <w:sz w:val="24"/>
                <w:szCs w:val="24"/>
              </w:rPr>
            </w:pPr>
          </w:p>
        </w:tc>
      </w:tr>
      <w:tr w:rsidR="00D95F30" w:rsidRPr="00316A99" w:rsidTr="00B133B1">
        <w:trPr>
          <w:trHeight w:val="281"/>
        </w:trPr>
        <w:tc>
          <w:tcPr>
            <w:tcW w:w="2798" w:type="pct"/>
            <w:vMerge/>
            <w:vAlign w:val="bottom"/>
          </w:tcPr>
          <w:p w:rsidR="00D95F30" w:rsidRPr="00316A99" w:rsidRDefault="00D95F30" w:rsidP="00D95F30">
            <w:pPr>
              <w:rPr>
                <w:sz w:val="24"/>
                <w:szCs w:val="24"/>
              </w:rPr>
            </w:pPr>
          </w:p>
        </w:tc>
        <w:tc>
          <w:tcPr>
            <w:tcW w:w="404" w:type="pct"/>
            <w:vMerge/>
            <w:vAlign w:val="bottom"/>
          </w:tcPr>
          <w:p w:rsidR="00D95F30" w:rsidRPr="00316A99" w:rsidRDefault="00D95F30" w:rsidP="00D95F30">
            <w:pPr>
              <w:rPr>
                <w:sz w:val="24"/>
                <w:szCs w:val="24"/>
              </w:rPr>
            </w:pPr>
          </w:p>
        </w:tc>
        <w:tc>
          <w:tcPr>
            <w:tcW w:w="1798" w:type="pct"/>
            <w:vMerge/>
            <w:vAlign w:val="bottom"/>
          </w:tcPr>
          <w:p w:rsidR="00D95F30" w:rsidRPr="00316A99" w:rsidRDefault="00D95F30" w:rsidP="00D95F30">
            <w:pPr>
              <w:rPr>
                <w:sz w:val="24"/>
                <w:szCs w:val="24"/>
              </w:rPr>
            </w:pPr>
          </w:p>
        </w:tc>
      </w:tr>
      <w:tr w:rsidR="00D95F30" w:rsidRPr="00316A99" w:rsidTr="00B133B1">
        <w:trPr>
          <w:trHeight w:val="276"/>
        </w:trPr>
        <w:tc>
          <w:tcPr>
            <w:tcW w:w="2798" w:type="pct"/>
            <w:vMerge w:val="restart"/>
            <w:vAlign w:val="bottom"/>
          </w:tcPr>
          <w:p w:rsidR="00D95F30" w:rsidRPr="00316A99" w:rsidRDefault="00D95F30" w:rsidP="00D95F30">
            <w:pPr>
              <w:jc w:val="both"/>
              <w:rPr>
                <w:sz w:val="24"/>
                <w:szCs w:val="24"/>
              </w:rPr>
            </w:pPr>
            <w:r w:rsidRPr="00316A99">
              <w:rPr>
                <w:rFonts w:eastAsia="Times New Roman"/>
                <w:sz w:val="24"/>
                <w:szCs w:val="24"/>
              </w:rPr>
              <w:lastRenderedPageBreak/>
              <w:t>12.</w:t>
            </w:r>
            <w:r w:rsidRPr="00316A99">
              <w:rPr>
                <w:sz w:val="24"/>
                <w:szCs w:val="24"/>
              </w:rPr>
              <w:t xml:space="preserve"> </w:t>
            </w:r>
            <w:proofErr w:type="gramStart"/>
            <w:r w:rsidRPr="00316A99">
              <w:rPr>
                <w:rFonts w:eastAsia="Times New Roman"/>
                <w:sz w:val="24"/>
                <w:szCs w:val="24"/>
              </w:rPr>
              <w:t>По  окончании</w:t>
            </w:r>
            <w:proofErr w:type="gramEnd"/>
            <w:r w:rsidRPr="00316A99">
              <w:rPr>
                <w:rFonts w:eastAsia="Times New Roman"/>
                <w:sz w:val="24"/>
                <w:szCs w:val="24"/>
              </w:rPr>
              <w:t xml:space="preserve">  срока  действия  договора  банковского счета клиент обязан сдать в банк неиспользованные денежные </w:t>
            </w:r>
            <w:r w:rsidRPr="00316A99">
              <w:rPr>
                <w:rFonts w:eastAsia="Times New Roman"/>
                <w:w w:val="99"/>
                <w:sz w:val="24"/>
                <w:szCs w:val="24"/>
              </w:rPr>
              <w:t xml:space="preserve">чековые книжки с оставшимися неиспользованными </w:t>
            </w:r>
            <w:r w:rsidRPr="00316A99">
              <w:rPr>
                <w:rFonts w:eastAsia="Times New Roman"/>
                <w:sz w:val="24"/>
                <w:szCs w:val="24"/>
              </w:rPr>
              <w:t>денежными чеками и корешками</w:t>
            </w:r>
          </w:p>
        </w:tc>
        <w:tc>
          <w:tcPr>
            <w:tcW w:w="404" w:type="pct"/>
            <w:vMerge w:val="restart"/>
            <w:vAlign w:val="bottom"/>
          </w:tcPr>
          <w:p w:rsidR="00D95F30" w:rsidRPr="00316A99" w:rsidRDefault="00D95F30" w:rsidP="00D95F30">
            <w:pPr>
              <w:jc w:val="center"/>
              <w:rPr>
                <w:i/>
                <w:sz w:val="24"/>
                <w:szCs w:val="24"/>
              </w:rPr>
            </w:pPr>
            <w:r w:rsidRPr="00316A99">
              <w:rPr>
                <w:i/>
                <w:sz w:val="24"/>
                <w:szCs w:val="24"/>
              </w:rPr>
              <w:t xml:space="preserve">Верно </w:t>
            </w:r>
          </w:p>
        </w:tc>
        <w:tc>
          <w:tcPr>
            <w:tcW w:w="1798" w:type="pct"/>
            <w:vMerge w:val="restart"/>
            <w:vAlign w:val="bottom"/>
          </w:tcPr>
          <w:p w:rsidR="00D95F30" w:rsidRPr="00316A99" w:rsidRDefault="00D95F30" w:rsidP="00D95F30">
            <w:pPr>
              <w:rPr>
                <w:sz w:val="24"/>
                <w:szCs w:val="24"/>
              </w:rPr>
            </w:pPr>
            <w:r w:rsidRPr="00316A99">
              <w:rPr>
                <w:sz w:val="24"/>
                <w:szCs w:val="24"/>
              </w:rPr>
              <w:t xml:space="preserve">Глава 8 </w:t>
            </w:r>
            <w:r w:rsidRPr="00316A99">
              <w:rPr>
                <w:rFonts w:eastAsia="Times New Roman"/>
                <w:sz w:val="24"/>
                <w:szCs w:val="24"/>
              </w:rPr>
              <w:t>Инструкции Банка России № 153-И</w:t>
            </w:r>
          </w:p>
        </w:tc>
      </w:tr>
      <w:tr w:rsidR="00D95F30" w:rsidRPr="00316A99" w:rsidTr="00B133B1">
        <w:trPr>
          <w:trHeight w:val="276"/>
        </w:trPr>
        <w:tc>
          <w:tcPr>
            <w:tcW w:w="2798" w:type="pct"/>
            <w:vMerge/>
            <w:vAlign w:val="bottom"/>
          </w:tcPr>
          <w:p w:rsidR="00D95F30" w:rsidRPr="00316A99" w:rsidRDefault="00D95F30" w:rsidP="00D95F30">
            <w:pPr>
              <w:rPr>
                <w:sz w:val="24"/>
                <w:szCs w:val="24"/>
              </w:rPr>
            </w:pPr>
          </w:p>
        </w:tc>
        <w:tc>
          <w:tcPr>
            <w:tcW w:w="404" w:type="pct"/>
            <w:vMerge/>
            <w:vAlign w:val="bottom"/>
          </w:tcPr>
          <w:p w:rsidR="00D95F30" w:rsidRPr="00316A99" w:rsidRDefault="00D95F30" w:rsidP="00D95F30">
            <w:pPr>
              <w:rPr>
                <w:sz w:val="24"/>
                <w:szCs w:val="24"/>
              </w:rPr>
            </w:pPr>
          </w:p>
        </w:tc>
        <w:tc>
          <w:tcPr>
            <w:tcW w:w="1798" w:type="pct"/>
            <w:vMerge/>
            <w:vAlign w:val="bottom"/>
          </w:tcPr>
          <w:p w:rsidR="00D95F30" w:rsidRPr="00316A99" w:rsidRDefault="00D95F30" w:rsidP="00D95F30">
            <w:pPr>
              <w:rPr>
                <w:sz w:val="24"/>
                <w:szCs w:val="24"/>
              </w:rPr>
            </w:pPr>
          </w:p>
        </w:tc>
      </w:tr>
      <w:tr w:rsidR="00D95F30" w:rsidRPr="00316A99" w:rsidTr="00B133B1">
        <w:trPr>
          <w:trHeight w:val="276"/>
        </w:trPr>
        <w:tc>
          <w:tcPr>
            <w:tcW w:w="2798" w:type="pct"/>
            <w:vMerge/>
            <w:vAlign w:val="bottom"/>
          </w:tcPr>
          <w:p w:rsidR="00D95F30" w:rsidRPr="00316A99" w:rsidRDefault="00D95F30" w:rsidP="00D95F30">
            <w:pPr>
              <w:rPr>
                <w:sz w:val="24"/>
                <w:szCs w:val="24"/>
              </w:rPr>
            </w:pPr>
          </w:p>
        </w:tc>
        <w:tc>
          <w:tcPr>
            <w:tcW w:w="404" w:type="pct"/>
            <w:vMerge/>
            <w:vAlign w:val="bottom"/>
          </w:tcPr>
          <w:p w:rsidR="00D95F30" w:rsidRPr="00316A99" w:rsidRDefault="00D95F30" w:rsidP="00D95F30">
            <w:pPr>
              <w:rPr>
                <w:sz w:val="24"/>
                <w:szCs w:val="24"/>
              </w:rPr>
            </w:pPr>
          </w:p>
        </w:tc>
        <w:tc>
          <w:tcPr>
            <w:tcW w:w="1798" w:type="pct"/>
            <w:vMerge/>
            <w:vAlign w:val="bottom"/>
          </w:tcPr>
          <w:p w:rsidR="00D95F30" w:rsidRPr="00316A99" w:rsidRDefault="00D95F30" w:rsidP="00D95F30">
            <w:pPr>
              <w:rPr>
                <w:sz w:val="24"/>
                <w:szCs w:val="24"/>
              </w:rPr>
            </w:pPr>
          </w:p>
        </w:tc>
      </w:tr>
      <w:tr w:rsidR="00D95F30" w:rsidRPr="00316A99" w:rsidTr="00B133B1">
        <w:trPr>
          <w:trHeight w:val="281"/>
        </w:trPr>
        <w:tc>
          <w:tcPr>
            <w:tcW w:w="2798" w:type="pct"/>
            <w:vMerge/>
            <w:vAlign w:val="bottom"/>
          </w:tcPr>
          <w:p w:rsidR="00D95F30" w:rsidRPr="00316A99" w:rsidRDefault="00D95F30" w:rsidP="00D95F30">
            <w:pPr>
              <w:rPr>
                <w:sz w:val="24"/>
                <w:szCs w:val="24"/>
              </w:rPr>
            </w:pPr>
          </w:p>
        </w:tc>
        <w:tc>
          <w:tcPr>
            <w:tcW w:w="404" w:type="pct"/>
            <w:vMerge/>
            <w:vAlign w:val="bottom"/>
          </w:tcPr>
          <w:p w:rsidR="00D95F30" w:rsidRPr="00316A99" w:rsidRDefault="00D95F30" w:rsidP="00D95F30">
            <w:pPr>
              <w:rPr>
                <w:sz w:val="24"/>
                <w:szCs w:val="24"/>
              </w:rPr>
            </w:pPr>
          </w:p>
        </w:tc>
        <w:tc>
          <w:tcPr>
            <w:tcW w:w="1798" w:type="pct"/>
            <w:vMerge/>
            <w:vAlign w:val="bottom"/>
          </w:tcPr>
          <w:p w:rsidR="00D95F30" w:rsidRPr="00316A99" w:rsidRDefault="00D95F30" w:rsidP="00D95F30">
            <w:pPr>
              <w:rPr>
                <w:sz w:val="24"/>
                <w:szCs w:val="24"/>
              </w:rPr>
            </w:pPr>
          </w:p>
        </w:tc>
      </w:tr>
      <w:tr w:rsidR="00316A99" w:rsidRPr="00316A99" w:rsidTr="00B133B1">
        <w:trPr>
          <w:trHeight w:val="281"/>
        </w:trPr>
        <w:tc>
          <w:tcPr>
            <w:tcW w:w="2798" w:type="pct"/>
            <w:vAlign w:val="bottom"/>
          </w:tcPr>
          <w:p w:rsidR="00316A99" w:rsidRPr="00316A99" w:rsidRDefault="00316A99" w:rsidP="00D95F30">
            <w:pPr>
              <w:rPr>
                <w:sz w:val="24"/>
                <w:szCs w:val="24"/>
              </w:rPr>
            </w:pPr>
            <w:r w:rsidRPr="00316A99">
              <w:rPr>
                <w:rFonts w:eastAsia="Times New Roman"/>
                <w:sz w:val="24"/>
                <w:szCs w:val="24"/>
              </w:rPr>
              <w:t>13. Одно юридическое дело не может формироваться по нескольким счетам клиента</w:t>
            </w:r>
          </w:p>
        </w:tc>
        <w:tc>
          <w:tcPr>
            <w:tcW w:w="404" w:type="pct"/>
            <w:vAlign w:val="bottom"/>
          </w:tcPr>
          <w:p w:rsidR="00316A99" w:rsidRPr="00316A99" w:rsidRDefault="00316A99" w:rsidP="00316A99">
            <w:pPr>
              <w:jc w:val="center"/>
              <w:rPr>
                <w:i/>
                <w:sz w:val="24"/>
                <w:szCs w:val="24"/>
              </w:rPr>
            </w:pPr>
            <w:r w:rsidRPr="00316A99">
              <w:rPr>
                <w:i/>
                <w:sz w:val="24"/>
                <w:szCs w:val="24"/>
              </w:rPr>
              <w:t>Верно</w:t>
            </w:r>
          </w:p>
        </w:tc>
        <w:tc>
          <w:tcPr>
            <w:tcW w:w="1798" w:type="pct"/>
            <w:vAlign w:val="bottom"/>
          </w:tcPr>
          <w:p w:rsidR="00316A99" w:rsidRPr="00316A99" w:rsidRDefault="00316A99" w:rsidP="00D95F30">
            <w:pPr>
              <w:rPr>
                <w:sz w:val="24"/>
                <w:szCs w:val="24"/>
              </w:rPr>
            </w:pPr>
            <w:r w:rsidRPr="00316A99">
              <w:rPr>
                <w:sz w:val="24"/>
                <w:szCs w:val="24"/>
              </w:rPr>
              <w:t xml:space="preserve">Глава 10 </w:t>
            </w:r>
            <w:r w:rsidRPr="00316A99">
              <w:rPr>
                <w:rFonts w:eastAsia="Times New Roman"/>
                <w:sz w:val="24"/>
                <w:szCs w:val="24"/>
              </w:rPr>
              <w:t>Инструкции Банка России № 153-И</w:t>
            </w:r>
          </w:p>
        </w:tc>
      </w:tr>
      <w:tr w:rsidR="00316A99" w:rsidRPr="00316A99" w:rsidTr="00B133B1">
        <w:trPr>
          <w:trHeight w:val="281"/>
        </w:trPr>
        <w:tc>
          <w:tcPr>
            <w:tcW w:w="2798" w:type="pct"/>
            <w:vAlign w:val="bottom"/>
          </w:tcPr>
          <w:p w:rsidR="00316A99" w:rsidRPr="00316A99" w:rsidRDefault="00316A99" w:rsidP="00316A99">
            <w:pPr>
              <w:tabs>
                <w:tab w:val="left" w:pos="820"/>
              </w:tabs>
              <w:rPr>
                <w:rFonts w:eastAsia="Times New Roman"/>
                <w:sz w:val="24"/>
                <w:szCs w:val="24"/>
              </w:rPr>
            </w:pPr>
            <w:r w:rsidRPr="00316A99">
              <w:rPr>
                <w:rFonts w:eastAsia="Times New Roman"/>
                <w:sz w:val="24"/>
                <w:szCs w:val="24"/>
              </w:rPr>
              <w:t>14. Банк клиенту может открыть только один счёт.</w:t>
            </w:r>
          </w:p>
        </w:tc>
        <w:tc>
          <w:tcPr>
            <w:tcW w:w="404" w:type="pct"/>
            <w:vAlign w:val="bottom"/>
          </w:tcPr>
          <w:p w:rsidR="00316A99" w:rsidRPr="00316A99" w:rsidRDefault="00316A99" w:rsidP="00316A99">
            <w:pPr>
              <w:jc w:val="center"/>
              <w:rPr>
                <w:i/>
                <w:sz w:val="24"/>
                <w:szCs w:val="24"/>
              </w:rPr>
            </w:pPr>
            <w:r w:rsidRPr="00316A99">
              <w:rPr>
                <w:i/>
                <w:sz w:val="24"/>
                <w:szCs w:val="24"/>
              </w:rPr>
              <w:t>Неверно</w:t>
            </w:r>
          </w:p>
        </w:tc>
        <w:tc>
          <w:tcPr>
            <w:tcW w:w="1798" w:type="pct"/>
            <w:vAlign w:val="bottom"/>
          </w:tcPr>
          <w:p w:rsidR="00316A99" w:rsidRPr="00316A99" w:rsidRDefault="00316A99" w:rsidP="00D95F30">
            <w:pPr>
              <w:rPr>
                <w:sz w:val="24"/>
                <w:szCs w:val="24"/>
              </w:rPr>
            </w:pPr>
            <w:r w:rsidRPr="00316A99">
              <w:rPr>
                <w:sz w:val="24"/>
                <w:szCs w:val="24"/>
              </w:rPr>
              <w:t xml:space="preserve">Глава 1 </w:t>
            </w:r>
            <w:r w:rsidRPr="00316A99">
              <w:rPr>
                <w:rFonts w:eastAsia="Times New Roman"/>
                <w:sz w:val="24"/>
                <w:szCs w:val="24"/>
              </w:rPr>
              <w:t>Инструкции Банка России № 153-И</w:t>
            </w:r>
          </w:p>
        </w:tc>
      </w:tr>
      <w:tr w:rsidR="00316A99" w:rsidRPr="00316A99" w:rsidTr="00B133B1">
        <w:trPr>
          <w:trHeight w:val="281"/>
        </w:trPr>
        <w:tc>
          <w:tcPr>
            <w:tcW w:w="2798" w:type="pct"/>
            <w:vAlign w:val="bottom"/>
          </w:tcPr>
          <w:p w:rsidR="00316A99" w:rsidRPr="00316A99" w:rsidRDefault="00316A99" w:rsidP="00316A99">
            <w:pPr>
              <w:pStyle w:val="Default"/>
              <w:jc w:val="both"/>
            </w:pPr>
            <w:r w:rsidRPr="00316A99">
              <w:t>15. Запись об открытии лицевого счета должна быть внесена в Книгу регистрации открытых счетов не позднее рабочего дня, следующего за днем заключения (или вступления в силу) договора счета соответствующего вида</w:t>
            </w:r>
          </w:p>
        </w:tc>
        <w:tc>
          <w:tcPr>
            <w:tcW w:w="404" w:type="pct"/>
            <w:vAlign w:val="bottom"/>
          </w:tcPr>
          <w:p w:rsidR="00316A99" w:rsidRPr="00316A99" w:rsidRDefault="00316A99" w:rsidP="00316A99">
            <w:pPr>
              <w:jc w:val="center"/>
              <w:rPr>
                <w:i/>
                <w:sz w:val="24"/>
                <w:szCs w:val="24"/>
              </w:rPr>
            </w:pPr>
            <w:r w:rsidRPr="00316A99">
              <w:rPr>
                <w:i/>
                <w:sz w:val="24"/>
                <w:szCs w:val="24"/>
              </w:rPr>
              <w:t>Верно</w:t>
            </w:r>
          </w:p>
        </w:tc>
        <w:tc>
          <w:tcPr>
            <w:tcW w:w="1798" w:type="pct"/>
            <w:vAlign w:val="bottom"/>
          </w:tcPr>
          <w:p w:rsidR="00316A99" w:rsidRPr="00316A99" w:rsidRDefault="00316A99" w:rsidP="00316A99">
            <w:pPr>
              <w:rPr>
                <w:sz w:val="24"/>
                <w:szCs w:val="24"/>
              </w:rPr>
            </w:pPr>
            <w:r w:rsidRPr="00316A99">
              <w:rPr>
                <w:sz w:val="24"/>
                <w:szCs w:val="24"/>
              </w:rPr>
              <w:t xml:space="preserve">Глава 1 </w:t>
            </w:r>
            <w:r w:rsidRPr="00316A99">
              <w:rPr>
                <w:rFonts w:eastAsia="Times New Roman"/>
                <w:sz w:val="24"/>
                <w:szCs w:val="24"/>
              </w:rPr>
              <w:t>Инструкции Банка России № 153-И</w:t>
            </w:r>
          </w:p>
        </w:tc>
      </w:tr>
      <w:tr w:rsidR="00316A99" w:rsidRPr="00316A99" w:rsidTr="00C622A6">
        <w:trPr>
          <w:trHeight w:val="281"/>
        </w:trPr>
        <w:tc>
          <w:tcPr>
            <w:tcW w:w="2798" w:type="pct"/>
          </w:tcPr>
          <w:p w:rsidR="00316A99" w:rsidRDefault="00316A99" w:rsidP="00316A99">
            <w:pPr>
              <w:pStyle w:val="Default"/>
              <w:jc w:val="both"/>
              <w:rPr>
                <w:sz w:val="23"/>
                <w:szCs w:val="23"/>
              </w:rPr>
            </w:pPr>
            <w:r>
              <w:rPr>
                <w:sz w:val="23"/>
                <w:szCs w:val="23"/>
              </w:rPr>
              <w:t>16. Утратившие силу карточки с образцами подписей и оттиска печати хранятся в юридическом деле клиента</w:t>
            </w:r>
          </w:p>
        </w:tc>
        <w:tc>
          <w:tcPr>
            <w:tcW w:w="404" w:type="pct"/>
            <w:vAlign w:val="bottom"/>
          </w:tcPr>
          <w:p w:rsidR="00316A99" w:rsidRPr="00316A99" w:rsidRDefault="00316A99" w:rsidP="00316A99">
            <w:pPr>
              <w:jc w:val="center"/>
              <w:rPr>
                <w:i/>
                <w:sz w:val="24"/>
                <w:szCs w:val="24"/>
              </w:rPr>
            </w:pPr>
            <w:r w:rsidRPr="00316A99">
              <w:rPr>
                <w:i/>
                <w:sz w:val="24"/>
                <w:szCs w:val="24"/>
              </w:rPr>
              <w:t>Неверно</w:t>
            </w:r>
          </w:p>
        </w:tc>
        <w:tc>
          <w:tcPr>
            <w:tcW w:w="1798" w:type="pct"/>
            <w:vAlign w:val="bottom"/>
          </w:tcPr>
          <w:p w:rsidR="00316A99" w:rsidRPr="00316A99" w:rsidRDefault="00316A99" w:rsidP="00316A99">
            <w:pPr>
              <w:rPr>
                <w:sz w:val="24"/>
                <w:szCs w:val="24"/>
              </w:rPr>
            </w:pPr>
            <w:r w:rsidRPr="00316A99">
              <w:rPr>
                <w:sz w:val="24"/>
                <w:szCs w:val="24"/>
              </w:rPr>
              <w:t xml:space="preserve">Глава </w:t>
            </w:r>
            <w:r>
              <w:rPr>
                <w:sz w:val="24"/>
                <w:szCs w:val="24"/>
              </w:rPr>
              <w:t>7</w:t>
            </w:r>
            <w:r w:rsidRPr="00316A99">
              <w:rPr>
                <w:sz w:val="24"/>
                <w:szCs w:val="24"/>
              </w:rPr>
              <w:t xml:space="preserve"> </w:t>
            </w:r>
            <w:r w:rsidRPr="00316A99">
              <w:rPr>
                <w:rFonts w:eastAsia="Times New Roman"/>
                <w:sz w:val="24"/>
                <w:szCs w:val="24"/>
              </w:rPr>
              <w:t>Инструкции Банка России № 153-И</w:t>
            </w:r>
          </w:p>
        </w:tc>
      </w:tr>
      <w:tr w:rsidR="00316A99" w:rsidRPr="00316A99" w:rsidTr="00C622A6">
        <w:trPr>
          <w:trHeight w:val="281"/>
        </w:trPr>
        <w:tc>
          <w:tcPr>
            <w:tcW w:w="2798" w:type="pct"/>
          </w:tcPr>
          <w:p w:rsidR="00316A99" w:rsidRDefault="00316A99" w:rsidP="00316A99">
            <w:pPr>
              <w:pStyle w:val="Default"/>
              <w:jc w:val="both"/>
              <w:rPr>
                <w:sz w:val="23"/>
                <w:szCs w:val="23"/>
              </w:rPr>
            </w:pPr>
            <w:r>
              <w:rPr>
                <w:sz w:val="23"/>
                <w:szCs w:val="23"/>
              </w:rPr>
              <w:t>17. Банк обязан отказать клиенту в заключении договора банковского счета, если не представлены документы, необходимые для его идентификации</w:t>
            </w:r>
          </w:p>
        </w:tc>
        <w:tc>
          <w:tcPr>
            <w:tcW w:w="404" w:type="pct"/>
            <w:vAlign w:val="bottom"/>
          </w:tcPr>
          <w:p w:rsidR="00316A99" w:rsidRPr="00316A99" w:rsidRDefault="00316A99" w:rsidP="00316A99">
            <w:pPr>
              <w:jc w:val="center"/>
              <w:rPr>
                <w:i/>
                <w:sz w:val="24"/>
                <w:szCs w:val="24"/>
              </w:rPr>
            </w:pPr>
            <w:r w:rsidRPr="00316A99">
              <w:rPr>
                <w:i/>
                <w:sz w:val="24"/>
                <w:szCs w:val="24"/>
              </w:rPr>
              <w:t>Верно</w:t>
            </w:r>
          </w:p>
        </w:tc>
        <w:tc>
          <w:tcPr>
            <w:tcW w:w="1798" w:type="pct"/>
            <w:vAlign w:val="bottom"/>
          </w:tcPr>
          <w:p w:rsidR="00316A99" w:rsidRPr="00316A99" w:rsidRDefault="00316A99" w:rsidP="00316A99">
            <w:pPr>
              <w:rPr>
                <w:sz w:val="24"/>
                <w:szCs w:val="24"/>
              </w:rPr>
            </w:pPr>
            <w:r w:rsidRPr="00316A99">
              <w:rPr>
                <w:sz w:val="24"/>
                <w:szCs w:val="24"/>
              </w:rPr>
              <w:t xml:space="preserve">Глава 1 </w:t>
            </w:r>
            <w:r w:rsidRPr="00316A99">
              <w:rPr>
                <w:rFonts w:eastAsia="Times New Roman"/>
                <w:sz w:val="24"/>
                <w:szCs w:val="24"/>
              </w:rPr>
              <w:t>Инструкции Банка России № 153-И</w:t>
            </w:r>
          </w:p>
        </w:tc>
      </w:tr>
      <w:tr w:rsidR="00316A99" w:rsidRPr="00316A99" w:rsidTr="00C622A6">
        <w:trPr>
          <w:trHeight w:val="281"/>
        </w:trPr>
        <w:tc>
          <w:tcPr>
            <w:tcW w:w="2798" w:type="pct"/>
          </w:tcPr>
          <w:p w:rsidR="00316A99" w:rsidRDefault="00316A99" w:rsidP="00316A99">
            <w:pPr>
              <w:pStyle w:val="Default"/>
              <w:jc w:val="both"/>
              <w:rPr>
                <w:sz w:val="23"/>
                <w:szCs w:val="23"/>
              </w:rPr>
            </w:pPr>
            <w:r>
              <w:rPr>
                <w:sz w:val="23"/>
                <w:szCs w:val="23"/>
              </w:rPr>
              <w:t>18. Представленные и используемые при обслуживании клиентов карточки с образцами подписей и оттиска печати подлежат хранению в месте, определяемом ЦБ РФ</w:t>
            </w:r>
          </w:p>
        </w:tc>
        <w:tc>
          <w:tcPr>
            <w:tcW w:w="404" w:type="pct"/>
            <w:vAlign w:val="bottom"/>
          </w:tcPr>
          <w:p w:rsidR="00316A99" w:rsidRPr="00316A99" w:rsidRDefault="00316A99" w:rsidP="00316A99">
            <w:pPr>
              <w:jc w:val="center"/>
              <w:rPr>
                <w:i/>
                <w:sz w:val="24"/>
                <w:szCs w:val="24"/>
              </w:rPr>
            </w:pPr>
            <w:r>
              <w:rPr>
                <w:i/>
                <w:sz w:val="24"/>
                <w:szCs w:val="24"/>
              </w:rPr>
              <w:t>В</w:t>
            </w:r>
            <w:r w:rsidRPr="00316A99">
              <w:rPr>
                <w:i/>
                <w:sz w:val="24"/>
                <w:szCs w:val="24"/>
              </w:rPr>
              <w:t>ерно</w:t>
            </w:r>
          </w:p>
        </w:tc>
        <w:tc>
          <w:tcPr>
            <w:tcW w:w="1798" w:type="pct"/>
            <w:vAlign w:val="bottom"/>
          </w:tcPr>
          <w:p w:rsidR="00316A99" w:rsidRPr="00316A99" w:rsidRDefault="00316A99" w:rsidP="00316A99">
            <w:pPr>
              <w:rPr>
                <w:sz w:val="24"/>
                <w:szCs w:val="24"/>
              </w:rPr>
            </w:pPr>
            <w:r w:rsidRPr="00316A99">
              <w:rPr>
                <w:sz w:val="24"/>
                <w:szCs w:val="24"/>
              </w:rPr>
              <w:t xml:space="preserve">Глава </w:t>
            </w:r>
            <w:r>
              <w:rPr>
                <w:sz w:val="24"/>
                <w:szCs w:val="24"/>
              </w:rPr>
              <w:t>7</w:t>
            </w:r>
            <w:r w:rsidRPr="00316A99">
              <w:rPr>
                <w:sz w:val="24"/>
                <w:szCs w:val="24"/>
              </w:rPr>
              <w:t xml:space="preserve"> </w:t>
            </w:r>
            <w:r w:rsidRPr="00316A99">
              <w:rPr>
                <w:rFonts w:eastAsia="Times New Roman"/>
                <w:sz w:val="24"/>
                <w:szCs w:val="24"/>
              </w:rPr>
              <w:t>Инструкции Банка России № 153-И</w:t>
            </w:r>
          </w:p>
        </w:tc>
      </w:tr>
      <w:tr w:rsidR="00316A99" w:rsidRPr="00316A99" w:rsidTr="00C622A6">
        <w:trPr>
          <w:trHeight w:val="281"/>
        </w:trPr>
        <w:tc>
          <w:tcPr>
            <w:tcW w:w="2798" w:type="pct"/>
          </w:tcPr>
          <w:p w:rsidR="00316A99" w:rsidRDefault="00316A99" w:rsidP="00316A99">
            <w:pPr>
              <w:pStyle w:val="Default"/>
              <w:jc w:val="both"/>
              <w:rPr>
                <w:sz w:val="23"/>
                <w:szCs w:val="23"/>
              </w:rPr>
            </w:pPr>
            <w:r>
              <w:rPr>
                <w:sz w:val="23"/>
                <w:szCs w:val="23"/>
              </w:rPr>
              <w:t>19. Банк вправе отказаться от исполнения договора банковского счета, предупредив в письменной форме об этом клиента, при отсутствии в течение одного года денежных средств на счете клиента и операций по этому счету</w:t>
            </w:r>
          </w:p>
        </w:tc>
        <w:tc>
          <w:tcPr>
            <w:tcW w:w="404" w:type="pct"/>
            <w:vAlign w:val="bottom"/>
          </w:tcPr>
          <w:p w:rsidR="00316A99" w:rsidRPr="00316A99" w:rsidRDefault="00273A37" w:rsidP="00316A99">
            <w:pPr>
              <w:jc w:val="center"/>
              <w:rPr>
                <w:i/>
                <w:sz w:val="24"/>
                <w:szCs w:val="24"/>
              </w:rPr>
            </w:pPr>
            <w:r>
              <w:rPr>
                <w:i/>
                <w:sz w:val="24"/>
                <w:szCs w:val="24"/>
              </w:rPr>
              <w:t>Неверно</w:t>
            </w:r>
          </w:p>
        </w:tc>
        <w:tc>
          <w:tcPr>
            <w:tcW w:w="1798" w:type="pct"/>
            <w:vAlign w:val="bottom"/>
          </w:tcPr>
          <w:p w:rsidR="00316A99" w:rsidRPr="00316A99" w:rsidRDefault="00273A37" w:rsidP="00273A37">
            <w:pPr>
              <w:jc w:val="both"/>
              <w:rPr>
                <w:sz w:val="24"/>
                <w:szCs w:val="24"/>
              </w:rPr>
            </w:pPr>
            <w:r>
              <w:rPr>
                <w:sz w:val="24"/>
                <w:szCs w:val="24"/>
              </w:rPr>
              <w:t>ГК РФ ст. 859. Расторжение договора банковского счета</w:t>
            </w:r>
          </w:p>
        </w:tc>
      </w:tr>
      <w:tr w:rsidR="00316A99" w:rsidRPr="00316A99" w:rsidTr="00C622A6">
        <w:trPr>
          <w:trHeight w:val="281"/>
        </w:trPr>
        <w:tc>
          <w:tcPr>
            <w:tcW w:w="2798" w:type="pct"/>
          </w:tcPr>
          <w:p w:rsidR="00316A99" w:rsidRDefault="00316A99" w:rsidP="00273A37">
            <w:pPr>
              <w:pStyle w:val="Default"/>
              <w:jc w:val="both"/>
              <w:rPr>
                <w:sz w:val="23"/>
                <w:szCs w:val="23"/>
              </w:rPr>
            </w:pPr>
            <w:r>
              <w:rPr>
                <w:sz w:val="23"/>
                <w:szCs w:val="23"/>
              </w:rPr>
              <w:t>20. При отсутствии операций по банковскому счету в течение года банк вправе расторгнуть договор банковского счёта</w:t>
            </w:r>
          </w:p>
        </w:tc>
        <w:tc>
          <w:tcPr>
            <w:tcW w:w="404" w:type="pct"/>
            <w:vAlign w:val="bottom"/>
          </w:tcPr>
          <w:p w:rsidR="00316A99" w:rsidRPr="00316A99" w:rsidRDefault="00273A37" w:rsidP="00316A99">
            <w:pPr>
              <w:jc w:val="center"/>
              <w:rPr>
                <w:i/>
                <w:sz w:val="24"/>
                <w:szCs w:val="24"/>
              </w:rPr>
            </w:pPr>
            <w:r>
              <w:rPr>
                <w:i/>
                <w:sz w:val="24"/>
                <w:szCs w:val="24"/>
              </w:rPr>
              <w:t>Верно</w:t>
            </w:r>
          </w:p>
        </w:tc>
        <w:tc>
          <w:tcPr>
            <w:tcW w:w="1798" w:type="pct"/>
            <w:vAlign w:val="bottom"/>
          </w:tcPr>
          <w:p w:rsidR="00316A99" w:rsidRPr="00316A99" w:rsidRDefault="00273A37" w:rsidP="00273A37">
            <w:pPr>
              <w:jc w:val="both"/>
              <w:rPr>
                <w:sz w:val="24"/>
                <w:szCs w:val="24"/>
              </w:rPr>
            </w:pPr>
            <w:r>
              <w:rPr>
                <w:sz w:val="24"/>
                <w:szCs w:val="24"/>
              </w:rPr>
              <w:t>ГК РФ ст. 859. Расторжение договора банковского счета</w:t>
            </w:r>
          </w:p>
        </w:tc>
      </w:tr>
      <w:tr w:rsidR="00316A99" w:rsidRPr="00316A99" w:rsidTr="00C622A6">
        <w:trPr>
          <w:trHeight w:val="281"/>
        </w:trPr>
        <w:tc>
          <w:tcPr>
            <w:tcW w:w="2798" w:type="pct"/>
          </w:tcPr>
          <w:p w:rsidR="00316A99" w:rsidRDefault="00316A99" w:rsidP="00273A37">
            <w:pPr>
              <w:pStyle w:val="Default"/>
              <w:jc w:val="both"/>
              <w:rPr>
                <w:sz w:val="23"/>
                <w:szCs w:val="23"/>
              </w:rPr>
            </w:pPr>
            <w:r>
              <w:rPr>
                <w:sz w:val="23"/>
                <w:szCs w:val="23"/>
              </w:rPr>
              <w:t>21. Наличие неисполненных распоряжений о переводе денежных средств препятствует прекращению договора банковского счета и внесению записи о закрытии соответствующего лицевого счета в Книгу регистрации открытых счетов</w:t>
            </w:r>
          </w:p>
        </w:tc>
        <w:tc>
          <w:tcPr>
            <w:tcW w:w="404" w:type="pct"/>
            <w:vAlign w:val="bottom"/>
          </w:tcPr>
          <w:p w:rsidR="00316A99" w:rsidRPr="00316A99" w:rsidRDefault="00273A37" w:rsidP="00316A99">
            <w:pPr>
              <w:jc w:val="center"/>
              <w:rPr>
                <w:i/>
                <w:sz w:val="24"/>
                <w:szCs w:val="24"/>
              </w:rPr>
            </w:pPr>
            <w:r>
              <w:rPr>
                <w:i/>
                <w:sz w:val="24"/>
                <w:szCs w:val="24"/>
              </w:rPr>
              <w:t>Неверно</w:t>
            </w:r>
          </w:p>
        </w:tc>
        <w:tc>
          <w:tcPr>
            <w:tcW w:w="1798" w:type="pct"/>
            <w:vAlign w:val="bottom"/>
          </w:tcPr>
          <w:p w:rsidR="00316A99" w:rsidRPr="00316A99" w:rsidRDefault="00273A37" w:rsidP="00316A99">
            <w:pPr>
              <w:rPr>
                <w:sz w:val="24"/>
                <w:szCs w:val="24"/>
              </w:rPr>
            </w:pPr>
            <w:r w:rsidRPr="00316A99">
              <w:rPr>
                <w:sz w:val="24"/>
                <w:szCs w:val="24"/>
              </w:rPr>
              <w:t xml:space="preserve">Глава </w:t>
            </w:r>
            <w:r>
              <w:rPr>
                <w:sz w:val="24"/>
                <w:szCs w:val="24"/>
              </w:rPr>
              <w:t>8</w:t>
            </w:r>
            <w:r w:rsidRPr="00316A99">
              <w:rPr>
                <w:sz w:val="24"/>
                <w:szCs w:val="24"/>
              </w:rPr>
              <w:t xml:space="preserve"> </w:t>
            </w:r>
            <w:r w:rsidRPr="00316A99">
              <w:rPr>
                <w:rFonts w:eastAsia="Times New Roman"/>
                <w:sz w:val="24"/>
                <w:szCs w:val="24"/>
              </w:rPr>
              <w:t>Инструкции Банка России № 153-И</w:t>
            </w:r>
          </w:p>
        </w:tc>
      </w:tr>
      <w:tr w:rsidR="00273A37" w:rsidRPr="00316A99" w:rsidTr="00C622A6">
        <w:trPr>
          <w:trHeight w:val="281"/>
        </w:trPr>
        <w:tc>
          <w:tcPr>
            <w:tcW w:w="2798" w:type="pct"/>
          </w:tcPr>
          <w:p w:rsidR="00273A37" w:rsidRDefault="00273A37" w:rsidP="00273A37">
            <w:pPr>
              <w:pStyle w:val="Default"/>
              <w:jc w:val="both"/>
              <w:rPr>
                <w:sz w:val="23"/>
                <w:szCs w:val="23"/>
              </w:rPr>
            </w:pPr>
            <w:r>
              <w:rPr>
                <w:sz w:val="23"/>
                <w:szCs w:val="23"/>
              </w:rPr>
              <w:t>22. Банк принимает карточку с образцами подписей и оттиска печати, в которой подлинность подписей обязательно засвидетельствована двумя нотариусами</w:t>
            </w:r>
          </w:p>
        </w:tc>
        <w:tc>
          <w:tcPr>
            <w:tcW w:w="404" w:type="pct"/>
            <w:vAlign w:val="bottom"/>
          </w:tcPr>
          <w:p w:rsidR="00273A37" w:rsidRPr="00316A99" w:rsidRDefault="00273A37" w:rsidP="00273A37">
            <w:pPr>
              <w:jc w:val="center"/>
              <w:rPr>
                <w:i/>
                <w:sz w:val="24"/>
                <w:szCs w:val="24"/>
              </w:rPr>
            </w:pPr>
            <w:r>
              <w:rPr>
                <w:i/>
                <w:sz w:val="24"/>
                <w:szCs w:val="24"/>
              </w:rPr>
              <w:t>В</w:t>
            </w:r>
            <w:r w:rsidRPr="00316A99">
              <w:rPr>
                <w:i/>
                <w:sz w:val="24"/>
                <w:szCs w:val="24"/>
              </w:rPr>
              <w:t>ерно</w:t>
            </w:r>
          </w:p>
        </w:tc>
        <w:tc>
          <w:tcPr>
            <w:tcW w:w="1798" w:type="pct"/>
            <w:vAlign w:val="bottom"/>
          </w:tcPr>
          <w:p w:rsidR="00273A37" w:rsidRPr="00316A99" w:rsidRDefault="00273A37" w:rsidP="00273A37">
            <w:pPr>
              <w:rPr>
                <w:sz w:val="24"/>
                <w:szCs w:val="24"/>
              </w:rPr>
            </w:pPr>
            <w:r w:rsidRPr="00316A99">
              <w:rPr>
                <w:sz w:val="24"/>
                <w:szCs w:val="24"/>
              </w:rPr>
              <w:t xml:space="preserve">Глава </w:t>
            </w:r>
            <w:r>
              <w:rPr>
                <w:sz w:val="24"/>
                <w:szCs w:val="24"/>
              </w:rPr>
              <w:t>7</w:t>
            </w:r>
            <w:r w:rsidRPr="00316A99">
              <w:rPr>
                <w:sz w:val="24"/>
                <w:szCs w:val="24"/>
              </w:rPr>
              <w:t xml:space="preserve"> </w:t>
            </w:r>
            <w:r w:rsidRPr="00316A99">
              <w:rPr>
                <w:rFonts w:eastAsia="Times New Roman"/>
                <w:sz w:val="24"/>
                <w:szCs w:val="24"/>
              </w:rPr>
              <w:t>Инструкции Банка России № 153-И</w:t>
            </w:r>
          </w:p>
        </w:tc>
      </w:tr>
      <w:tr w:rsidR="00273A37" w:rsidRPr="00316A99" w:rsidTr="00C622A6">
        <w:trPr>
          <w:trHeight w:val="281"/>
        </w:trPr>
        <w:tc>
          <w:tcPr>
            <w:tcW w:w="2798" w:type="pct"/>
          </w:tcPr>
          <w:p w:rsidR="00273A37" w:rsidRDefault="00273A37" w:rsidP="00273A37">
            <w:pPr>
              <w:pStyle w:val="Default"/>
              <w:jc w:val="both"/>
              <w:rPr>
                <w:sz w:val="23"/>
                <w:szCs w:val="23"/>
              </w:rPr>
            </w:pPr>
            <w:r>
              <w:rPr>
                <w:sz w:val="23"/>
                <w:szCs w:val="23"/>
              </w:rPr>
              <w:t>23. Сведения, составляющие банковскую тайну, могут быть предоставлены только самим клиентам или их представителям, а также представлены в бюро кредитных историй</w:t>
            </w:r>
          </w:p>
        </w:tc>
        <w:tc>
          <w:tcPr>
            <w:tcW w:w="404" w:type="pct"/>
            <w:vAlign w:val="bottom"/>
          </w:tcPr>
          <w:p w:rsidR="00273A37" w:rsidRPr="00316A99" w:rsidRDefault="00273A37" w:rsidP="00273A37">
            <w:pPr>
              <w:jc w:val="center"/>
              <w:rPr>
                <w:i/>
                <w:sz w:val="24"/>
                <w:szCs w:val="24"/>
              </w:rPr>
            </w:pPr>
            <w:r>
              <w:rPr>
                <w:i/>
                <w:sz w:val="24"/>
                <w:szCs w:val="24"/>
              </w:rPr>
              <w:t>Верно</w:t>
            </w:r>
          </w:p>
        </w:tc>
        <w:tc>
          <w:tcPr>
            <w:tcW w:w="1798" w:type="pct"/>
            <w:vAlign w:val="bottom"/>
          </w:tcPr>
          <w:p w:rsidR="00273A37" w:rsidRPr="00316A99" w:rsidRDefault="00273A37" w:rsidP="00273A37">
            <w:pPr>
              <w:jc w:val="both"/>
              <w:rPr>
                <w:sz w:val="24"/>
                <w:szCs w:val="24"/>
              </w:rPr>
            </w:pPr>
            <w:r>
              <w:rPr>
                <w:sz w:val="24"/>
                <w:szCs w:val="24"/>
              </w:rPr>
              <w:t>ГК РФ ст. 857. Банковская тайна</w:t>
            </w:r>
          </w:p>
        </w:tc>
      </w:tr>
      <w:tr w:rsidR="00273A37" w:rsidRPr="00316A99" w:rsidTr="00C622A6">
        <w:trPr>
          <w:trHeight w:val="281"/>
        </w:trPr>
        <w:tc>
          <w:tcPr>
            <w:tcW w:w="2798" w:type="pct"/>
          </w:tcPr>
          <w:p w:rsidR="00273A37" w:rsidRDefault="00273A37" w:rsidP="00273A37">
            <w:pPr>
              <w:pStyle w:val="Default"/>
              <w:jc w:val="both"/>
              <w:rPr>
                <w:sz w:val="23"/>
                <w:szCs w:val="23"/>
              </w:rPr>
            </w:pPr>
            <w:r>
              <w:rPr>
                <w:sz w:val="23"/>
                <w:szCs w:val="23"/>
              </w:rPr>
              <w:t>24. В случае разглашения банком сведений, составляющих банковскую тайну, клиент, права которого нарушены, вправе потребовать от банка возмещения причиненных убытков</w:t>
            </w:r>
          </w:p>
        </w:tc>
        <w:tc>
          <w:tcPr>
            <w:tcW w:w="404" w:type="pct"/>
            <w:vAlign w:val="bottom"/>
          </w:tcPr>
          <w:p w:rsidR="00273A37" w:rsidRPr="00316A99" w:rsidRDefault="00273A37" w:rsidP="00273A37">
            <w:pPr>
              <w:jc w:val="center"/>
              <w:rPr>
                <w:i/>
                <w:sz w:val="24"/>
                <w:szCs w:val="24"/>
              </w:rPr>
            </w:pPr>
            <w:r>
              <w:rPr>
                <w:i/>
                <w:sz w:val="24"/>
                <w:szCs w:val="24"/>
              </w:rPr>
              <w:t>Верно</w:t>
            </w:r>
          </w:p>
        </w:tc>
        <w:tc>
          <w:tcPr>
            <w:tcW w:w="1798" w:type="pct"/>
            <w:vAlign w:val="bottom"/>
          </w:tcPr>
          <w:p w:rsidR="00273A37" w:rsidRPr="00316A99" w:rsidRDefault="00273A37" w:rsidP="00273A37">
            <w:pPr>
              <w:jc w:val="both"/>
              <w:rPr>
                <w:sz w:val="24"/>
                <w:szCs w:val="24"/>
              </w:rPr>
            </w:pPr>
            <w:r>
              <w:rPr>
                <w:sz w:val="24"/>
                <w:szCs w:val="24"/>
              </w:rPr>
              <w:t>ГК РФ ст. 857. Банковская тайна</w:t>
            </w:r>
          </w:p>
        </w:tc>
      </w:tr>
      <w:tr w:rsidR="00273A37" w:rsidRPr="00316A99" w:rsidTr="00C622A6">
        <w:trPr>
          <w:trHeight w:val="281"/>
        </w:trPr>
        <w:tc>
          <w:tcPr>
            <w:tcW w:w="2798" w:type="pct"/>
          </w:tcPr>
          <w:p w:rsidR="00273A37" w:rsidRDefault="00273A37" w:rsidP="00273A37">
            <w:pPr>
              <w:pStyle w:val="Default"/>
              <w:jc w:val="both"/>
              <w:rPr>
                <w:sz w:val="23"/>
                <w:szCs w:val="23"/>
              </w:rPr>
            </w:pPr>
            <w:r>
              <w:rPr>
                <w:sz w:val="23"/>
                <w:szCs w:val="23"/>
              </w:rPr>
              <w:t>25. Договор банковского счета расторгается по заявлению клиента в любое время</w:t>
            </w:r>
          </w:p>
        </w:tc>
        <w:tc>
          <w:tcPr>
            <w:tcW w:w="404" w:type="pct"/>
            <w:vAlign w:val="bottom"/>
          </w:tcPr>
          <w:p w:rsidR="00273A37" w:rsidRPr="00316A99" w:rsidRDefault="00273A37" w:rsidP="00273A37">
            <w:pPr>
              <w:jc w:val="center"/>
              <w:rPr>
                <w:i/>
                <w:sz w:val="24"/>
                <w:szCs w:val="24"/>
              </w:rPr>
            </w:pPr>
            <w:r>
              <w:rPr>
                <w:i/>
                <w:sz w:val="24"/>
                <w:szCs w:val="24"/>
              </w:rPr>
              <w:t>Верно</w:t>
            </w:r>
          </w:p>
        </w:tc>
        <w:tc>
          <w:tcPr>
            <w:tcW w:w="1798" w:type="pct"/>
            <w:vAlign w:val="bottom"/>
          </w:tcPr>
          <w:p w:rsidR="00273A37" w:rsidRPr="00316A99" w:rsidRDefault="00273A37" w:rsidP="00273A37">
            <w:pPr>
              <w:jc w:val="both"/>
              <w:rPr>
                <w:sz w:val="24"/>
                <w:szCs w:val="24"/>
              </w:rPr>
            </w:pPr>
            <w:r>
              <w:rPr>
                <w:sz w:val="24"/>
                <w:szCs w:val="24"/>
              </w:rPr>
              <w:t>ГК РФ ст. 859. Расторжение договора банковского счета</w:t>
            </w:r>
          </w:p>
        </w:tc>
      </w:tr>
      <w:tr w:rsidR="00273A37" w:rsidRPr="00316A99" w:rsidTr="00C622A6">
        <w:trPr>
          <w:trHeight w:val="281"/>
        </w:trPr>
        <w:tc>
          <w:tcPr>
            <w:tcW w:w="2798" w:type="pct"/>
          </w:tcPr>
          <w:p w:rsidR="00273A37" w:rsidRDefault="00273A37" w:rsidP="00273A37">
            <w:pPr>
              <w:pStyle w:val="Default"/>
              <w:jc w:val="both"/>
              <w:rPr>
                <w:sz w:val="23"/>
                <w:szCs w:val="23"/>
              </w:rPr>
            </w:pPr>
            <w:r>
              <w:rPr>
                <w:sz w:val="23"/>
                <w:szCs w:val="23"/>
              </w:rPr>
              <w:t>26. Основанием закрытия счета является прекращение договора счета соответствующего вида в порядке</w:t>
            </w:r>
          </w:p>
        </w:tc>
        <w:tc>
          <w:tcPr>
            <w:tcW w:w="404" w:type="pct"/>
            <w:vAlign w:val="bottom"/>
          </w:tcPr>
          <w:p w:rsidR="00273A37" w:rsidRPr="00316A99" w:rsidRDefault="00273A37" w:rsidP="00273A37">
            <w:pPr>
              <w:jc w:val="center"/>
              <w:rPr>
                <w:i/>
                <w:sz w:val="24"/>
                <w:szCs w:val="24"/>
              </w:rPr>
            </w:pPr>
            <w:r>
              <w:rPr>
                <w:i/>
                <w:sz w:val="24"/>
                <w:szCs w:val="24"/>
              </w:rPr>
              <w:t>В</w:t>
            </w:r>
            <w:r w:rsidRPr="00316A99">
              <w:rPr>
                <w:i/>
                <w:sz w:val="24"/>
                <w:szCs w:val="24"/>
              </w:rPr>
              <w:t>ерно</w:t>
            </w:r>
          </w:p>
        </w:tc>
        <w:tc>
          <w:tcPr>
            <w:tcW w:w="1798" w:type="pct"/>
            <w:vAlign w:val="bottom"/>
          </w:tcPr>
          <w:p w:rsidR="00273A37" w:rsidRPr="00316A99" w:rsidRDefault="00273A37" w:rsidP="00273A37">
            <w:pPr>
              <w:rPr>
                <w:sz w:val="24"/>
                <w:szCs w:val="24"/>
              </w:rPr>
            </w:pPr>
            <w:r w:rsidRPr="00316A99">
              <w:rPr>
                <w:sz w:val="24"/>
                <w:szCs w:val="24"/>
              </w:rPr>
              <w:t xml:space="preserve">Глава </w:t>
            </w:r>
            <w:r>
              <w:rPr>
                <w:sz w:val="24"/>
                <w:szCs w:val="24"/>
              </w:rPr>
              <w:t>1</w:t>
            </w:r>
            <w:r w:rsidRPr="00316A99">
              <w:rPr>
                <w:sz w:val="24"/>
                <w:szCs w:val="24"/>
              </w:rPr>
              <w:t xml:space="preserve"> </w:t>
            </w:r>
            <w:r w:rsidRPr="00316A99">
              <w:rPr>
                <w:rFonts w:eastAsia="Times New Roman"/>
                <w:sz w:val="24"/>
                <w:szCs w:val="24"/>
              </w:rPr>
              <w:t>Инструкции Банка России № 153-И</w:t>
            </w:r>
          </w:p>
        </w:tc>
      </w:tr>
      <w:tr w:rsidR="00273A37" w:rsidRPr="00316A99" w:rsidTr="00C622A6">
        <w:trPr>
          <w:trHeight w:val="281"/>
        </w:trPr>
        <w:tc>
          <w:tcPr>
            <w:tcW w:w="2798" w:type="pct"/>
          </w:tcPr>
          <w:p w:rsidR="00273A37" w:rsidRDefault="00273A37" w:rsidP="00273A37">
            <w:pPr>
              <w:pStyle w:val="Default"/>
              <w:jc w:val="both"/>
              <w:rPr>
                <w:sz w:val="23"/>
                <w:szCs w:val="23"/>
              </w:rPr>
            </w:pPr>
            <w:r>
              <w:rPr>
                <w:sz w:val="23"/>
                <w:szCs w:val="23"/>
              </w:rPr>
              <w:t>27. При наличии на счете достаточной суммы денежных средств применяется календарная очередность списания средств</w:t>
            </w:r>
          </w:p>
        </w:tc>
        <w:tc>
          <w:tcPr>
            <w:tcW w:w="404" w:type="pct"/>
            <w:vAlign w:val="bottom"/>
          </w:tcPr>
          <w:p w:rsidR="00273A37" w:rsidRPr="00316A99" w:rsidRDefault="00273A37" w:rsidP="00273A37">
            <w:pPr>
              <w:jc w:val="center"/>
              <w:rPr>
                <w:i/>
                <w:sz w:val="24"/>
                <w:szCs w:val="24"/>
              </w:rPr>
            </w:pPr>
            <w:r>
              <w:rPr>
                <w:i/>
                <w:sz w:val="24"/>
                <w:szCs w:val="24"/>
              </w:rPr>
              <w:t>Верно</w:t>
            </w:r>
          </w:p>
        </w:tc>
        <w:tc>
          <w:tcPr>
            <w:tcW w:w="1798" w:type="pct"/>
            <w:vAlign w:val="bottom"/>
          </w:tcPr>
          <w:p w:rsidR="00273A37" w:rsidRPr="00316A99" w:rsidRDefault="00273A37" w:rsidP="00273A37">
            <w:pPr>
              <w:jc w:val="both"/>
              <w:rPr>
                <w:sz w:val="24"/>
                <w:szCs w:val="24"/>
              </w:rPr>
            </w:pPr>
            <w:r>
              <w:rPr>
                <w:sz w:val="24"/>
                <w:szCs w:val="24"/>
              </w:rPr>
              <w:t>ГК РФ ст. 855. Очередность списания денежных средств</w:t>
            </w:r>
          </w:p>
        </w:tc>
      </w:tr>
    </w:tbl>
    <w:p w:rsidR="00EA321C" w:rsidRDefault="00EA321C">
      <w:pPr>
        <w:sectPr w:rsidR="00EA321C">
          <w:pgSz w:w="11900" w:h="16838"/>
          <w:pgMar w:top="959" w:right="566" w:bottom="542" w:left="1020" w:header="0" w:footer="0" w:gutter="0"/>
          <w:cols w:space="720" w:equalWidth="0">
            <w:col w:w="10320"/>
          </w:cols>
        </w:sectPr>
      </w:pPr>
    </w:p>
    <w:p w:rsidR="00EA321C" w:rsidRDefault="00C622A6">
      <w:pPr>
        <w:ind w:left="820"/>
        <w:rPr>
          <w:sz w:val="20"/>
          <w:szCs w:val="20"/>
        </w:rPr>
      </w:pPr>
      <w:bookmarkStart w:id="1" w:name="page2"/>
      <w:bookmarkEnd w:id="1"/>
      <w:r>
        <w:rPr>
          <w:rFonts w:eastAsia="Times New Roman"/>
          <w:b/>
          <w:bCs/>
          <w:sz w:val="24"/>
          <w:szCs w:val="24"/>
        </w:rPr>
        <w:lastRenderedPageBreak/>
        <w:t>Задание 2.</w:t>
      </w:r>
    </w:p>
    <w:p w:rsidR="00EA321C" w:rsidRDefault="00EA321C">
      <w:pPr>
        <w:spacing w:line="7" w:lineRule="exact"/>
        <w:rPr>
          <w:sz w:val="20"/>
          <w:szCs w:val="20"/>
        </w:rPr>
      </w:pPr>
    </w:p>
    <w:p w:rsidR="00EA321C" w:rsidRDefault="00C622A6">
      <w:pPr>
        <w:spacing w:line="236" w:lineRule="auto"/>
        <w:ind w:left="120" w:firstLine="708"/>
        <w:jc w:val="both"/>
        <w:rPr>
          <w:sz w:val="20"/>
          <w:szCs w:val="20"/>
        </w:rPr>
      </w:pPr>
      <w:r>
        <w:rPr>
          <w:rFonts w:eastAsia="Times New Roman"/>
          <w:sz w:val="24"/>
          <w:szCs w:val="24"/>
        </w:rPr>
        <w:t>Изучите по учебникам дисциплины различные методики оценки кредитоспособности заемщика - юридического лица и сравните их основные положения, достоинства и недостатки. Результаты представьте в табличной форме.</w:t>
      </w:r>
    </w:p>
    <w:tbl>
      <w:tblPr>
        <w:tblW w:w="5000" w:type="pct"/>
        <w:tblCellMar>
          <w:left w:w="0" w:type="dxa"/>
          <w:right w:w="0" w:type="dxa"/>
        </w:tblCellMar>
        <w:tblLook w:val="04A0" w:firstRow="1" w:lastRow="0" w:firstColumn="1" w:lastColumn="0" w:noHBand="0" w:noVBand="1"/>
      </w:tblPr>
      <w:tblGrid>
        <w:gridCol w:w="1648"/>
        <w:gridCol w:w="3496"/>
        <w:gridCol w:w="2574"/>
        <w:gridCol w:w="2576"/>
      </w:tblGrid>
      <w:tr w:rsidR="00166400" w:rsidRPr="00166400" w:rsidTr="00166400">
        <w:trPr>
          <w:trHeight w:val="276"/>
        </w:trPr>
        <w:tc>
          <w:tcPr>
            <w:tcW w:w="801" w:type="pct"/>
            <w:vMerge w:val="restart"/>
            <w:tcBorders>
              <w:top w:val="single" w:sz="8" w:space="0" w:color="auto"/>
              <w:left w:val="single" w:sz="8" w:space="0" w:color="auto"/>
              <w:right w:val="single" w:sz="8" w:space="0" w:color="auto"/>
            </w:tcBorders>
            <w:vAlign w:val="bottom"/>
          </w:tcPr>
          <w:p w:rsidR="00526E38" w:rsidRPr="00166400" w:rsidRDefault="00526E38" w:rsidP="00166400">
            <w:pPr>
              <w:rPr>
                <w:color w:val="000000" w:themeColor="text1"/>
              </w:rPr>
            </w:pPr>
            <w:r w:rsidRPr="00166400">
              <w:rPr>
                <w:color w:val="000000" w:themeColor="text1"/>
              </w:rPr>
              <w:t>Название методики</w:t>
            </w:r>
          </w:p>
        </w:tc>
        <w:tc>
          <w:tcPr>
            <w:tcW w:w="1698" w:type="pct"/>
            <w:tcBorders>
              <w:top w:val="single" w:sz="8" w:space="0" w:color="auto"/>
              <w:right w:val="single" w:sz="8" w:space="0" w:color="auto"/>
            </w:tcBorders>
            <w:vAlign w:val="bottom"/>
          </w:tcPr>
          <w:p w:rsidR="00526E38" w:rsidRPr="00166400" w:rsidRDefault="00526E38" w:rsidP="00166400">
            <w:pPr>
              <w:rPr>
                <w:color w:val="000000" w:themeColor="text1"/>
              </w:rPr>
            </w:pPr>
            <w:r w:rsidRPr="00166400">
              <w:rPr>
                <w:color w:val="000000" w:themeColor="text1"/>
              </w:rPr>
              <w:t>Основные</w:t>
            </w:r>
          </w:p>
        </w:tc>
        <w:tc>
          <w:tcPr>
            <w:tcW w:w="1250" w:type="pct"/>
            <w:tcBorders>
              <w:top w:val="single" w:sz="8" w:space="0" w:color="auto"/>
              <w:right w:val="single" w:sz="8" w:space="0" w:color="auto"/>
            </w:tcBorders>
            <w:vAlign w:val="bottom"/>
          </w:tcPr>
          <w:p w:rsidR="00526E38" w:rsidRPr="00166400" w:rsidRDefault="00526E38" w:rsidP="00166400">
            <w:pPr>
              <w:rPr>
                <w:color w:val="000000" w:themeColor="text1"/>
              </w:rPr>
            </w:pPr>
            <w:r w:rsidRPr="00166400">
              <w:rPr>
                <w:color w:val="000000" w:themeColor="text1"/>
              </w:rPr>
              <w:t>Достоинства</w:t>
            </w:r>
          </w:p>
        </w:tc>
        <w:tc>
          <w:tcPr>
            <w:tcW w:w="1250" w:type="pct"/>
            <w:tcBorders>
              <w:top w:val="single" w:sz="8" w:space="0" w:color="auto"/>
              <w:right w:val="single" w:sz="8" w:space="0" w:color="auto"/>
            </w:tcBorders>
            <w:vAlign w:val="bottom"/>
          </w:tcPr>
          <w:p w:rsidR="00526E38" w:rsidRPr="00166400" w:rsidRDefault="00526E38" w:rsidP="00166400">
            <w:pPr>
              <w:rPr>
                <w:color w:val="000000" w:themeColor="text1"/>
              </w:rPr>
            </w:pPr>
            <w:r w:rsidRPr="00166400">
              <w:rPr>
                <w:color w:val="000000" w:themeColor="text1"/>
              </w:rPr>
              <w:t>Недостатки</w:t>
            </w:r>
          </w:p>
        </w:tc>
      </w:tr>
      <w:tr w:rsidR="00166400" w:rsidRPr="00166400" w:rsidTr="00166400">
        <w:trPr>
          <w:trHeight w:val="281"/>
        </w:trPr>
        <w:tc>
          <w:tcPr>
            <w:tcW w:w="801" w:type="pct"/>
            <w:vMerge/>
            <w:tcBorders>
              <w:left w:val="single" w:sz="8" w:space="0" w:color="auto"/>
              <w:bottom w:val="single" w:sz="8" w:space="0" w:color="auto"/>
              <w:right w:val="single" w:sz="8" w:space="0" w:color="auto"/>
            </w:tcBorders>
            <w:vAlign w:val="bottom"/>
          </w:tcPr>
          <w:p w:rsidR="00526E38" w:rsidRPr="00166400" w:rsidRDefault="00526E38" w:rsidP="00166400">
            <w:pPr>
              <w:rPr>
                <w:color w:val="000000" w:themeColor="text1"/>
              </w:rPr>
            </w:pPr>
          </w:p>
        </w:tc>
        <w:tc>
          <w:tcPr>
            <w:tcW w:w="1698" w:type="pct"/>
            <w:tcBorders>
              <w:bottom w:val="single" w:sz="8" w:space="0" w:color="auto"/>
              <w:right w:val="single" w:sz="8" w:space="0" w:color="auto"/>
            </w:tcBorders>
            <w:vAlign w:val="bottom"/>
          </w:tcPr>
          <w:p w:rsidR="00526E38" w:rsidRPr="00166400" w:rsidRDefault="00526E38" w:rsidP="00166400">
            <w:pPr>
              <w:rPr>
                <w:color w:val="000000" w:themeColor="text1"/>
              </w:rPr>
            </w:pPr>
            <w:r w:rsidRPr="00166400">
              <w:rPr>
                <w:color w:val="000000" w:themeColor="text1"/>
              </w:rPr>
              <w:t>положения</w:t>
            </w:r>
          </w:p>
        </w:tc>
        <w:tc>
          <w:tcPr>
            <w:tcW w:w="1250" w:type="pct"/>
            <w:tcBorders>
              <w:bottom w:val="single" w:sz="8" w:space="0" w:color="auto"/>
              <w:right w:val="single" w:sz="8" w:space="0" w:color="auto"/>
            </w:tcBorders>
            <w:vAlign w:val="bottom"/>
          </w:tcPr>
          <w:p w:rsidR="00526E38" w:rsidRPr="00166400" w:rsidRDefault="00526E38" w:rsidP="00166400">
            <w:pPr>
              <w:rPr>
                <w:color w:val="000000" w:themeColor="text1"/>
              </w:rPr>
            </w:pPr>
          </w:p>
        </w:tc>
        <w:tc>
          <w:tcPr>
            <w:tcW w:w="1250" w:type="pct"/>
            <w:tcBorders>
              <w:bottom w:val="single" w:sz="8" w:space="0" w:color="auto"/>
              <w:right w:val="single" w:sz="8" w:space="0" w:color="auto"/>
            </w:tcBorders>
            <w:vAlign w:val="bottom"/>
          </w:tcPr>
          <w:p w:rsidR="00526E38" w:rsidRPr="00166400" w:rsidRDefault="00526E38" w:rsidP="00166400">
            <w:pPr>
              <w:rPr>
                <w:color w:val="000000" w:themeColor="text1"/>
              </w:rPr>
            </w:pPr>
          </w:p>
        </w:tc>
      </w:tr>
      <w:tr w:rsidR="00166400" w:rsidRPr="00166400" w:rsidTr="00166400">
        <w:trPr>
          <w:trHeight w:val="271"/>
        </w:trPr>
        <w:tc>
          <w:tcPr>
            <w:tcW w:w="801" w:type="pct"/>
            <w:tcBorders>
              <w:top w:val="single" w:sz="8" w:space="0" w:color="auto"/>
              <w:left w:val="single" w:sz="8" w:space="0" w:color="auto"/>
              <w:bottom w:val="single" w:sz="4" w:space="0" w:color="auto"/>
              <w:right w:val="single" w:sz="8" w:space="0" w:color="auto"/>
            </w:tcBorders>
            <w:vAlign w:val="bottom"/>
          </w:tcPr>
          <w:p w:rsidR="00EA321C" w:rsidRPr="00166400" w:rsidRDefault="00C622A6" w:rsidP="00166400">
            <w:pPr>
              <w:rPr>
                <w:color w:val="000000" w:themeColor="text1"/>
              </w:rPr>
            </w:pPr>
            <w:r w:rsidRPr="00166400">
              <w:rPr>
                <w:color w:val="000000" w:themeColor="text1"/>
              </w:rPr>
              <w:t>Рейтинговые модели</w:t>
            </w:r>
          </w:p>
        </w:tc>
        <w:tc>
          <w:tcPr>
            <w:tcW w:w="1698" w:type="pct"/>
            <w:tcBorders>
              <w:top w:val="single" w:sz="8" w:space="0" w:color="auto"/>
              <w:bottom w:val="single" w:sz="4" w:space="0" w:color="auto"/>
              <w:right w:val="single" w:sz="8" w:space="0" w:color="auto"/>
            </w:tcBorders>
            <w:vAlign w:val="bottom"/>
          </w:tcPr>
          <w:p w:rsidR="00C622A6" w:rsidRPr="00166400" w:rsidRDefault="00C622A6" w:rsidP="00166400">
            <w:pPr>
              <w:jc w:val="both"/>
              <w:rPr>
                <w:color w:val="000000" w:themeColor="text1"/>
              </w:rPr>
            </w:pPr>
            <w:r w:rsidRPr="00166400">
              <w:rPr>
                <w:color w:val="000000" w:themeColor="text1"/>
              </w:rPr>
              <w:t>Рейтинговая оценка представляет собой общую сумму баллов. Для каждого показателя в сумме баллов рейтинговой оценки баллы рассчитываются так - значение показателя умножается на его вес, или коэффициент значимости. Обычно при оценке кредитоспособности на основе системы финансовых коэффициентов используются группы показателей, такие как:</w:t>
            </w:r>
          </w:p>
          <w:p w:rsidR="00C622A6" w:rsidRPr="00166400" w:rsidRDefault="00C622A6" w:rsidP="00166400">
            <w:pPr>
              <w:rPr>
                <w:color w:val="000000" w:themeColor="text1"/>
              </w:rPr>
            </w:pPr>
            <w:r w:rsidRPr="00166400">
              <w:rPr>
                <w:color w:val="000000" w:themeColor="text1"/>
              </w:rPr>
              <w:t>- коэффициенты рентабельности;</w:t>
            </w:r>
          </w:p>
          <w:p w:rsidR="00C622A6" w:rsidRPr="00166400" w:rsidRDefault="00C622A6" w:rsidP="00166400">
            <w:pPr>
              <w:rPr>
                <w:color w:val="000000" w:themeColor="text1"/>
              </w:rPr>
            </w:pPr>
            <w:r w:rsidRPr="00166400">
              <w:rPr>
                <w:color w:val="000000" w:themeColor="text1"/>
              </w:rPr>
              <w:t>- коэффициенты ликвидности;</w:t>
            </w:r>
          </w:p>
          <w:p w:rsidR="00C622A6" w:rsidRPr="00166400" w:rsidRDefault="00C622A6" w:rsidP="00166400">
            <w:pPr>
              <w:rPr>
                <w:color w:val="000000" w:themeColor="text1"/>
              </w:rPr>
            </w:pPr>
            <w:r w:rsidRPr="00166400">
              <w:rPr>
                <w:color w:val="000000" w:themeColor="text1"/>
              </w:rPr>
              <w:t>- коэффициенты финансовой устойчивости;</w:t>
            </w:r>
          </w:p>
          <w:p w:rsidR="00C622A6" w:rsidRPr="00166400" w:rsidRDefault="00C622A6" w:rsidP="00166400">
            <w:pPr>
              <w:rPr>
                <w:color w:val="000000" w:themeColor="text1"/>
              </w:rPr>
            </w:pPr>
            <w:r w:rsidRPr="00166400">
              <w:rPr>
                <w:color w:val="000000" w:themeColor="text1"/>
              </w:rPr>
              <w:t>- коэффициенты оборачиваемости;</w:t>
            </w:r>
          </w:p>
          <w:p w:rsidR="00EA321C" w:rsidRPr="00166400" w:rsidRDefault="00C622A6" w:rsidP="00166400">
            <w:pPr>
              <w:rPr>
                <w:color w:val="000000" w:themeColor="text1"/>
              </w:rPr>
            </w:pPr>
            <w:r w:rsidRPr="00166400">
              <w:rPr>
                <w:color w:val="000000" w:themeColor="text1"/>
              </w:rPr>
              <w:t>- коэффициенты качества обслуживания долга</w:t>
            </w:r>
          </w:p>
        </w:tc>
        <w:tc>
          <w:tcPr>
            <w:tcW w:w="1250" w:type="pct"/>
            <w:tcBorders>
              <w:top w:val="single" w:sz="8" w:space="0" w:color="auto"/>
              <w:bottom w:val="single" w:sz="4" w:space="0" w:color="auto"/>
              <w:right w:val="single" w:sz="8" w:space="0" w:color="auto"/>
            </w:tcBorders>
            <w:vAlign w:val="bottom"/>
          </w:tcPr>
          <w:p w:rsidR="00EA321C" w:rsidRPr="00166400" w:rsidRDefault="00C622A6" w:rsidP="00166400">
            <w:pPr>
              <w:jc w:val="both"/>
              <w:rPr>
                <w:color w:val="000000" w:themeColor="text1"/>
              </w:rPr>
            </w:pPr>
            <w:r w:rsidRPr="00166400">
              <w:rPr>
                <w:color w:val="000000" w:themeColor="text1"/>
              </w:rPr>
              <w:t>позволяет прогнозировать своевременность совершения будущих платежей, ликвидность и реальность оборотных активов, оценить общее финансовое состояние фирмы и ее устойчивость, а также возможность определить границы снижения объема прибыли, в которых осуществляется погашение части фиксированных платежей.</w:t>
            </w:r>
          </w:p>
          <w:p w:rsidR="00C622A6" w:rsidRPr="00166400" w:rsidRDefault="00C622A6" w:rsidP="00166400">
            <w:pPr>
              <w:jc w:val="both"/>
              <w:rPr>
                <w:color w:val="000000" w:themeColor="text1"/>
              </w:rPr>
            </w:pPr>
            <w:r w:rsidRPr="00166400">
              <w:rPr>
                <w:color w:val="000000" w:themeColor="text1"/>
              </w:rPr>
              <w:t>Наибольшим достоинством рейтинговой модели является ее простота: достаточно рассчитать финансовые коэффициенты и взвесить их, чтобы определить класс заемщика</w:t>
            </w:r>
          </w:p>
        </w:tc>
        <w:tc>
          <w:tcPr>
            <w:tcW w:w="1250" w:type="pct"/>
            <w:tcBorders>
              <w:top w:val="single" w:sz="8" w:space="0" w:color="auto"/>
              <w:bottom w:val="single" w:sz="4" w:space="0" w:color="auto"/>
              <w:right w:val="single" w:sz="8" w:space="0" w:color="auto"/>
            </w:tcBorders>
            <w:vAlign w:val="bottom"/>
          </w:tcPr>
          <w:p w:rsidR="00EA321C" w:rsidRPr="00166400" w:rsidRDefault="00C622A6" w:rsidP="00166400">
            <w:pPr>
              <w:jc w:val="both"/>
              <w:rPr>
                <w:color w:val="000000" w:themeColor="text1"/>
              </w:rPr>
            </w:pPr>
            <w:r w:rsidRPr="00166400">
              <w:rPr>
                <w:color w:val="000000" w:themeColor="text1"/>
              </w:rPr>
              <w:t>в расчете рейтинга могут принимать участие только те значения, которые отвечают установленным нормативам</w:t>
            </w:r>
          </w:p>
        </w:tc>
      </w:tr>
      <w:tr w:rsidR="00166400" w:rsidRPr="00166400" w:rsidTr="00166400">
        <w:trPr>
          <w:trHeight w:val="271"/>
        </w:trPr>
        <w:tc>
          <w:tcPr>
            <w:tcW w:w="801" w:type="pct"/>
            <w:tcBorders>
              <w:top w:val="single" w:sz="4" w:space="0" w:color="auto"/>
              <w:left w:val="single" w:sz="8" w:space="0" w:color="auto"/>
              <w:bottom w:val="single" w:sz="4" w:space="0" w:color="auto"/>
              <w:right w:val="single" w:sz="8" w:space="0" w:color="auto"/>
            </w:tcBorders>
            <w:vAlign w:val="bottom"/>
          </w:tcPr>
          <w:p w:rsidR="00C622A6" w:rsidRPr="00166400" w:rsidRDefault="00C622A6" w:rsidP="00166400">
            <w:pPr>
              <w:rPr>
                <w:color w:val="000000" w:themeColor="text1"/>
              </w:rPr>
            </w:pPr>
            <w:r w:rsidRPr="00166400">
              <w:rPr>
                <w:color w:val="000000" w:themeColor="text1"/>
              </w:rPr>
              <w:t>Кредитный скоринг</w:t>
            </w:r>
          </w:p>
        </w:tc>
        <w:tc>
          <w:tcPr>
            <w:tcW w:w="1698" w:type="pct"/>
            <w:tcBorders>
              <w:top w:val="single" w:sz="4" w:space="0" w:color="auto"/>
              <w:bottom w:val="single" w:sz="4" w:space="0" w:color="auto"/>
              <w:right w:val="single" w:sz="8" w:space="0" w:color="auto"/>
            </w:tcBorders>
            <w:vAlign w:val="bottom"/>
          </w:tcPr>
          <w:p w:rsidR="00C622A6" w:rsidRPr="00166400" w:rsidRDefault="00526E38" w:rsidP="00166400">
            <w:pPr>
              <w:jc w:val="both"/>
              <w:rPr>
                <w:color w:val="000000" w:themeColor="text1"/>
              </w:rPr>
            </w:pPr>
            <w:r w:rsidRPr="00166400">
              <w:rPr>
                <w:color w:val="000000" w:themeColor="text1"/>
              </w:rPr>
              <w:t>Для каждого показателя определяется несколько интервалов значений, каждому интервалу приписывается определенное количество баллов или определяется класс. Если полученный заемщиком рейтинг ниже значения, заранее установленного сотрудниками банка, то такому заемщику будет отказано в кредите, а если соответствует нормативам, то кредитная заявка будет удовлетворена.</w:t>
            </w:r>
          </w:p>
        </w:tc>
        <w:tc>
          <w:tcPr>
            <w:tcW w:w="1250" w:type="pct"/>
            <w:tcBorders>
              <w:top w:val="single" w:sz="4" w:space="0" w:color="auto"/>
              <w:bottom w:val="single" w:sz="4" w:space="0" w:color="auto"/>
              <w:right w:val="single" w:sz="8" w:space="0" w:color="auto"/>
            </w:tcBorders>
            <w:vAlign w:val="bottom"/>
          </w:tcPr>
          <w:p w:rsidR="00C622A6" w:rsidRPr="00166400" w:rsidRDefault="00C622A6" w:rsidP="00166400">
            <w:pPr>
              <w:jc w:val="both"/>
              <w:rPr>
                <w:color w:val="000000" w:themeColor="text1"/>
              </w:rPr>
            </w:pPr>
            <w:r w:rsidRPr="00166400">
              <w:rPr>
                <w:color w:val="000000" w:themeColor="text1"/>
              </w:rPr>
              <w:t>простота возможность расчета оптимальных значений по частным показателям, способность ранжирования организаций по результатам, комплексный подход к оценке кредитоспособности (так как используются показатели, отражающие различные стороны деятельности организации).</w:t>
            </w:r>
          </w:p>
        </w:tc>
        <w:tc>
          <w:tcPr>
            <w:tcW w:w="1250" w:type="pct"/>
            <w:tcBorders>
              <w:top w:val="single" w:sz="4" w:space="0" w:color="auto"/>
              <w:bottom w:val="single" w:sz="4" w:space="0" w:color="auto"/>
              <w:right w:val="single" w:sz="8" w:space="0" w:color="auto"/>
            </w:tcBorders>
            <w:vAlign w:val="bottom"/>
          </w:tcPr>
          <w:p w:rsidR="00C622A6" w:rsidRPr="00166400" w:rsidRDefault="00C622A6" w:rsidP="00166400">
            <w:pPr>
              <w:jc w:val="both"/>
              <w:rPr>
                <w:color w:val="000000" w:themeColor="text1"/>
              </w:rPr>
            </w:pPr>
            <w:r w:rsidRPr="00166400">
              <w:rPr>
                <w:color w:val="000000" w:themeColor="text1"/>
              </w:rPr>
              <w:t xml:space="preserve">- необходимость тщательного отбора финансовых показателей (требуется использовать показатели, описывающие разные стороны работы </w:t>
            </w:r>
            <w:proofErr w:type="gramStart"/>
            <w:r w:rsidRPr="00166400">
              <w:rPr>
                <w:color w:val="000000" w:themeColor="text1"/>
              </w:rPr>
              <w:t>заемщика, с тем, чтобы</w:t>
            </w:r>
            <w:proofErr w:type="gramEnd"/>
            <w:r w:rsidRPr="00166400">
              <w:rPr>
                <w:color w:val="000000" w:themeColor="text1"/>
              </w:rPr>
              <w:t xml:space="preserve"> более полно охарактеризовать его положение);</w:t>
            </w:r>
          </w:p>
          <w:p w:rsidR="00C622A6" w:rsidRPr="00166400" w:rsidRDefault="00C622A6" w:rsidP="00166400">
            <w:pPr>
              <w:jc w:val="both"/>
              <w:rPr>
                <w:color w:val="000000" w:themeColor="text1"/>
              </w:rPr>
            </w:pPr>
            <w:r w:rsidRPr="00166400">
              <w:rPr>
                <w:color w:val="000000" w:themeColor="text1"/>
              </w:rPr>
              <w:t>- важность обоснования пороговых значений показателей (в нашей стране довольно сложно осуществить подобный подход, так как недостаточно сведений о фактическом состоянии и уровнях данных показателей в экономике России, а также мала степень участия банков в формировании такой базы данных);</w:t>
            </w:r>
          </w:p>
          <w:p w:rsidR="00C622A6" w:rsidRPr="00166400" w:rsidRDefault="00C622A6" w:rsidP="00166400">
            <w:pPr>
              <w:rPr>
                <w:color w:val="000000" w:themeColor="text1"/>
              </w:rPr>
            </w:pPr>
            <w:r w:rsidRPr="00166400">
              <w:rPr>
                <w:color w:val="000000" w:themeColor="text1"/>
              </w:rPr>
              <w:t xml:space="preserve">- необходимость обоснования коэффициентов значимости для каждой группы показателей в </w:t>
            </w:r>
            <w:r w:rsidRPr="00166400">
              <w:rPr>
                <w:color w:val="000000" w:themeColor="text1"/>
              </w:rPr>
              <w:lastRenderedPageBreak/>
              <w:t>соответствии с отраслью деятельности конкретного заемщика;</w:t>
            </w:r>
          </w:p>
          <w:p w:rsidR="00C622A6" w:rsidRPr="00166400" w:rsidRDefault="00C622A6" w:rsidP="00166400">
            <w:pPr>
              <w:rPr>
                <w:color w:val="000000" w:themeColor="text1"/>
              </w:rPr>
            </w:pPr>
            <w:r w:rsidRPr="00166400">
              <w:rPr>
                <w:color w:val="000000" w:themeColor="text1"/>
              </w:rPr>
              <w:t>- определение величины отклонений в пограничных областях, относящих заемщиков к разным классам;</w:t>
            </w:r>
          </w:p>
          <w:p w:rsidR="00C622A6" w:rsidRPr="00166400" w:rsidRDefault="00C622A6" w:rsidP="00166400">
            <w:pPr>
              <w:rPr>
                <w:color w:val="000000" w:themeColor="text1"/>
              </w:rPr>
            </w:pPr>
            <w:r w:rsidRPr="00166400">
              <w:rPr>
                <w:color w:val="000000" w:themeColor="text1"/>
              </w:rPr>
              <w:t>- при рейтинговой оценке учитываются уровни показателей только относительно оптимальных значений, соответствующих определенным установленным нормативам, но не принимается во внимание степень их выполнения или невыполнения;</w:t>
            </w:r>
          </w:p>
          <w:p w:rsidR="00C622A6" w:rsidRPr="00166400" w:rsidRDefault="00C622A6" w:rsidP="00166400">
            <w:pPr>
              <w:rPr>
                <w:color w:val="000000" w:themeColor="text1"/>
              </w:rPr>
            </w:pPr>
            <w:r w:rsidRPr="00166400">
              <w:rPr>
                <w:color w:val="000000" w:themeColor="text1"/>
              </w:rPr>
              <w:t>- финансовые коэффициенты отражают положение дел в прошлом на основе данных об остатках;</w:t>
            </w:r>
          </w:p>
          <w:p w:rsidR="00C622A6" w:rsidRPr="00166400" w:rsidRDefault="00C622A6" w:rsidP="00166400">
            <w:pPr>
              <w:rPr>
                <w:color w:val="000000" w:themeColor="text1"/>
              </w:rPr>
            </w:pPr>
            <w:r w:rsidRPr="00166400">
              <w:rPr>
                <w:color w:val="000000" w:themeColor="text1"/>
              </w:rPr>
              <w:t>- рассчитываемые коэффициенты показывают лишь отдельные стороны деятельности;</w:t>
            </w:r>
          </w:p>
          <w:p w:rsidR="00C622A6" w:rsidRPr="00166400" w:rsidRDefault="00C622A6" w:rsidP="00166400">
            <w:pPr>
              <w:rPr>
                <w:color w:val="000000" w:themeColor="text1"/>
              </w:rPr>
            </w:pPr>
            <w:r w:rsidRPr="00166400">
              <w:rPr>
                <w:color w:val="000000" w:themeColor="text1"/>
              </w:rPr>
              <w:t xml:space="preserve">- в системе рассчитываемых коэффициентов не учитываются многие факторы - репутация заемщика, перспективы и особенности рыночной конъюнктуры, оценки выпускаемой и реализуемой продукции, перспективы капиталовложений и </w:t>
            </w:r>
            <w:proofErr w:type="spellStart"/>
            <w:r w:rsidRPr="00166400">
              <w:rPr>
                <w:color w:val="000000" w:themeColor="text1"/>
              </w:rPr>
              <w:t>т.д</w:t>
            </w:r>
            <w:proofErr w:type="spellEnd"/>
          </w:p>
          <w:p w:rsidR="00C622A6" w:rsidRPr="00166400" w:rsidRDefault="00C622A6" w:rsidP="00166400">
            <w:pPr>
              <w:rPr>
                <w:color w:val="000000" w:themeColor="text1"/>
              </w:rPr>
            </w:pPr>
          </w:p>
        </w:tc>
      </w:tr>
      <w:tr w:rsidR="00166400" w:rsidRPr="00166400" w:rsidTr="00166400">
        <w:trPr>
          <w:trHeight w:val="271"/>
        </w:trPr>
        <w:tc>
          <w:tcPr>
            <w:tcW w:w="801" w:type="pct"/>
            <w:tcBorders>
              <w:top w:val="single" w:sz="4" w:space="0" w:color="auto"/>
              <w:left w:val="single" w:sz="8" w:space="0" w:color="auto"/>
              <w:bottom w:val="single" w:sz="4" w:space="0" w:color="auto"/>
              <w:right w:val="single" w:sz="8" w:space="0" w:color="auto"/>
            </w:tcBorders>
            <w:vAlign w:val="bottom"/>
          </w:tcPr>
          <w:p w:rsidR="00C622A6" w:rsidRPr="00166400" w:rsidRDefault="00C622A6" w:rsidP="00166400">
            <w:pPr>
              <w:rPr>
                <w:color w:val="000000" w:themeColor="text1"/>
              </w:rPr>
            </w:pPr>
            <w:r w:rsidRPr="00166400">
              <w:rPr>
                <w:color w:val="000000" w:themeColor="text1"/>
              </w:rPr>
              <w:lastRenderedPageBreak/>
              <w:t>Про</w:t>
            </w:r>
            <w:r w:rsidR="00526E38" w:rsidRPr="00166400">
              <w:rPr>
                <w:color w:val="000000" w:themeColor="text1"/>
              </w:rPr>
              <w:t>г</w:t>
            </w:r>
            <w:r w:rsidRPr="00166400">
              <w:rPr>
                <w:color w:val="000000" w:themeColor="text1"/>
              </w:rPr>
              <w:t>нозные модели</w:t>
            </w:r>
          </w:p>
        </w:tc>
        <w:tc>
          <w:tcPr>
            <w:tcW w:w="1698" w:type="pct"/>
            <w:tcBorders>
              <w:top w:val="single" w:sz="4" w:space="0" w:color="auto"/>
              <w:bottom w:val="single" w:sz="4" w:space="0" w:color="auto"/>
              <w:right w:val="single" w:sz="8" w:space="0" w:color="auto"/>
            </w:tcBorders>
            <w:vAlign w:val="bottom"/>
          </w:tcPr>
          <w:p w:rsidR="00C622A6" w:rsidRPr="00166400" w:rsidRDefault="00526E38" w:rsidP="00166400">
            <w:pPr>
              <w:rPr>
                <w:color w:val="000000" w:themeColor="text1"/>
              </w:rPr>
            </w:pPr>
            <w:r w:rsidRPr="00166400">
              <w:rPr>
                <w:color w:val="000000" w:themeColor="text1"/>
              </w:rPr>
              <w:t xml:space="preserve">При множественном </w:t>
            </w:r>
            <w:proofErr w:type="spellStart"/>
            <w:r w:rsidRPr="00166400">
              <w:rPr>
                <w:color w:val="000000" w:themeColor="text1"/>
              </w:rPr>
              <w:t>дискриминатном</w:t>
            </w:r>
            <w:proofErr w:type="spellEnd"/>
            <w:r w:rsidRPr="00166400">
              <w:rPr>
                <w:color w:val="000000" w:themeColor="text1"/>
              </w:rPr>
              <w:t xml:space="preserve"> анализе рассчитывается </w:t>
            </w:r>
            <w:proofErr w:type="spellStart"/>
            <w:r w:rsidRPr="00166400">
              <w:rPr>
                <w:color w:val="000000" w:themeColor="text1"/>
              </w:rPr>
              <w:t>дискриминатная</w:t>
            </w:r>
            <w:proofErr w:type="spellEnd"/>
            <w:r w:rsidRPr="00166400">
              <w:rPr>
                <w:color w:val="000000" w:themeColor="text1"/>
              </w:rPr>
              <w:t xml:space="preserve"> функция (Z), которая учитывает определенные показатели (коэффициенты регрессии) и параметры, определяющие финансовое положение предприятия - заемщика (включая финансовые коэффициенты). В результате статистического анализа данных по выборке предприятий, которые либо стали банкротами, либо поддерживали высокий уровень экономической деятельности, определяются коэффициенты </w:t>
            </w:r>
            <w:r w:rsidRPr="00166400">
              <w:rPr>
                <w:color w:val="000000" w:themeColor="text1"/>
              </w:rPr>
              <w:lastRenderedPageBreak/>
              <w:t xml:space="preserve">регрессии для </w:t>
            </w:r>
            <w:proofErr w:type="spellStart"/>
            <w:r w:rsidRPr="00166400">
              <w:rPr>
                <w:color w:val="000000" w:themeColor="text1"/>
              </w:rPr>
              <w:t>дискриминатной</w:t>
            </w:r>
            <w:proofErr w:type="spellEnd"/>
            <w:r w:rsidRPr="00166400">
              <w:rPr>
                <w:color w:val="000000" w:themeColor="text1"/>
              </w:rPr>
              <w:t xml:space="preserve"> функции (Z). Z-оценка является своего рода индикатором для выявления возможности банкротства предприятия.</w:t>
            </w:r>
          </w:p>
        </w:tc>
        <w:tc>
          <w:tcPr>
            <w:tcW w:w="1250" w:type="pct"/>
            <w:tcBorders>
              <w:top w:val="single" w:sz="4" w:space="0" w:color="auto"/>
              <w:bottom w:val="single" w:sz="4" w:space="0" w:color="auto"/>
              <w:right w:val="single" w:sz="8" w:space="0" w:color="auto"/>
            </w:tcBorders>
            <w:vAlign w:val="bottom"/>
          </w:tcPr>
          <w:p w:rsidR="00C622A6" w:rsidRPr="00166400" w:rsidRDefault="00526E38" w:rsidP="00166400">
            <w:pPr>
              <w:rPr>
                <w:color w:val="000000" w:themeColor="text1"/>
              </w:rPr>
            </w:pPr>
            <w:r w:rsidRPr="00166400">
              <w:rPr>
                <w:color w:val="000000" w:themeColor="text1"/>
              </w:rPr>
              <w:lastRenderedPageBreak/>
              <w:t>Данная оценка показывает, что предприятие станет банкротом при дальнейшем ухудшении его деятельности, и, как следствие, ухудшении его финансового положения, если Z-оценка предприятия приближена к оценке средней фирмы-банкрота.</w:t>
            </w:r>
          </w:p>
        </w:tc>
        <w:tc>
          <w:tcPr>
            <w:tcW w:w="1250" w:type="pct"/>
            <w:tcBorders>
              <w:top w:val="single" w:sz="4" w:space="0" w:color="auto"/>
              <w:bottom w:val="single" w:sz="4" w:space="0" w:color="auto"/>
              <w:right w:val="single" w:sz="8" w:space="0" w:color="auto"/>
            </w:tcBorders>
            <w:vAlign w:val="bottom"/>
          </w:tcPr>
          <w:p w:rsidR="00C622A6" w:rsidRPr="00166400" w:rsidRDefault="00526E38" w:rsidP="00166400">
            <w:pPr>
              <w:rPr>
                <w:color w:val="000000" w:themeColor="text1"/>
              </w:rPr>
            </w:pPr>
            <w:r w:rsidRPr="00166400">
              <w:rPr>
                <w:color w:val="000000" w:themeColor="text1"/>
              </w:rPr>
              <w:t xml:space="preserve">требует наличия репрезентативной выборки предприятий, относящихся к различным отраслям, имеющим разные объемы деятельности, с достаточным количеством наблюдений по каждой отрасли. Поэтому применение данной модели для оценки банкротства предприятия сопряжено с трудностями: наличие выборки с достаточным числом предприятий - банкротов в </w:t>
            </w:r>
            <w:r w:rsidRPr="00166400">
              <w:rPr>
                <w:color w:val="000000" w:themeColor="text1"/>
              </w:rPr>
              <w:lastRenderedPageBreak/>
              <w:t>рамках отрасли для расчета коэффициентов регрессии.</w:t>
            </w:r>
          </w:p>
        </w:tc>
      </w:tr>
      <w:tr w:rsidR="00166400" w:rsidRPr="00166400" w:rsidTr="00166400">
        <w:trPr>
          <w:trHeight w:val="271"/>
        </w:trPr>
        <w:tc>
          <w:tcPr>
            <w:tcW w:w="5000" w:type="pct"/>
            <w:gridSpan w:val="4"/>
            <w:tcBorders>
              <w:top w:val="single" w:sz="4" w:space="0" w:color="auto"/>
              <w:left w:val="single" w:sz="8" w:space="0" w:color="auto"/>
              <w:bottom w:val="single" w:sz="4" w:space="0" w:color="auto"/>
              <w:right w:val="single" w:sz="8" w:space="0" w:color="auto"/>
            </w:tcBorders>
            <w:vAlign w:val="bottom"/>
          </w:tcPr>
          <w:p w:rsidR="00526E38" w:rsidRPr="00166400" w:rsidRDefault="00526E38" w:rsidP="00166400">
            <w:pPr>
              <w:rPr>
                <w:color w:val="000000" w:themeColor="text1"/>
              </w:rPr>
            </w:pPr>
            <w:r w:rsidRPr="00166400">
              <w:rPr>
                <w:color w:val="000000" w:themeColor="text1"/>
              </w:rPr>
              <w:lastRenderedPageBreak/>
              <w:t xml:space="preserve">Модели множественного </w:t>
            </w:r>
            <w:proofErr w:type="spellStart"/>
            <w:r w:rsidRPr="00166400">
              <w:rPr>
                <w:color w:val="000000" w:themeColor="text1"/>
              </w:rPr>
              <w:t>дискриминатного</w:t>
            </w:r>
            <w:proofErr w:type="spellEnd"/>
            <w:r w:rsidRPr="00166400">
              <w:rPr>
                <w:color w:val="000000" w:themeColor="text1"/>
              </w:rPr>
              <w:t xml:space="preserve"> анализа (МДА)</w:t>
            </w:r>
          </w:p>
        </w:tc>
      </w:tr>
      <w:tr w:rsidR="00166400" w:rsidRPr="00166400" w:rsidTr="00166400">
        <w:trPr>
          <w:trHeight w:val="271"/>
        </w:trPr>
        <w:tc>
          <w:tcPr>
            <w:tcW w:w="801" w:type="pct"/>
            <w:tcBorders>
              <w:top w:val="single" w:sz="4" w:space="0" w:color="auto"/>
              <w:left w:val="single" w:sz="8" w:space="0" w:color="auto"/>
              <w:bottom w:val="single" w:sz="4" w:space="0" w:color="auto"/>
              <w:right w:val="single" w:sz="8" w:space="0" w:color="auto"/>
            </w:tcBorders>
            <w:vAlign w:val="bottom"/>
          </w:tcPr>
          <w:p w:rsidR="00526E38" w:rsidRPr="00166400" w:rsidRDefault="00526E38" w:rsidP="00166400">
            <w:pPr>
              <w:rPr>
                <w:color w:val="000000" w:themeColor="text1"/>
              </w:rPr>
            </w:pPr>
            <w:r w:rsidRPr="00166400">
              <w:rPr>
                <w:color w:val="000000" w:themeColor="text1"/>
              </w:rPr>
              <w:t>Модель Альтмана</w:t>
            </w:r>
          </w:p>
        </w:tc>
        <w:tc>
          <w:tcPr>
            <w:tcW w:w="1698" w:type="pct"/>
            <w:tcBorders>
              <w:top w:val="single" w:sz="4" w:space="0" w:color="auto"/>
              <w:bottom w:val="single" w:sz="4" w:space="0" w:color="auto"/>
              <w:right w:val="single" w:sz="8" w:space="0" w:color="auto"/>
            </w:tcBorders>
            <w:vAlign w:val="bottom"/>
          </w:tcPr>
          <w:p w:rsidR="00526E38" w:rsidRPr="00166400" w:rsidRDefault="00526E38" w:rsidP="00166400">
            <w:pPr>
              <w:rPr>
                <w:color w:val="000000" w:themeColor="text1"/>
              </w:rPr>
            </w:pPr>
            <w:proofErr w:type="spellStart"/>
            <w:r w:rsidRPr="00166400">
              <w:rPr>
                <w:color w:val="000000" w:themeColor="text1"/>
              </w:rPr>
              <w:t>Двухфаторная</w:t>
            </w:r>
            <w:proofErr w:type="spellEnd"/>
          </w:p>
        </w:tc>
        <w:tc>
          <w:tcPr>
            <w:tcW w:w="1250" w:type="pct"/>
            <w:tcBorders>
              <w:top w:val="single" w:sz="4" w:space="0" w:color="auto"/>
              <w:bottom w:val="single" w:sz="4" w:space="0" w:color="auto"/>
              <w:right w:val="single" w:sz="8" w:space="0" w:color="auto"/>
            </w:tcBorders>
            <w:vAlign w:val="bottom"/>
          </w:tcPr>
          <w:p w:rsidR="00526E38" w:rsidRPr="00166400" w:rsidRDefault="00526E38" w:rsidP="00166400">
            <w:pPr>
              <w:rPr>
                <w:color w:val="000000" w:themeColor="text1"/>
              </w:rPr>
            </w:pPr>
            <w:r w:rsidRPr="00166400">
              <w:rPr>
                <w:color w:val="000000" w:themeColor="text1"/>
              </w:rPr>
              <w:t>Простота расчета, возможность применения при проведении внешнего анализа на основе бухгалтерского баланса</w:t>
            </w:r>
          </w:p>
        </w:tc>
        <w:tc>
          <w:tcPr>
            <w:tcW w:w="1250" w:type="pct"/>
            <w:tcBorders>
              <w:top w:val="single" w:sz="4" w:space="0" w:color="auto"/>
              <w:bottom w:val="single" w:sz="4" w:space="0" w:color="auto"/>
              <w:right w:val="single" w:sz="8" w:space="0" w:color="auto"/>
            </w:tcBorders>
            <w:vAlign w:val="bottom"/>
          </w:tcPr>
          <w:p w:rsidR="00526E38" w:rsidRPr="00166400" w:rsidRDefault="00526E38" w:rsidP="00166400">
            <w:pPr>
              <w:rPr>
                <w:color w:val="000000" w:themeColor="text1"/>
              </w:rPr>
            </w:pPr>
            <w:r w:rsidRPr="00166400">
              <w:rPr>
                <w:color w:val="000000" w:themeColor="text1"/>
              </w:rPr>
              <w:t>Неадекватность получаемых прогнозов для предприятий региона - 100%. Не рассматривается влияние показателей, характеризующих эффективность использования ресурсов, деловую и рыночную активность и пр. Нет учета отраслевой и региональной специфики функционирования субъектов экономики</w:t>
            </w:r>
          </w:p>
        </w:tc>
      </w:tr>
      <w:tr w:rsidR="00166400" w:rsidRPr="00166400" w:rsidTr="00166400">
        <w:trPr>
          <w:trHeight w:val="271"/>
        </w:trPr>
        <w:tc>
          <w:tcPr>
            <w:tcW w:w="801" w:type="pct"/>
            <w:tcBorders>
              <w:top w:val="single" w:sz="4" w:space="0" w:color="auto"/>
              <w:left w:val="single" w:sz="8" w:space="0" w:color="auto"/>
              <w:bottom w:val="single" w:sz="4" w:space="0" w:color="auto"/>
              <w:right w:val="single" w:sz="8" w:space="0" w:color="auto"/>
            </w:tcBorders>
            <w:vAlign w:val="bottom"/>
          </w:tcPr>
          <w:p w:rsidR="00526E38" w:rsidRPr="00166400" w:rsidRDefault="00526E38" w:rsidP="00166400">
            <w:pPr>
              <w:rPr>
                <w:color w:val="000000" w:themeColor="text1"/>
              </w:rPr>
            </w:pPr>
            <w:r w:rsidRPr="00166400">
              <w:rPr>
                <w:color w:val="000000" w:themeColor="text1"/>
              </w:rPr>
              <w:t>Модель Альтмана</w:t>
            </w:r>
          </w:p>
        </w:tc>
        <w:tc>
          <w:tcPr>
            <w:tcW w:w="1698" w:type="pct"/>
            <w:tcBorders>
              <w:top w:val="single" w:sz="4" w:space="0" w:color="auto"/>
              <w:bottom w:val="single" w:sz="4" w:space="0" w:color="auto"/>
              <w:right w:val="single" w:sz="8" w:space="0" w:color="auto"/>
            </w:tcBorders>
            <w:vAlign w:val="bottom"/>
          </w:tcPr>
          <w:p w:rsidR="00526E38" w:rsidRPr="00166400" w:rsidRDefault="00526E38" w:rsidP="00166400">
            <w:pPr>
              <w:jc w:val="both"/>
              <w:rPr>
                <w:color w:val="000000" w:themeColor="text1"/>
              </w:rPr>
            </w:pPr>
            <w:r w:rsidRPr="00166400">
              <w:rPr>
                <w:color w:val="000000" w:themeColor="text1"/>
              </w:rPr>
              <w:t>пятифакторная, построена на основе финансового положения предприятий и дает возможность построить в достаточной мере достоверный прогноз банкротства на два-три года вперед.</w:t>
            </w:r>
          </w:p>
        </w:tc>
        <w:tc>
          <w:tcPr>
            <w:tcW w:w="1250" w:type="pct"/>
            <w:tcBorders>
              <w:top w:val="single" w:sz="4" w:space="0" w:color="auto"/>
              <w:bottom w:val="single" w:sz="4" w:space="0" w:color="auto"/>
              <w:right w:val="single" w:sz="8" w:space="0" w:color="auto"/>
            </w:tcBorders>
            <w:vAlign w:val="bottom"/>
          </w:tcPr>
          <w:p w:rsidR="00526E38" w:rsidRPr="00166400" w:rsidRDefault="00526E38" w:rsidP="00166400">
            <w:pPr>
              <w:rPr>
                <w:color w:val="000000" w:themeColor="text1"/>
              </w:rPr>
            </w:pPr>
            <w:r w:rsidRPr="00166400">
              <w:rPr>
                <w:color w:val="000000" w:themeColor="text1"/>
              </w:rPr>
              <w:t>Переменные в модели отражают различные аспекты деятельности предприятия, возможно динамическое прогнозирование изменений финансовой устойчивости</w:t>
            </w:r>
          </w:p>
        </w:tc>
        <w:tc>
          <w:tcPr>
            <w:tcW w:w="1250" w:type="pct"/>
            <w:tcBorders>
              <w:top w:val="single" w:sz="4" w:space="0" w:color="auto"/>
              <w:bottom w:val="single" w:sz="4" w:space="0" w:color="auto"/>
              <w:right w:val="single" w:sz="8" w:space="0" w:color="auto"/>
            </w:tcBorders>
            <w:vAlign w:val="bottom"/>
          </w:tcPr>
          <w:p w:rsidR="00526E38" w:rsidRPr="00166400" w:rsidRDefault="00526E38" w:rsidP="00166400">
            <w:pPr>
              <w:rPr>
                <w:color w:val="000000" w:themeColor="text1"/>
              </w:rPr>
            </w:pPr>
            <w:r w:rsidRPr="00166400">
              <w:rPr>
                <w:color w:val="000000" w:themeColor="text1"/>
              </w:rPr>
              <w:t>Модель применима только в отношении акционерных обществ, чьи акции обращаются на рынке ценных бумаг. Даже если определить курсовую стоимость акции как отношение суммы дивиденда к среднему уровню ссудного процента, то оценка будет иметь большую погрешность</w:t>
            </w:r>
          </w:p>
        </w:tc>
      </w:tr>
      <w:tr w:rsidR="00166400" w:rsidRPr="00166400" w:rsidTr="00166400">
        <w:trPr>
          <w:trHeight w:val="271"/>
        </w:trPr>
        <w:tc>
          <w:tcPr>
            <w:tcW w:w="801" w:type="pct"/>
            <w:tcBorders>
              <w:top w:val="single" w:sz="4" w:space="0" w:color="auto"/>
              <w:left w:val="single" w:sz="8" w:space="0" w:color="auto"/>
              <w:bottom w:val="single" w:sz="4" w:space="0" w:color="auto"/>
              <w:right w:val="single" w:sz="8" w:space="0" w:color="auto"/>
            </w:tcBorders>
            <w:vAlign w:val="bottom"/>
          </w:tcPr>
          <w:p w:rsidR="00526E38" w:rsidRPr="00166400" w:rsidRDefault="00526E38" w:rsidP="00166400">
            <w:pPr>
              <w:rPr>
                <w:color w:val="000000" w:themeColor="text1"/>
              </w:rPr>
            </w:pPr>
            <w:r w:rsidRPr="00166400">
              <w:rPr>
                <w:color w:val="000000" w:themeColor="text1"/>
              </w:rPr>
              <w:t xml:space="preserve">Модель </w:t>
            </w:r>
            <w:proofErr w:type="spellStart"/>
            <w:r w:rsidRPr="00166400">
              <w:rPr>
                <w:color w:val="000000" w:themeColor="text1"/>
              </w:rPr>
              <w:t>Таффлера</w:t>
            </w:r>
            <w:proofErr w:type="spellEnd"/>
          </w:p>
        </w:tc>
        <w:tc>
          <w:tcPr>
            <w:tcW w:w="1698" w:type="pct"/>
            <w:tcBorders>
              <w:top w:val="single" w:sz="4" w:space="0" w:color="auto"/>
              <w:bottom w:val="single" w:sz="4" w:space="0" w:color="auto"/>
              <w:right w:val="single" w:sz="8" w:space="0" w:color="auto"/>
            </w:tcBorders>
            <w:vAlign w:val="bottom"/>
          </w:tcPr>
          <w:p w:rsidR="00526E38" w:rsidRPr="00166400" w:rsidRDefault="00166400" w:rsidP="00166400">
            <w:pPr>
              <w:jc w:val="both"/>
              <w:rPr>
                <w:color w:val="000000" w:themeColor="text1"/>
              </w:rPr>
            </w:pPr>
            <w:r w:rsidRPr="00166400">
              <w:rPr>
                <w:color w:val="000000" w:themeColor="text1"/>
              </w:rPr>
              <w:t>линейную регрессионную модель с четырьмя финансовыми коэффициентами для оценки финансового здоровья фирм</w:t>
            </w:r>
          </w:p>
          <w:p w:rsidR="00166400" w:rsidRPr="00166400" w:rsidRDefault="00166400" w:rsidP="00166400">
            <w:pPr>
              <w:jc w:val="both"/>
              <w:rPr>
                <w:color w:val="000000" w:themeColor="text1"/>
              </w:rPr>
            </w:pPr>
            <w:r w:rsidRPr="00166400">
              <w:rPr>
                <w:color w:val="000000" w:themeColor="text1"/>
              </w:rPr>
              <w:t>T (Z-</w:t>
            </w:r>
            <w:proofErr w:type="spellStart"/>
            <w:r w:rsidRPr="00166400">
              <w:rPr>
                <w:color w:val="000000" w:themeColor="text1"/>
              </w:rPr>
              <w:t>score</w:t>
            </w:r>
            <w:proofErr w:type="spellEnd"/>
            <w:r w:rsidRPr="00166400">
              <w:rPr>
                <w:color w:val="000000" w:themeColor="text1"/>
              </w:rPr>
              <w:t xml:space="preserve">) = 0.53*X1 + 0.13*X2 + 0.18*X3 + 0.16*X4 </w:t>
            </w:r>
          </w:p>
          <w:p w:rsidR="00166400" w:rsidRPr="00166400" w:rsidRDefault="00166400" w:rsidP="00166400">
            <w:pPr>
              <w:jc w:val="both"/>
              <w:rPr>
                <w:color w:val="000000" w:themeColor="text1"/>
              </w:rPr>
            </w:pPr>
            <w:r w:rsidRPr="00166400">
              <w:rPr>
                <w:color w:val="000000" w:themeColor="text1"/>
              </w:rPr>
              <w:t>Где:</w:t>
            </w:r>
          </w:p>
          <w:p w:rsidR="00166400" w:rsidRPr="00166400" w:rsidRDefault="00166400" w:rsidP="00166400">
            <w:pPr>
              <w:jc w:val="both"/>
              <w:rPr>
                <w:color w:val="000000" w:themeColor="text1"/>
              </w:rPr>
            </w:pPr>
            <w:r w:rsidRPr="00166400">
              <w:rPr>
                <w:color w:val="000000" w:themeColor="text1"/>
              </w:rPr>
              <w:t>X1 = Прибыль от продаж / Краткосрочные обязательства</w:t>
            </w:r>
          </w:p>
          <w:p w:rsidR="00166400" w:rsidRPr="00166400" w:rsidRDefault="00166400" w:rsidP="00166400">
            <w:pPr>
              <w:jc w:val="both"/>
              <w:rPr>
                <w:color w:val="000000" w:themeColor="text1"/>
              </w:rPr>
            </w:pPr>
            <w:r w:rsidRPr="00166400">
              <w:rPr>
                <w:color w:val="000000" w:themeColor="text1"/>
              </w:rPr>
              <w:t xml:space="preserve">X2 = Оборотные активы / (Краткосрочные обязательства + </w:t>
            </w:r>
            <w:hyperlink r:id="rId5" w:history="1">
              <w:r w:rsidRPr="00166400">
                <w:rPr>
                  <w:rStyle w:val="a5"/>
                  <w:color w:val="000000" w:themeColor="text1"/>
                  <w:u w:val="none"/>
                </w:rPr>
                <w:t>Долгосрочные обязательства</w:t>
              </w:r>
            </w:hyperlink>
            <w:r w:rsidRPr="00166400">
              <w:rPr>
                <w:color w:val="000000" w:themeColor="text1"/>
              </w:rPr>
              <w:t>)</w:t>
            </w:r>
          </w:p>
          <w:p w:rsidR="00166400" w:rsidRPr="00166400" w:rsidRDefault="00166400" w:rsidP="00166400">
            <w:pPr>
              <w:jc w:val="both"/>
              <w:rPr>
                <w:color w:val="000000" w:themeColor="text1"/>
              </w:rPr>
            </w:pPr>
            <w:r w:rsidRPr="00166400">
              <w:rPr>
                <w:color w:val="000000" w:themeColor="text1"/>
              </w:rPr>
              <w:t xml:space="preserve">X3 = </w:t>
            </w:r>
            <w:hyperlink r:id="rId6" w:history="1">
              <w:r w:rsidRPr="00166400">
                <w:rPr>
                  <w:rStyle w:val="a5"/>
                  <w:color w:val="000000" w:themeColor="text1"/>
                  <w:u w:val="none"/>
                </w:rPr>
                <w:t>Долгосрочные обязательства</w:t>
              </w:r>
            </w:hyperlink>
            <w:r w:rsidRPr="00166400">
              <w:rPr>
                <w:color w:val="000000" w:themeColor="text1"/>
              </w:rPr>
              <w:t xml:space="preserve"> / Общая сумма активов</w:t>
            </w:r>
          </w:p>
          <w:p w:rsidR="00166400" w:rsidRPr="00166400" w:rsidRDefault="00166400" w:rsidP="00166400">
            <w:pPr>
              <w:jc w:val="both"/>
              <w:rPr>
                <w:color w:val="000000" w:themeColor="text1"/>
              </w:rPr>
            </w:pPr>
            <w:r w:rsidRPr="00166400">
              <w:rPr>
                <w:color w:val="000000" w:themeColor="text1"/>
              </w:rPr>
              <w:t>X4 = Общая сумма активов / Выручка от продаж</w:t>
            </w:r>
          </w:p>
        </w:tc>
        <w:tc>
          <w:tcPr>
            <w:tcW w:w="1250" w:type="pct"/>
            <w:tcBorders>
              <w:top w:val="single" w:sz="4" w:space="0" w:color="auto"/>
              <w:bottom w:val="single" w:sz="4" w:space="0" w:color="auto"/>
              <w:right w:val="single" w:sz="8" w:space="0" w:color="auto"/>
            </w:tcBorders>
            <w:vAlign w:val="center"/>
          </w:tcPr>
          <w:p w:rsidR="00526E38" w:rsidRPr="00166400" w:rsidRDefault="00526E38" w:rsidP="00166400">
            <w:pPr>
              <w:rPr>
                <w:color w:val="000000" w:themeColor="text1"/>
              </w:rPr>
            </w:pPr>
            <w:r w:rsidRPr="00166400">
              <w:rPr>
                <w:color w:val="000000" w:themeColor="text1"/>
              </w:rPr>
              <w:t>Простота расчета, возможность применения при проведении внешнего диагностического анализа</w:t>
            </w:r>
          </w:p>
        </w:tc>
        <w:tc>
          <w:tcPr>
            <w:tcW w:w="1250" w:type="pct"/>
            <w:tcBorders>
              <w:top w:val="single" w:sz="4" w:space="0" w:color="auto"/>
              <w:bottom w:val="single" w:sz="4" w:space="0" w:color="auto"/>
              <w:right w:val="single" w:sz="8" w:space="0" w:color="auto"/>
            </w:tcBorders>
            <w:vAlign w:val="center"/>
          </w:tcPr>
          <w:p w:rsidR="00526E38" w:rsidRPr="00166400" w:rsidRDefault="00526E38" w:rsidP="00166400">
            <w:pPr>
              <w:rPr>
                <w:color w:val="000000" w:themeColor="text1"/>
              </w:rPr>
            </w:pPr>
            <w:r w:rsidRPr="00166400">
              <w:rPr>
                <w:color w:val="000000" w:themeColor="text1"/>
              </w:rPr>
              <w:t>Большинство (87,5%) обследованных должников были признаны финансово устойчивыми. Получаемые прогнозы неадекватны, поскольку достичь критического (отрицательного) уровня Z-счета практически невозможно</w:t>
            </w:r>
          </w:p>
        </w:tc>
      </w:tr>
      <w:tr w:rsidR="00166400" w:rsidRPr="00166400" w:rsidTr="00166400">
        <w:trPr>
          <w:trHeight w:val="271"/>
        </w:trPr>
        <w:tc>
          <w:tcPr>
            <w:tcW w:w="801" w:type="pct"/>
            <w:tcBorders>
              <w:top w:val="single" w:sz="4" w:space="0" w:color="auto"/>
              <w:left w:val="single" w:sz="8" w:space="0" w:color="auto"/>
              <w:bottom w:val="single" w:sz="4" w:space="0" w:color="auto"/>
              <w:right w:val="single" w:sz="8" w:space="0" w:color="auto"/>
            </w:tcBorders>
            <w:vAlign w:val="bottom"/>
          </w:tcPr>
          <w:p w:rsidR="00166400" w:rsidRPr="00166400" w:rsidRDefault="00166400" w:rsidP="00166400">
            <w:pPr>
              <w:rPr>
                <w:color w:val="000000" w:themeColor="text1"/>
              </w:rPr>
            </w:pPr>
            <w:r w:rsidRPr="00166400">
              <w:rPr>
                <w:color w:val="000000" w:themeColor="text1"/>
              </w:rPr>
              <w:t>Модель Зайцевой</w:t>
            </w:r>
          </w:p>
        </w:tc>
        <w:tc>
          <w:tcPr>
            <w:tcW w:w="1698" w:type="pct"/>
            <w:tcBorders>
              <w:top w:val="single" w:sz="4" w:space="0" w:color="auto"/>
              <w:bottom w:val="single" w:sz="4" w:space="0" w:color="auto"/>
              <w:right w:val="single" w:sz="8" w:space="0" w:color="auto"/>
            </w:tcBorders>
            <w:vAlign w:val="bottom"/>
          </w:tcPr>
          <w:p w:rsidR="00166400" w:rsidRPr="00166400" w:rsidRDefault="00166400" w:rsidP="00166400">
            <w:pPr>
              <w:jc w:val="both"/>
            </w:pPr>
            <w:r w:rsidRPr="00166400">
              <w:t xml:space="preserve">одна из первых отечественных моделей прогнозирования банкротства, появившихся в 90-х годах 20 века. Модель </w:t>
            </w:r>
            <w:proofErr w:type="gramStart"/>
            <w:r w:rsidRPr="00166400">
              <w:t>О.П.</w:t>
            </w:r>
            <w:proofErr w:type="gramEnd"/>
            <w:r w:rsidRPr="00166400">
              <w:t xml:space="preserve"> Зайцевой имеет вид:</w:t>
            </w:r>
          </w:p>
          <w:p w:rsidR="00166400" w:rsidRPr="00166400" w:rsidRDefault="00166400" w:rsidP="00166400">
            <w:pPr>
              <w:jc w:val="both"/>
            </w:pPr>
            <w:r w:rsidRPr="00166400">
              <w:t xml:space="preserve">К = 0,25Х1 + 0,1Х2 + 0,2Х3 + 0,25Х4+ 0,1Х5 + 0,1Х6 </w:t>
            </w:r>
          </w:p>
          <w:p w:rsidR="00166400" w:rsidRPr="00166400" w:rsidRDefault="00166400" w:rsidP="00166400">
            <w:pPr>
              <w:jc w:val="both"/>
            </w:pPr>
            <w:r w:rsidRPr="00166400">
              <w:t>где:</w:t>
            </w:r>
          </w:p>
          <w:p w:rsidR="00166400" w:rsidRPr="00166400" w:rsidRDefault="00166400" w:rsidP="00166400">
            <w:pPr>
              <w:jc w:val="both"/>
            </w:pPr>
            <w:r w:rsidRPr="00166400">
              <w:t xml:space="preserve">Х1 — Куп – коэффициент убыточности предприятия, </w:t>
            </w:r>
            <w:r w:rsidRPr="00166400">
              <w:lastRenderedPageBreak/>
              <w:t>характеризующийся отношением чистого убытка к собственному капиталу;</w:t>
            </w:r>
          </w:p>
          <w:p w:rsidR="00166400" w:rsidRPr="00166400" w:rsidRDefault="00166400" w:rsidP="00166400">
            <w:pPr>
              <w:jc w:val="both"/>
            </w:pPr>
            <w:r w:rsidRPr="00166400">
              <w:t xml:space="preserve">Х2 — </w:t>
            </w:r>
            <w:proofErr w:type="spellStart"/>
            <w:r w:rsidRPr="00166400">
              <w:t>Кз</w:t>
            </w:r>
            <w:proofErr w:type="spellEnd"/>
            <w:r w:rsidRPr="00166400">
              <w:t xml:space="preserve"> – коэффициент соотношения кредиторской и дебиторской задолженности;</w:t>
            </w:r>
          </w:p>
          <w:p w:rsidR="00166400" w:rsidRPr="00166400" w:rsidRDefault="00166400" w:rsidP="00166400">
            <w:pPr>
              <w:jc w:val="both"/>
            </w:pPr>
            <w:r w:rsidRPr="00166400">
              <w:t>Х3 — Кс – показатель соотношения краткосрочных обязательств и наиболее ликвидных активов, этот коэффициент является обратной величиной показателя абсолютной ликвидности;</w:t>
            </w:r>
          </w:p>
          <w:p w:rsidR="00166400" w:rsidRPr="00166400" w:rsidRDefault="00166400" w:rsidP="00166400">
            <w:pPr>
              <w:jc w:val="both"/>
            </w:pPr>
            <w:r w:rsidRPr="00166400">
              <w:t>Х4 — Кур – убыточность реализации продукции, характеризующийся отношением чистого убытка к объёму реализации этой продукции;</w:t>
            </w:r>
          </w:p>
          <w:p w:rsidR="00166400" w:rsidRPr="00166400" w:rsidRDefault="00166400" w:rsidP="00166400">
            <w:pPr>
              <w:jc w:val="both"/>
            </w:pPr>
            <w:r w:rsidRPr="00166400">
              <w:t xml:space="preserve">Х5 — </w:t>
            </w:r>
            <w:proofErr w:type="spellStart"/>
            <w:r w:rsidRPr="00166400">
              <w:t>Кфл</w:t>
            </w:r>
            <w:proofErr w:type="spellEnd"/>
            <w:r w:rsidRPr="00166400">
              <w:t xml:space="preserve"> – коэффициент финансового левериджа (финансового риска) — отношение заемного капитала (долгосрочные и краткосрочные обязательства) к собственным источникам финансирования;</w:t>
            </w:r>
          </w:p>
          <w:p w:rsidR="00166400" w:rsidRPr="00166400" w:rsidRDefault="00166400" w:rsidP="00166400">
            <w:pPr>
              <w:jc w:val="both"/>
            </w:pPr>
            <w:r w:rsidRPr="00166400">
              <w:t xml:space="preserve">Х6 — </w:t>
            </w:r>
            <w:proofErr w:type="spellStart"/>
            <w:r w:rsidRPr="00166400">
              <w:t>Кзаг</w:t>
            </w:r>
            <w:proofErr w:type="spellEnd"/>
            <w:r w:rsidRPr="00166400">
              <w:t xml:space="preserve"> – коэффициент загрузки активов как величина, обратная коэффициенту оборачиваемости активов – отношение общей величины активов предприятия (валюты баланса) к выручке</w:t>
            </w:r>
          </w:p>
        </w:tc>
        <w:tc>
          <w:tcPr>
            <w:tcW w:w="1250" w:type="pct"/>
            <w:tcBorders>
              <w:top w:val="single" w:sz="4" w:space="0" w:color="auto"/>
              <w:bottom w:val="single" w:sz="4" w:space="0" w:color="auto"/>
              <w:right w:val="single" w:sz="8" w:space="0" w:color="auto"/>
            </w:tcBorders>
            <w:vAlign w:val="center"/>
          </w:tcPr>
          <w:p w:rsidR="00166400" w:rsidRPr="00166400" w:rsidRDefault="00166400" w:rsidP="00166400">
            <w:pPr>
              <w:rPr>
                <w:color w:val="000000" w:themeColor="text1"/>
              </w:rPr>
            </w:pPr>
            <w:r w:rsidRPr="00166400">
              <w:rPr>
                <w:color w:val="000000" w:themeColor="text1"/>
              </w:rPr>
              <w:lastRenderedPageBreak/>
              <w:t>Модель использует в качестве переменных 6 финансовых показателей, для которых определены нормативные значения</w:t>
            </w:r>
          </w:p>
        </w:tc>
        <w:tc>
          <w:tcPr>
            <w:tcW w:w="1250" w:type="pct"/>
            <w:tcBorders>
              <w:top w:val="single" w:sz="4" w:space="0" w:color="auto"/>
              <w:bottom w:val="single" w:sz="4" w:space="0" w:color="auto"/>
              <w:right w:val="single" w:sz="8" w:space="0" w:color="auto"/>
            </w:tcBorders>
            <w:vAlign w:val="center"/>
          </w:tcPr>
          <w:p w:rsidR="00166400" w:rsidRPr="00166400" w:rsidRDefault="00166400" w:rsidP="00166400">
            <w:pPr>
              <w:rPr>
                <w:color w:val="000000" w:themeColor="text1"/>
              </w:rPr>
            </w:pPr>
            <w:r w:rsidRPr="00166400">
              <w:rPr>
                <w:color w:val="000000" w:themeColor="text1"/>
              </w:rPr>
              <w:t xml:space="preserve">Методика недостаточно хорошо описана, не дана техника расчета коэффициентов. Невысокая адекватность прогнозов - у 21,9% несостоятельных организаций вероятность банкротства признана низкой. Существует </w:t>
            </w:r>
            <w:r w:rsidRPr="00166400">
              <w:rPr>
                <w:color w:val="000000" w:themeColor="text1"/>
              </w:rPr>
              <w:lastRenderedPageBreak/>
              <w:t>необходимость привлечения данных коэффициенте загрузки за предыдущие периоды, что ограничивает возможности использования модели при проведении внешнего анализа</w:t>
            </w:r>
          </w:p>
        </w:tc>
      </w:tr>
      <w:tr w:rsidR="00166400" w:rsidRPr="00166400" w:rsidTr="00166400">
        <w:trPr>
          <w:trHeight w:val="271"/>
        </w:trPr>
        <w:tc>
          <w:tcPr>
            <w:tcW w:w="801" w:type="pct"/>
            <w:tcBorders>
              <w:top w:val="single" w:sz="4" w:space="0" w:color="auto"/>
              <w:left w:val="single" w:sz="8" w:space="0" w:color="auto"/>
              <w:bottom w:val="single" w:sz="4" w:space="0" w:color="auto"/>
              <w:right w:val="single" w:sz="8" w:space="0" w:color="auto"/>
            </w:tcBorders>
            <w:vAlign w:val="bottom"/>
          </w:tcPr>
          <w:p w:rsidR="00166400" w:rsidRPr="00166400" w:rsidRDefault="00166400" w:rsidP="00166400">
            <w:pPr>
              <w:rPr>
                <w:color w:val="000000" w:themeColor="text1"/>
              </w:rPr>
            </w:pPr>
            <w:r w:rsidRPr="00166400">
              <w:rPr>
                <w:color w:val="000000" w:themeColor="text1"/>
              </w:rPr>
              <w:lastRenderedPageBreak/>
              <w:t xml:space="preserve">Модель </w:t>
            </w:r>
            <w:proofErr w:type="spellStart"/>
            <w:r w:rsidRPr="00166400">
              <w:rPr>
                <w:color w:val="000000" w:themeColor="text1"/>
              </w:rPr>
              <w:t>Фулмера</w:t>
            </w:r>
            <w:proofErr w:type="spellEnd"/>
          </w:p>
        </w:tc>
        <w:tc>
          <w:tcPr>
            <w:tcW w:w="1698" w:type="pct"/>
            <w:tcBorders>
              <w:top w:val="single" w:sz="4" w:space="0" w:color="auto"/>
              <w:bottom w:val="single" w:sz="4" w:space="0" w:color="auto"/>
              <w:right w:val="single" w:sz="8" w:space="0" w:color="auto"/>
            </w:tcBorders>
            <w:vAlign w:val="bottom"/>
          </w:tcPr>
          <w:p w:rsidR="00166400" w:rsidRPr="00166400" w:rsidRDefault="00166400" w:rsidP="00166400">
            <w:pPr>
              <w:jc w:val="both"/>
            </w:pPr>
            <w:r w:rsidRPr="00166400">
              <w:t xml:space="preserve">H = 5,528*Х1 + 0,212*Х2 + 0,073*Х3 + 1,270*Х4 – 0,120*Х5 + 2,335*Х6 + 0,575*Х7 + 1,083*Х8 + 0,894*Х9 – 6,075 </w:t>
            </w:r>
          </w:p>
          <w:p w:rsidR="00166400" w:rsidRPr="00166400" w:rsidRDefault="00166400" w:rsidP="00166400">
            <w:pPr>
              <w:jc w:val="both"/>
            </w:pPr>
            <w:r w:rsidRPr="00166400">
              <w:t>где,</w:t>
            </w:r>
          </w:p>
          <w:p w:rsidR="00166400" w:rsidRPr="00166400" w:rsidRDefault="00166400" w:rsidP="00166400">
            <w:pPr>
              <w:jc w:val="both"/>
            </w:pPr>
            <w:r w:rsidRPr="00166400">
              <w:t>Х1 - Нераспределенная прибыль прошлых лет / Баланс;</w:t>
            </w:r>
          </w:p>
          <w:p w:rsidR="00166400" w:rsidRPr="00166400" w:rsidRDefault="00166400" w:rsidP="00166400">
            <w:pPr>
              <w:jc w:val="both"/>
            </w:pPr>
            <w:r w:rsidRPr="00166400">
              <w:t>Х2 - Выручка от реализации / Баланс;</w:t>
            </w:r>
          </w:p>
          <w:p w:rsidR="00166400" w:rsidRPr="00166400" w:rsidRDefault="00166400" w:rsidP="00166400">
            <w:pPr>
              <w:jc w:val="both"/>
            </w:pPr>
            <w:r w:rsidRPr="00166400">
              <w:t>Х3 - Прибыль до уплаты налогов / Собственный капитал;</w:t>
            </w:r>
          </w:p>
          <w:p w:rsidR="00166400" w:rsidRPr="00166400" w:rsidRDefault="00166400" w:rsidP="00166400">
            <w:pPr>
              <w:jc w:val="both"/>
            </w:pPr>
            <w:r w:rsidRPr="00166400">
              <w:t>Х4 - Денежный поток / Долгосрочные и краткосрочные обязательства;</w:t>
            </w:r>
          </w:p>
          <w:p w:rsidR="00166400" w:rsidRPr="00166400" w:rsidRDefault="00166400" w:rsidP="00166400">
            <w:pPr>
              <w:jc w:val="both"/>
            </w:pPr>
            <w:r w:rsidRPr="00166400">
              <w:t>Х5 - Долгосрочные обязательства / Баланс;</w:t>
            </w:r>
          </w:p>
          <w:p w:rsidR="00166400" w:rsidRPr="00166400" w:rsidRDefault="00166400" w:rsidP="00166400">
            <w:pPr>
              <w:jc w:val="both"/>
            </w:pPr>
            <w:r w:rsidRPr="00166400">
              <w:t>Х6 - Краткосрочные обязательства / Совокупные активы;</w:t>
            </w:r>
          </w:p>
          <w:p w:rsidR="00166400" w:rsidRPr="00166400" w:rsidRDefault="00166400" w:rsidP="00166400">
            <w:pPr>
              <w:jc w:val="both"/>
            </w:pPr>
            <w:r w:rsidRPr="00166400">
              <w:t xml:space="preserve">Х7 - </w:t>
            </w:r>
            <w:proofErr w:type="spellStart"/>
            <w:r w:rsidRPr="00166400">
              <w:t>log</w:t>
            </w:r>
            <w:proofErr w:type="spellEnd"/>
            <w:r w:rsidRPr="00166400">
              <w:t xml:space="preserve"> (материальные активы);</w:t>
            </w:r>
          </w:p>
          <w:p w:rsidR="00166400" w:rsidRPr="00166400" w:rsidRDefault="00166400" w:rsidP="00166400">
            <w:pPr>
              <w:jc w:val="both"/>
            </w:pPr>
            <w:r w:rsidRPr="00166400">
              <w:t>Х8 - Оборотный капитал / Долгосрочные и краткосрочные обязательства;</w:t>
            </w:r>
          </w:p>
          <w:p w:rsidR="00166400" w:rsidRPr="00166400" w:rsidRDefault="00166400" w:rsidP="00166400">
            <w:pPr>
              <w:jc w:val="both"/>
              <w:rPr>
                <w:rFonts w:eastAsia="Times New Roman"/>
                <w:sz w:val="23"/>
                <w:szCs w:val="23"/>
              </w:rPr>
            </w:pPr>
            <w:r w:rsidRPr="00166400">
              <w:t xml:space="preserve">Х9 - </w:t>
            </w:r>
            <w:proofErr w:type="spellStart"/>
            <w:r w:rsidRPr="00166400">
              <w:t>log</w:t>
            </w:r>
            <w:proofErr w:type="spellEnd"/>
            <w:r w:rsidRPr="00166400">
              <w:t xml:space="preserve"> (прибыль до налогообложения + проценты к уплате/выплаченные проценты)</w:t>
            </w:r>
          </w:p>
        </w:tc>
        <w:tc>
          <w:tcPr>
            <w:tcW w:w="1250" w:type="pct"/>
            <w:tcBorders>
              <w:top w:val="single" w:sz="4" w:space="0" w:color="auto"/>
              <w:bottom w:val="single" w:sz="4" w:space="0" w:color="auto"/>
              <w:right w:val="single" w:sz="8" w:space="0" w:color="auto"/>
            </w:tcBorders>
            <w:vAlign w:val="center"/>
          </w:tcPr>
          <w:p w:rsidR="00166400" w:rsidRPr="00166400" w:rsidRDefault="00166400" w:rsidP="00166400">
            <w:pPr>
              <w:rPr>
                <w:color w:val="000000" w:themeColor="text1"/>
              </w:rPr>
            </w:pPr>
            <w:r w:rsidRPr="00166400">
              <w:rPr>
                <w:color w:val="000000" w:themeColor="text1"/>
              </w:rPr>
              <w:t>Модель использует в качестве переменных 9 финансовых коэффициентов. Возможно динамическое прогнозирование финансового состояния</w:t>
            </w:r>
          </w:p>
        </w:tc>
        <w:tc>
          <w:tcPr>
            <w:tcW w:w="1250" w:type="pct"/>
            <w:tcBorders>
              <w:top w:val="single" w:sz="4" w:space="0" w:color="auto"/>
              <w:bottom w:val="single" w:sz="4" w:space="0" w:color="auto"/>
              <w:right w:val="single" w:sz="8" w:space="0" w:color="auto"/>
            </w:tcBorders>
            <w:vAlign w:val="center"/>
          </w:tcPr>
          <w:p w:rsidR="00166400" w:rsidRPr="00166400" w:rsidRDefault="00166400" w:rsidP="00166400">
            <w:pPr>
              <w:rPr>
                <w:color w:val="000000" w:themeColor="text1"/>
              </w:rPr>
            </w:pPr>
            <w:r w:rsidRPr="00166400">
              <w:rPr>
                <w:color w:val="000000" w:themeColor="text1"/>
              </w:rPr>
              <w:t>Модель дает неадекватный прогноз. Среди обследованных предприятий-должников 56,2% были признаны финансово состоятельными, только 18,75% получили оценку «фактический банкрот». Критическое значение H-счета занижено, существуют определенные технические сложности в произведении расчетов</w:t>
            </w:r>
          </w:p>
        </w:tc>
      </w:tr>
      <w:tr w:rsidR="00166400" w:rsidRPr="00166400" w:rsidTr="00166400">
        <w:trPr>
          <w:trHeight w:val="271"/>
        </w:trPr>
        <w:tc>
          <w:tcPr>
            <w:tcW w:w="801" w:type="pct"/>
            <w:tcBorders>
              <w:top w:val="single" w:sz="4" w:space="0" w:color="auto"/>
              <w:left w:val="single" w:sz="8" w:space="0" w:color="auto"/>
              <w:bottom w:val="single" w:sz="4" w:space="0" w:color="auto"/>
              <w:right w:val="single" w:sz="8" w:space="0" w:color="auto"/>
            </w:tcBorders>
            <w:vAlign w:val="bottom"/>
          </w:tcPr>
          <w:p w:rsidR="00166400" w:rsidRPr="00166400" w:rsidRDefault="00166400" w:rsidP="00166400">
            <w:pPr>
              <w:rPr>
                <w:color w:val="000000" w:themeColor="text1"/>
              </w:rPr>
            </w:pPr>
            <w:hyperlink r:id="rId7" w:tgtFrame="_blank" w:tooltip="Прогнозная модель платежеспособности Спрингейта" w:history="1">
              <w:r w:rsidRPr="00166400">
                <w:rPr>
                  <w:rStyle w:val="a5"/>
                  <w:color w:val="000000" w:themeColor="text1"/>
                  <w:u w:val="none"/>
                </w:rPr>
                <w:t xml:space="preserve">Модель </w:t>
              </w:r>
              <w:proofErr w:type="spellStart"/>
              <w:r w:rsidRPr="00166400">
                <w:rPr>
                  <w:rStyle w:val="a5"/>
                  <w:color w:val="000000" w:themeColor="text1"/>
                  <w:u w:val="none"/>
                </w:rPr>
                <w:t>Спрингейта</w:t>
              </w:r>
              <w:proofErr w:type="spellEnd"/>
            </w:hyperlink>
          </w:p>
        </w:tc>
        <w:tc>
          <w:tcPr>
            <w:tcW w:w="1698" w:type="pct"/>
            <w:tcBorders>
              <w:top w:val="single" w:sz="4" w:space="0" w:color="auto"/>
              <w:bottom w:val="single" w:sz="4" w:space="0" w:color="auto"/>
              <w:right w:val="single" w:sz="8" w:space="0" w:color="auto"/>
            </w:tcBorders>
            <w:vAlign w:val="bottom"/>
          </w:tcPr>
          <w:p w:rsidR="00166400" w:rsidRPr="00166400" w:rsidRDefault="00166400" w:rsidP="00166400">
            <w:pPr>
              <w:jc w:val="both"/>
            </w:pPr>
            <w:r w:rsidRPr="00166400">
              <w:t>на основании модели Альтмана и пошагового дискриминантного анализа была разработана модель прогнозирования вероятности банкротства предприятия.</w:t>
            </w:r>
          </w:p>
          <w:p w:rsidR="00166400" w:rsidRPr="00166400" w:rsidRDefault="00166400" w:rsidP="00166400">
            <w:pPr>
              <w:jc w:val="both"/>
            </w:pPr>
            <w:r w:rsidRPr="00166400">
              <w:t xml:space="preserve">Z = 1,03X1 + 3,07X2 + 0,66X3 + 0,4X4 </w:t>
            </w:r>
          </w:p>
          <w:p w:rsidR="00166400" w:rsidRPr="00166400" w:rsidRDefault="00166400" w:rsidP="00166400">
            <w:pPr>
              <w:jc w:val="both"/>
            </w:pPr>
            <w:r w:rsidRPr="00166400">
              <w:lastRenderedPageBreak/>
              <w:t>где,</w:t>
            </w:r>
          </w:p>
          <w:p w:rsidR="00166400" w:rsidRPr="00166400" w:rsidRDefault="00166400" w:rsidP="00166400">
            <w:pPr>
              <w:jc w:val="both"/>
            </w:pPr>
            <w:r w:rsidRPr="00166400">
              <w:t>Х1 = Оборотный капитал / Баланс;</w:t>
            </w:r>
          </w:p>
          <w:p w:rsidR="00166400" w:rsidRPr="00166400" w:rsidRDefault="00166400" w:rsidP="00166400">
            <w:pPr>
              <w:jc w:val="both"/>
            </w:pPr>
            <w:r w:rsidRPr="00166400">
              <w:t>Х2 = EBIT / Баланс;</w:t>
            </w:r>
          </w:p>
          <w:p w:rsidR="00166400" w:rsidRPr="00166400" w:rsidRDefault="00166400" w:rsidP="00166400">
            <w:pPr>
              <w:jc w:val="both"/>
            </w:pPr>
            <w:r w:rsidRPr="00166400">
              <w:t>Х3 = EBT / Краткосрочные обязательства;</w:t>
            </w:r>
          </w:p>
          <w:p w:rsidR="00166400" w:rsidRPr="00166400" w:rsidRDefault="00166400" w:rsidP="00166400">
            <w:pPr>
              <w:jc w:val="both"/>
              <w:rPr>
                <w:rFonts w:ascii="&amp;quot" w:eastAsia="Times New Roman" w:hAnsi="&amp;quot"/>
              </w:rPr>
            </w:pPr>
            <w:r w:rsidRPr="00166400">
              <w:t>Х4 = Выручка (нетто) от реализации / Баланс</w:t>
            </w:r>
          </w:p>
        </w:tc>
        <w:tc>
          <w:tcPr>
            <w:tcW w:w="1250" w:type="pct"/>
            <w:tcBorders>
              <w:top w:val="single" w:sz="4" w:space="0" w:color="auto"/>
              <w:bottom w:val="single" w:sz="4" w:space="0" w:color="auto"/>
              <w:right w:val="single" w:sz="8" w:space="0" w:color="auto"/>
            </w:tcBorders>
            <w:vAlign w:val="center"/>
          </w:tcPr>
          <w:p w:rsidR="00166400" w:rsidRPr="00166400" w:rsidRDefault="00166400" w:rsidP="00166400">
            <w:pPr>
              <w:rPr>
                <w:color w:val="000000" w:themeColor="text1"/>
              </w:rPr>
            </w:pPr>
            <w:r w:rsidRPr="00166400">
              <w:rPr>
                <w:color w:val="000000" w:themeColor="text1"/>
              </w:rPr>
              <w:lastRenderedPageBreak/>
              <w:t>Модель показывает достаточный уровень надежности прогноза</w:t>
            </w:r>
          </w:p>
        </w:tc>
        <w:tc>
          <w:tcPr>
            <w:tcW w:w="1250" w:type="pct"/>
            <w:tcBorders>
              <w:top w:val="single" w:sz="4" w:space="0" w:color="auto"/>
              <w:bottom w:val="single" w:sz="4" w:space="0" w:color="auto"/>
              <w:right w:val="single" w:sz="8" w:space="0" w:color="auto"/>
            </w:tcBorders>
            <w:vAlign w:val="center"/>
          </w:tcPr>
          <w:p w:rsidR="00166400" w:rsidRPr="00166400" w:rsidRDefault="00166400" w:rsidP="00166400">
            <w:pPr>
              <w:rPr>
                <w:color w:val="000000" w:themeColor="text1"/>
              </w:rPr>
            </w:pPr>
            <w:r w:rsidRPr="00166400">
              <w:rPr>
                <w:color w:val="000000" w:themeColor="text1"/>
              </w:rPr>
              <w:t>Нет отраслевой и региональной дифференциации Z-счета. Между переменными наблюдается достаточно высокая корреляция</w:t>
            </w:r>
          </w:p>
        </w:tc>
      </w:tr>
      <w:tr w:rsidR="00166400" w:rsidRPr="00166400" w:rsidTr="00166400">
        <w:trPr>
          <w:trHeight w:val="271"/>
        </w:trPr>
        <w:tc>
          <w:tcPr>
            <w:tcW w:w="801" w:type="pct"/>
            <w:tcBorders>
              <w:top w:val="single" w:sz="4" w:space="0" w:color="auto"/>
              <w:left w:val="single" w:sz="8" w:space="0" w:color="auto"/>
              <w:bottom w:val="single" w:sz="4" w:space="0" w:color="auto"/>
              <w:right w:val="single" w:sz="8" w:space="0" w:color="auto"/>
            </w:tcBorders>
            <w:vAlign w:val="bottom"/>
          </w:tcPr>
          <w:p w:rsidR="00526E38" w:rsidRPr="00166400" w:rsidRDefault="00526E38" w:rsidP="00166400">
            <w:pPr>
              <w:rPr>
                <w:color w:val="000000" w:themeColor="text1"/>
              </w:rPr>
            </w:pPr>
            <w:r w:rsidRPr="00166400">
              <w:rPr>
                <w:color w:val="000000" w:themeColor="text1"/>
              </w:rPr>
              <w:t xml:space="preserve">Модель </w:t>
            </w:r>
            <w:proofErr w:type="spellStart"/>
            <w:r w:rsidRPr="00166400">
              <w:rPr>
                <w:color w:val="000000" w:themeColor="text1"/>
              </w:rPr>
              <w:t>Чессера</w:t>
            </w:r>
            <w:proofErr w:type="spellEnd"/>
          </w:p>
        </w:tc>
        <w:tc>
          <w:tcPr>
            <w:tcW w:w="1698" w:type="pct"/>
            <w:tcBorders>
              <w:top w:val="single" w:sz="4" w:space="0" w:color="auto"/>
              <w:bottom w:val="single" w:sz="4" w:space="0" w:color="auto"/>
              <w:right w:val="single" w:sz="8" w:space="0" w:color="auto"/>
            </w:tcBorders>
            <w:vAlign w:val="bottom"/>
          </w:tcPr>
          <w:p w:rsidR="00526E38" w:rsidRPr="00166400" w:rsidRDefault="00526E38" w:rsidP="00166400">
            <w:pPr>
              <w:jc w:val="both"/>
              <w:rPr>
                <w:color w:val="000000" w:themeColor="text1"/>
              </w:rPr>
            </w:pPr>
            <w:r w:rsidRPr="00166400">
              <w:rPr>
                <w:color w:val="000000" w:themeColor="text1"/>
              </w:rPr>
              <w:t>прогноз на невыполнение заемщиком условий кредитного договора.</w:t>
            </w:r>
          </w:p>
        </w:tc>
        <w:tc>
          <w:tcPr>
            <w:tcW w:w="1250" w:type="pct"/>
            <w:tcBorders>
              <w:top w:val="single" w:sz="4" w:space="0" w:color="auto"/>
              <w:bottom w:val="single" w:sz="4" w:space="0" w:color="auto"/>
              <w:right w:val="single" w:sz="8" w:space="0" w:color="auto"/>
            </w:tcBorders>
            <w:vAlign w:val="bottom"/>
          </w:tcPr>
          <w:p w:rsidR="00526E38" w:rsidRPr="00166400" w:rsidRDefault="00166400" w:rsidP="00166400">
            <w:pPr>
              <w:jc w:val="both"/>
            </w:pPr>
            <w:r w:rsidRPr="00166400">
              <w:t>подходит для оценки надежности кредитов. Однако, используя математические методы при управлении ссудами банка, необходимо иметь в виду, что предоставление коммерческих кредитов не есть чисто механический акт.</w:t>
            </w:r>
          </w:p>
        </w:tc>
        <w:tc>
          <w:tcPr>
            <w:tcW w:w="1250" w:type="pct"/>
            <w:tcBorders>
              <w:top w:val="single" w:sz="4" w:space="0" w:color="auto"/>
              <w:bottom w:val="single" w:sz="4" w:space="0" w:color="auto"/>
              <w:right w:val="single" w:sz="8" w:space="0" w:color="auto"/>
            </w:tcBorders>
            <w:vAlign w:val="bottom"/>
          </w:tcPr>
          <w:p w:rsidR="00526E38" w:rsidRPr="00166400" w:rsidRDefault="00166400" w:rsidP="00166400">
            <w:pPr>
              <w:jc w:val="both"/>
            </w:pPr>
            <w:r w:rsidRPr="00166400">
              <w:t>модель не учитывает роль межличностных отношений, а в практике кредитного анализа и кредитования этот фактор необходимо учитывать.</w:t>
            </w:r>
          </w:p>
        </w:tc>
      </w:tr>
      <w:tr w:rsidR="00166400" w:rsidRPr="00166400" w:rsidTr="00166400">
        <w:trPr>
          <w:trHeight w:val="271"/>
        </w:trPr>
        <w:tc>
          <w:tcPr>
            <w:tcW w:w="801" w:type="pct"/>
            <w:tcBorders>
              <w:top w:val="single" w:sz="4" w:space="0" w:color="auto"/>
              <w:left w:val="single" w:sz="8" w:space="0" w:color="auto"/>
              <w:bottom w:val="single" w:sz="4" w:space="0" w:color="auto"/>
              <w:right w:val="single" w:sz="8" w:space="0" w:color="auto"/>
            </w:tcBorders>
            <w:vAlign w:val="bottom"/>
          </w:tcPr>
          <w:p w:rsidR="00526E38" w:rsidRPr="00166400" w:rsidRDefault="00526E38" w:rsidP="00166400">
            <w:pPr>
              <w:rPr>
                <w:color w:val="000000" w:themeColor="text1"/>
              </w:rPr>
            </w:pPr>
            <w:r w:rsidRPr="00166400">
              <w:rPr>
                <w:color w:val="000000" w:themeColor="text1"/>
              </w:rPr>
              <w:t>Системы показателей</w:t>
            </w:r>
          </w:p>
        </w:tc>
        <w:tc>
          <w:tcPr>
            <w:tcW w:w="1698" w:type="pct"/>
            <w:tcBorders>
              <w:top w:val="single" w:sz="4" w:space="0" w:color="auto"/>
              <w:bottom w:val="single" w:sz="4" w:space="0" w:color="auto"/>
              <w:right w:val="single" w:sz="8" w:space="0" w:color="auto"/>
            </w:tcBorders>
            <w:vAlign w:val="bottom"/>
          </w:tcPr>
          <w:p w:rsidR="00526E38" w:rsidRPr="00166400" w:rsidRDefault="00526E38" w:rsidP="00166400">
            <w:pPr>
              <w:jc w:val="both"/>
              <w:rPr>
                <w:color w:val="000000" w:themeColor="text1"/>
              </w:rPr>
            </w:pPr>
            <w:bookmarkStart w:id="2" w:name="_GoBack"/>
            <w:r w:rsidRPr="00166400">
              <w:rPr>
                <w:color w:val="000000" w:themeColor="text1"/>
              </w:rPr>
              <w:t>Данная система включает следующие коэффициенты:</w:t>
            </w:r>
          </w:p>
          <w:p w:rsidR="00526E38" w:rsidRPr="00166400" w:rsidRDefault="00526E38" w:rsidP="00166400">
            <w:pPr>
              <w:jc w:val="both"/>
              <w:rPr>
                <w:color w:val="000000" w:themeColor="text1"/>
              </w:rPr>
            </w:pPr>
            <w:r w:rsidRPr="00166400">
              <w:rPr>
                <w:color w:val="000000" w:themeColor="text1"/>
              </w:rPr>
              <w:t xml:space="preserve">- коэффициент </w:t>
            </w:r>
            <w:proofErr w:type="spellStart"/>
            <w:r w:rsidRPr="00166400">
              <w:rPr>
                <w:color w:val="000000" w:themeColor="text1"/>
              </w:rPr>
              <w:t>Бивера</w:t>
            </w:r>
            <w:proofErr w:type="spellEnd"/>
            <w:r w:rsidRPr="00166400">
              <w:rPr>
                <w:color w:val="000000" w:themeColor="text1"/>
              </w:rPr>
              <w:t xml:space="preserve"> (</w:t>
            </w:r>
            <w:proofErr w:type="spellStart"/>
            <w:r w:rsidRPr="00166400">
              <w:rPr>
                <w:color w:val="000000" w:themeColor="text1"/>
              </w:rPr>
              <w:t>КБивера</w:t>
            </w:r>
            <w:proofErr w:type="spellEnd"/>
            <w:r w:rsidRPr="00166400">
              <w:rPr>
                <w:color w:val="000000" w:themeColor="text1"/>
              </w:rPr>
              <w:t>);</w:t>
            </w:r>
          </w:p>
          <w:p w:rsidR="00526E38" w:rsidRPr="00166400" w:rsidRDefault="00526E38" w:rsidP="00166400">
            <w:pPr>
              <w:jc w:val="both"/>
              <w:rPr>
                <w:color w:val="000000" w:themeColor="text1"/>
              </w:rPr>
            </w:pPr>
            <w:r w:rsidRPr="00166400">
              <w:rPr>
                <w:color w:val="000000" w:themeColor="text1"/>
              </w:rPr>
              <w:t>- рентабельность активов; соотношение заемного и собственного капитала или финансовый леверидж;</w:t>
            </w:r>
          </w:p>
          <w:p w:rsidR="00526E38" w:rsidRPr="00166400" w:rsidRDefault="00526E38" w:rsidP="00166400">
            <w:pPr>
              <w:jc w:val="both"/>
              <w:rPr>
                <w:color w:val="000000" w:themeColor="text1"/>
              </w:rPr>
            </w:pPr>
            <w:r w:rsidRPr="00166400">
              <w:rPr>
                <w:color w:val="000000" w:themeColor="text1"/>
              </w:rPr>
              <w:t>- коэффициент покрытия активов собственными оборотными средствами;</w:t>
            </w:r>
          </w:p>
          <w:p w:rsidR="00526E38" w:rsidRPr="00166400" w:rsidRDefault="00526E38" w:rsidP="00166400">
            <w:pPr>
              <w:jc w:val="both"/>
              <w:rPr>
                <w:color w:val="000000" w:themeColor="text1"/>
              </w:rPr>
            </w:pPr>
            <w:r w:rsidRPr="00166400">
              <w:rPr>
                <w:color w:val="000000" w:themeColor="text1"/>
              </w:rPr>
              <w:t>- коэффициент покрытия краткосрочных заемных средств оборотными активами</w:t>
            </w:r>
            <w:bookmarkEnd w:id="2"/>
          </w:p>
        </w:tc>
        <w:tc>
          <w:tcPr>
            <w:tcW w:w="1250" w:type="pct"/>
            <w:tcBorders>
              <w:top w:val="single" w:sz="4" w:space="0" w:color="auto"/>
              <w:bottom w:val="single" w:sz="4" w:space="0" w:color="auto"/>
              <w:right w:val="single" w:sz="8" w:space="0" w:color="auto"/>
            </w:tcBorders>
            <w:vAlign w:val="bottom"/>
          </w:tcPr>
          <w:p w:rsidR="00526E38" w:rsidRPr="00166400" w:rsidRDefault="00526E38" w:rsidP="00166400">
            <w:pPr>
              <w:jc w:val="both"/>
              <w:rPr>
                <w:color w:val="000000" w:themeColor="text1"/>
              </w:rPr>
            </w:pPr>
          </w:p>
        </w:tc>
        <w:tc>
          <w:tcPr>
            <w:tcW w:w="1250" w:type="pct"/>
            <w:tcBorders>
              <w:top w:val="single" w:sz="4" w:space="0" w:color="auto"/>
              <w:bottom w:val="single" w:sz="4" w:space="0" w:color="auto"/>
              <w:right w:val="single" w:sz="8" w:space="0" w:color="auto"/>
            </w:tcBorders>
            <w:vAlign w:val="bottom"/>
          </w:tcPr>
          <w:p w:rsidR="00526E38" w:rsidRPr="00166400" w:rsidRDefault="00526E38" w:rsidP="00166400">
            <w:pPr>
              <w:jc w:val="both"/>
              <w:rPr>
                <w:color w:val="000000" w:themeColor="text1"/>
              </w:rPr>
            </w:pPr>
            <w:r w:rsidRPr="00166400">
              <w:rPr>
                <w:color w:val="000000" w:themeColor="text1"/>
              </w:rPr>
              <w:t xml:space="preserve">Недостаток моделей множественного </w:t>
            </w:r>
            <w:proofErr w:type="spellStart"/>
            <w:r w:rsidRPr="00166400">
              <w:rPr>
                <w:color w:val="000000" w:themeColor="text1"/>
              </w:rPr>
              <w:t>дискриминатного</w:t>
            </w:r>
            <w:proofErr w:type="spellEnd"/>
            <w:r w:rsidRPr="00166400">
              <w:rPr>
                <w:color w:val="000000" w:themeColor="text1"/>
              </w:rPr>
              <w:t xml:space="preserve"> анализа тоже сопряжен с некоторыми сложностями с применением в связи наличием выборки по предприятиям - банкротам.</w:t>
            </w:r>
          </w:p>
        </w:tc>
      </w:tr>
    </w:tbl>
    <w:p w:rsidR="00EA321C" w:rsidRDefault="00EA321C">
      <w:pPr>
        <w:spacing w:line="1" w:lineRule="exact"/>
        <w:rPr>
          <w:sz w:val="20"/>
          <w:szCs w:val="20"/>
        </w:rPr>
      </w:pPr>
    </w:p>
    <w:sectPr w:rsidR="00EA321C">
      <w:pgSz w:w="11900" w:h="16838"/>
      <w:pgMar w:top="976" w:right="566" w:bottom="768" w:left="1020" w:header="0" w:footer="0" w:gutter="0"/>
      <w:cols w:space="720" w:equalWidth="0">
        <w:col w:w="103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108E"/>
    <w:multiLevelType w:val="multilevel"/>
    <w:tmpl w:val="7D409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E6809"/>
    <w:multiLevelType w:val="multilevel"/>
    <w:tmpl w:val="D1DA1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4C409D"/>
    <w:multiLevelType w:val="multilevel"/>
    <w:tmpl w:val="EE94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2B2EFE"/>
    <w:multiLevelType w:val="hybridMultilevel"/>
    <w:tmpl w:val="22661AB6"/>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27B23C6"/>
    <w:multiLevelType w:val="hybridMultilevel"/>
    <w:tmpl w:val="BD5AD2DA"/>
    <w:lvl w:ilvl="0" w:tplc="B47462A4">
      <w:start w:val="13"/>
      <w:numFmt w:val="decimal"/>
      <w:lvlText w:val="%1."/>
      <w:lvlJc w:val="left"/>
    </w:lvl>
    <w:lvl w:ilvl="1" w:tplc="9284500E">
      <w:numFmt w:val="decimal"/>
      <w:lvlText w:val=""/>
      <w:lvlJc w:val="left"/>
    </w:lvl>
    <w:lvl w:ilvl="2" w:tplc="C116098E">
      <w:numFmt w:val="decimal"/>
      <w:lvlText w:val=""/>
      <w:lvlJc w:val="left"/>
    </w:lvl>
    <w:lvl w:ilvl="3" w:tplc="CDDADE82">
      <w:numFmt w:val="decimal"/>
      <w:lvlText w:val=""/>
      <w:lvlJc w:val="left"/>
    </w:lvl>
    <w:lvl w:ilvl="4" w:tplc="BC4EAB12">
      <w:numFmt w:val="decimal"/>
      <w:lvlText w:val=""/>
      <w:lvlJc w:val="left"/>
    </w:lvl>
    <w:lvl w:ilvl="5" w:tplc="6A304D70">
      <w:numFmt w:val="decimal"/>
      <w:lvlText w:val=""/>
      <w:lvlJc w:val="left"/>
    </w:lvl>
    <w:lvl w:ilvl="6" w:tplc="5A6A0B36">
      <w:numFmt w:val="decimal"/>
      <w:lvlText w:val=""/>
      <w:lvlJc w:val="left"/>
    </w:lvl>
    <w:lvl w:ilvl="7" w:tplc="786C406A">
      <w:numFmt w:val="decimal"/>
      <w:lvlText w:val=""/>
      <w:lvlJc w:val="left"/>
    </w:lvl>
    <w:lvl w:ilvl="8" w:tplc="A62C537E">
      <w:numFmt w:val="decimal"/>
      <w:lvlText w:val=""/>
      <w:lvlJc w:val="left"/>
    </w:lvl>
  </w:abstractNum>
  <w:abstractNum w:abstractNumId="5" w15:restartNumberingAfterBreak="0">
    <w:nsid w:val="3ED06A99"/>
    <w:multiLevelType w:val="multilevel"/>
    <w:tmpl w:val="8B5E1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3C08DB"/>
    <w:multiLevelType w:val="multilevel"/>
    <w:tmpl w:val="B5F4F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BB2587"/>
    <w:multiLevelType w:val="multilevel"/>
    <w:tmpl w:val="B1E66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3C4F54"/>
    <w:multiLevelType w:val="multilevel"/>
    <w:tmpl w:val="0944E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6"/>
  </w:num>
  <w:num w:numId="5">
    <w:abstractNumId w:val="8"/>
  </w:num>
  <w:num w:numId="6">
    <w:abstractNumId w:val="1"/>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21C"/>
    <w:rsid w:val="0004600A"/>
    <w:rsid w:val="0011036D"/>
    <w:rsid w:val="00166400"/>
    <w:rsid w:val="00273A37"/>
    <w:rsid w:val="00316A99"/>
    <w:rsid w:val="00526E38"/>
    <w:rsid w:val="007E63E4"/>
    <w:rsid w:val="009F223B"/>
    <w:rsid w:val="00A558AD"/>
    <w:rsid w:val="00B133B1"/>
    <w:rsid w:val="00C622A6"/>
    <w:rsid w:val="00C72AF5"/>
    <w:rsid w:val="00CB1323"/>
    <w:rsid w:val="00D95F30"/>
    <w:rsid w:val="00EA3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E9AD7"/>
  <w15:docId w15:val="{AF425F06-E532-4D85-BD45-E5E2D757B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6A99"/>
    <w:pPr>
      <w:ind w:left="720"/>
      <w:contextualSpacing/>
    </w:pPr>
  </w:style>
  <w:style w:type="paragraph" w:customStyle="1" w:styleId="Default">
    <w:name w:val="Default"/>
    <w:rsid w:val="00316A99"/>
    <w:pPr>
      <w:autoSpaceDE w:val="0"/>
      <w:autoSpaceDN w:val="0"/>
      <w:adjustRightInd w:val="0"/>
    </w:pPr>
    <w:rPr>
      <w:color w:val="000000"/>
      <w:sz w:val="24"/>
      <w:szCs w:val="24"/>
    </w:rPr>
  </w:style>
  <w:style w:type="paragraph" w:styleId="a4">
    <w:name w:val="Normal (Web)"/>
    <w:basedOn w:val="a"/>
    <w:uiPriority w:val="99"/>
    <w:semiHidden/>
    <w:unhideWhenUsed/>
    <w:rsid w:val="00C622A6"/>
    <w:pPr>
      <w:spacing w:before="100" w:beforeAutospacing="1" w:after="100" w:afterAutospacing="1"/>
    </w:pPr>
    <w:rPr>
      <w:rFonts w:eastAsia="Times New Roman"/>
      <w:sz w:val="24"/>
      <w:szCs w:val="24"/>
    </w:rPr>
  </w:style>
  <w:style w:type="character" w:styleId="a5">
    <w:name w:val="Hyperlink"/>
    <w:basedOn w:val="a0"/>
    <w:uiPriority w:val="99"/>
    <w:unhideWhenUsed/>
    <w:rsid w:val="001664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294588">
      <w:bodyDiv w:val="1"/>
      <w:marLeft w:val="0"/>
      <w:marRight w:val="0"/>
      <w:marTop w:val="0"/>
      <w:marBottom w:val="0"/>
      <w:divBdr>
        <w:top w:val="none" w:sz="0" w:space="0" w:color="auto"/>
        <w:left w:val="none" w:sz="0" w:space="0" w:color="auto"/>
        <w:bottom w:val="none" w:sz="0" w:space="0" w:color="auto"/>
        <w:right w:val="none" w:sz="0" w:space="0" w:color="auto"/>
      </w:divBdr>
    </w:div>
    <w:div w:id="518668386">
      <w:bodyDiv w:val="1"/>
      <w:marLeft w:val="0"/>
      <w:marRight w:val="0"/>
      <w:marTop w:val="0"/>
      <w:marBottom w:val="0"/>
      <w:divBdr>
        <w:top w:val="none" w:sz="0" w:space="0" w:color="auto"/>
        <w:left w:val="none" w:sz="0" w:space="0" w:color="auto"/>
        <w:bottom w:val="none" w:sz="0" w:space="0" w:color="auto"/>
        <w:right w:val="none" w:sz="0" w:space="0" w:color="auto"/>
      </w:divBdr>
    </w:div>
    <w:div w:id="614486102">
      <w:bodyDiv w:val="1"/>
      <w:marLeft w:val="0"/>
      <w:marRight w:val="0"/>
      <w:marTop w:val="0"/>
      <w:marBottom w:val="0"/>
      <w:divBdr>
        <w:top w:val="none" w:sz="0" w:space="0" w:color="auto"/>
        <w:left w:val="none" w:sz="0" w:space="0" w:color="auto"/>
        <w:bottom w:val="none" w:sz="0" w:space="0" w:color="auto"/>
        <w:right w:val="none" w:sz="0" w:space="0" w:color="auto"/>
      </w:divBdr>
    </w:div>
    <w:div w:id="1018191692">
      <w:bodyDiv w:val="1"/>
      <w:marLeft w:val="0"/>
      <w:marRight w:val="0"/>
      <w:marTop w:val="0"/>
      <w:marBottom w:val="0"/>
      <w:divBdr>
        <w:top w:val="none" w:sz="0" w:space="0" w:color="auto"/>
        <w:left w:val="none" w:sz="0" w:space="0" w:color="auto"/>
        <w:bottom w:val="none" w:sz="0" w:space="0" w:color="auto"/>
        <w:right w:val="none" w:sz="0" w:space="0" w:color="auto"/>
      </w:divBdr>
    </w:div>
    <w:div w:id="1190989600">
      <w:bodyDiv w:val="1"/>
      <w:marLeft w:val="0"/>
      <w:marRight w:val="0"/>
      <w:marTop w:val="0"/>
      <w:marBottom w:val="0"/>
      <w:divBdr>
        <w:top w:val="none" w:sz="0" w:space="0" w:color="auto"/>
        <w:left w:val="none" w:sz="0" w:space="0" w:color="auto"/>
        <w:bottom w:val="none" w:sz="0" w:space="0" w:color="auto"/>
        <w:right w:val="none" w:sz="0" w:space="0" w:color="auto"/>
      </w:divBdr>
    </w:div>
    <w:div w:id="1358119457">
      <w:bodyDiv w:val="1"/>
      <w:marLeft w:val="0"/>
      <w:marRight w:val="0"/>
      <w:marTop w:val="0"/>
      <w:marBottom w:val="0"/>
      <w:divBdr>
        <w:top w:val="none" w:sz="0" w:space="0" w:color="auto"/>
        <w:left w:val="none" w:sz="0" w:space="0" w:color="auto"/>
        <w:bottom w:val="none" w:sz="0" w:space="0" w:color="auto"/>
        <w:right w:val="none" w:sz="0" w:space="0" w:color="auto"/>
      </w:divBdr>
    </w:div>
    <w:div w:id="141920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fdanalyse.ru/publ/finansovyj_analiz/1/prognoznaja_model_platezhesposobnosti_springejta/13-1-0-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fin.ru/?id=281&amp;t=514" TargetMode="External"/><Relationship Id="rId5" Type="http://schemas.openxmlformats.org/officeDocument/2006/relationships/hyperlink" Target="http://1-fin.ru/?id=281&amp;t=51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7</Pages>
  <Words>2493</Words>
  <Characters>14211</Characters>
  <Application>Microsoft Office Word</Application>
  <DocSecurity>0</DocSecurity>
  <Lines>118</Lines>
  <Paragraphs>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Екатерина Овчинникова</cp:lastModifiedBy>
  <cp:revision>5</cp:revision>
  <dcterms:created xsi:type="dcterms:W3CDTF">2019-04-24T06:02:00Z</dcterms:created>
  <dcterms:modified xsi:type="dcterms:W3CDTF">2019-04-25T05:07:00Z</dcterms:modified>
</cp:coreProperties>
</file>