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025A" w:rsidRDefault="00EB025A" w:rsidP="00EB025A">
      <w:pPr>
        <w:jc w:val="center"/>
      </w:pPr>
      <w:r>
        <w:t>ПРАКТИКУМ «МЕТОДЫ ОЦЕНКИ»</w:t>
      </w:r>
    </w:p>
    <w:tbl>
      <w:tblPr>
        <w:tblStyle w:val="a3"/>
        <w:tblW w:w="10490" w:type="dxa"/>
        <w:tblInd w:w="-459" w:type="dxa"/>
        <w:tblLayout w:type="fixed"/>
        <w:tblLook w:val="04A0"/>
      </w:tblPr>
      <w:tblGrid>
        <w:gridCol w:w="567"/>
        <w:gridCol w:w="1843"/>
        <w:gridCol w:w="1418"/>
        <w:gridCol w:w="6662"/>
      </w:tblGrid>
      <w:tr w:rsidR="00EB025A" w:rsidTr="006A2D16">
        <w:tc>
          <w:tcPr>
            <w:tcW w:w="567" w:type="dxa"/>
          </w:tcPr>
          <w:p w:rsidR="00EB025A" w:rsidRDefault="00EB025A" w:rsidP="006A2D16">
            <w:pPr>
              <w:jc w:val="center"/>
            </w:pPr>
            <w:r>
              <w:t>№</w:t>
            </w:r>
          </w:p>
        </w:tc>
        <w:tc>
          <w:tcPr>
            <w:tcW w:w="1843" w:type="dxa"/>
          </w:tcPr>
          <w:p w:rsidR="00EB025A" w:rsidRDefault="00EB025A" w:rsidP="006A2D16">
            <w:pPr>
              <w:jc w:val="center"/>
            </w:pPr>
            <w:r>
              <w:t>Модель / метод</w:t>
            </w:r>
          </w:p>
        </w:tc>
        <w:tc>
          <w:tcPr>
            <w:tcW w:w="1418" w:type="dxa"/>
          </w:tcPr>
          <w:p w:rsidR="00EB025A" w:rsidRDefault="00EB025A" w:rsidP="006A2D16">
            <w:pPr>
              <w:jc w:val="center"/>
            </w:pPr>
            <w:r>
              <w:t>Подход</w:t>
            </w:r>
          </w:p>
        </w:tc>
        <w:tc>
          <w:tcPr>
            <w:tcW w:w="6662" w:type="dxa"/>
          </w:tcPr>
          <w:p w:rsidR="00EB025A" w:rsidRDefault="00EB025A" w:rsidP="006A2D16">
            <w:pPr>
              <w:jc w:val="center"/>
            </w:pPr>
            <w:r>
              <w:t>Формула</w:t>
            </w:r>
          </w:p>
        </w:tc>
      </w:tr>
      <w:tr w:rsidR="00EB025A" w:rsidTr="006A2D16">
        <w:tc>
          <w:tcPr>
            <w:tcW w:w="567" w:type="dxa"/>
          </w:tcPr>
          <w:p w:rsidR="00EB025A" w:rsidRDefault="00EB025A" w:rsidP="006A2D16">
            <w:pPr>
              <w:jc w:val="center"/>
            </w:pPr>
            <w:r>
              <w:t>1</w:t>
            </w:r>
          </w:p>
        </w:tc>
        <w:tc>
          <w:tcPr>
            <w:tcW w:w="1843" w:type="dxa"/>
          </w:tcPr>
          <w:p w:rsidR="00EB025A" w:rsidRDefault="00EB025A" w:rsidP="006A2D16">
            <w:pPr>
              <w:jc w:val="center"/>
            </w:pPr>
            <w:r w:rsidRPr="00A8054D">
              <w:t>Метод дисконтированных денежных потоков</w:t>
            </w:r>
          </w:p>
        </w:tc>
        <w:tc>
          <w:tcPr>
            <w:tcW w:w="1418" w:type="dxa"/>
          </w:tcPr>
          <w:p w:rsidR="00EB025A" w:rsidRPr="009117E3" w:rsidRDefault="00EB025A" w:rsidP="006A2D16">
            <w:pPr>
              <w:jc w:val="center"/>
            </w:pPr>
            <w:r>
              <w:t xml:space="preserve">Доходный </w:t>
            </w:r>
          </w:p>
        </w:tc>
        <w:tc>
          <w:tcPr>
            <w:tcW w:w="6662" w:type="dxa"/>
          </w:tcPr>
          <w:p w:rsidR="00EB025A" w:rsidRDefault="00EB025A" w:rsidP="006A2D16">
            <w:pPr>
              <w:jc w:val="center"/>
              <w:rPr>
                <w:rFonts w:ascii="Arial" w:hAnsi="Arial" w:cs="Arial"/>
                <w:color w:val="212034"/>
                <w:sz w:val="18"/>
                <w:szCs w:val="18"/>
                <w:lang w:val="en-US"/>
              </w:rPr>
            </w:pPr>
            <w:r>
              <w:rPr>
                <w:rStyle w:val="a4"/>
                <w:rFonts w:ascii="&amp;quot" w:hAnsi="&amp;quot"/>
                <w:color w:val="212034"/>
                <w:sz w:val="18"/>
                <w:szCs w:val="18"/>
              </w:rPr>
              <w:t>Коэффициент дисконтирования</w:t>
            </w:r>
            <w:r>
              <w:rPr>
                <w:rFonts w:ascii="Arial" w:hAnsi="Arial" w:cs="Arial"/>
                <w:color w:val="212034"/>
                <w:sz w:val="18"/>
                <w:szCs w:val="18"/>
              </w:rPr>
              <w:t xml:space="preserve"> используется для приведения будущих доходов к текущей стоимости за счет перемножения коэффициента дисконтирования и потоков платежей. Ниже показана формула расчета коэффициента дисконтирования:</w:t>
            </w:r>
          </w:p>
          <w:p w:rsidR="00EB025A" w:rsidRDefault="00EB025A" w:rsidP="006A2D16">
            <w:pPr>
              <w:jc w:val="center"/>
              <w:rPr>
                <w:lang w:val="en-US"/>
              </w:rPr>
            </w:pPr>
            <w:r w:rsidRPr="0027690F">
              <w:rPr>
                <w:sz w:val="24"/>
                <w:szCs w:val="24"/>
              </w:rPr>
              <w:object w:dxaOrig="1908" w:dyaOrig="8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4pt;height:43.8pt" o:ole="">
                  <v:imagedata r:id="rId5" o:title=""/>
                </v:shape>
                <o:OLEObject Type="Embed" ProgID="PBrush" ShapeID="_x0000_i1025" DrawAspect="Content" ObjectID="_1616425796" r:id="rId6"/>
              </w:object>
            </w:r>
          </w:p>
          <w:p w:rsidR="00EB025A" w:rsidRPr="00A8054D" w:rsidRDefault="00EB025A" w:rsidP="006A2D16">
            <w:pPr>
              <w:jc w:val="center"/>
            </w:pPr>
            <w:r>
              <w:rPr>
                <w:rFonts w:ascii="Arial" w:hAnsi="Arial" w:cs="Arial"/>
                <w:color w:val="212034"/>
                <w:sz w:val="18"/>
                <w:szCs w:val="18"/>
              </w:rPr>
              <w:t>где: r – ставка дисконтирования, i  – номер временного периода.</w:t>
            </w:r>
          </w:p>
        </w:tc>
      </w:tr>
      <w:tr w:rsidR="00EB025A" w:rsidTr="006A2D16">
        <w:trPr>
          <w:trHeight w:val="3953"/>
        </w:trPr>
        <w:tc>
          <w:tcPr>
            <w:tcW w:w="567" w:type="dxa"/>
          </w:tcPr>
          <w:p w:rsidR="00EB025A" w:rsidRDefault="00EB025A" w:rsidP="006A2D16">
            <w:pPr>
              <w:jc w:val="center"/>
            </w:pPr>
            <w:r>
              <w:t>2</w:t>
            </w:r>
          </w:p>
        </w:tc>
        <w:tc>
          <w:tcPr>
            <w:tcW w:w="1843" w:type="dxa"/>
          </w:tcPr>
          <w:p w:rsidR="00EB025A" w:rsidRDefault="00EB025A" w:rsidP="006A2D16">
            <w:pPr>
              <w:jc w:val="center"/>
            </w:pPr>
            <w:r w:rsidRPr="009117E3">
              <w:t>Метод прямой капитализации</w:t>
            </w:r>
            <w:r>
              <w:t xml:space="preserve"> </w:t>
            </w:r>
          </w:p>
        </w:tc>
        <w:tc>
          <w:tcPr>
            <w:tcW w:w="1418" w:type="dxa"/>
          </w:tcPr>
          <w:p w:rsidR="00EB025A" w:rsidRDefault="00EB025A" w:rsidP="006A2D16">
            <w:pPr>
              <w:jc w:val="center"/>
            </w:pPr>
            <w:r>
              <w:t xml:space="preserve">Доходный </w:t>
            </w:r>
          </w:p>
        </w:tc>
        <w:tc>
          <w:tcPr>
            <w:tcW w:w="6662" w:type="dxa"/>
          </w:tcPr>
          <w:p w:rsidR="00EB025A" w:rsidRDefault="00EB025A" w:rsidP="006A2D16">
            <w:pPr>
              <w:jc w:val="center"/>
            </w:pPr>
            <w:r w:rsidRPr="0027690F">
              <w:rPr>
                <w:sz w:val="24"/>
                <w:szCs w:val="24"/>
              </w:rPr>
              <w:object w:dxaOrig="10860" w:dyaOrig="6528">
                <v:shape id="_x0000_i1026" type="#_x0000_t75" style="width:322.2pt;height:193.8pt" o:ole="">
                  <v:imagedata r:id="rId7" o:title=""/>
                </v:shape>
                <o:OLEObject Type="Embed" ProgID="PBrush" ShapeID="_x0000_i1026" DrawAspect="Content" ObjectID="_1616425797" r:id="rId8"/>
              </w:object>
            </w:r>
          </w:p>
        </w:tc>
      </w:tr>
      <w:tr w:rsidR="00EB025A" w:rsidTr="006A2D16">
        <w:tc>
          <w:tcPr>
            <w:tcW w:w="567" w:type="dxa"/>
          </w:tcPr>
          <w:p w:rsidR="00EB025A" w:rsidRDefault="00EB025A" w:rsidP="006A2D16">
            <w:pPr>
              <w:jc w:val="center"/>
            </w:pPr>
            <w:r>
              <w:t>3</w:t>
            </w:r>
          </w:p>
        </w:tc>
        <w:tc>
          <w:tcPr>
            <w:tcW w:w="1843" w:type="dxa"/>
          </w:tcPr>
          <w:p w:rsidR="00EB025A" w:rsidRDefault="00EB025A" w:rsidP="006A2D16">
            <w:pPr>
              <w:jc w:val="center"/>
            </w:pPr>
            <w:r w:rsidRPr="00F14C99">
              <w:t>Метод капитализации по модели Гордона</w:t>
            </w:r>
          </w:p>
        </w:tc>
        <w:tc>
          <w:tcPr>
            <w:tcW w:w="1418" w:type="dxa"/>
          </w:tcPr>
          <w:p w:rsidR="00EB025A" w:rsidRDefault="00EB025A" w:rsidP="006A2D16">
            <w:pPr>
              <w:jc w:val="center"/>
            </w:pPr>
            <w:r>
              <w:t xml:space="preserve">Доходный </w:t>
            </w:r>
          </w:p>
        </w:tc>
        <w:tc>
          <w:tcPr>
            <w:tcW w:w="6662" w:type="dxa"/>
          </w:tcPr>
          <w:p w:rsidR="00EB025A" w:rsidRDefault="00EB025A" w:rsidP="006A2D16">
            <w:pPr>
              <w:jc w:val="center"/>
            </w:pPr>
            <w:r w:rsidRPr="0027690F">
              <w:rPr>
                <w:sz w:val="24"/>
                <w:szCs w:val="24"/>
              </w:rPr>
              <w:object w:dxaOrig="10632" w:dyaOrig="7332">
                <v:shape id="_x0000_i1027" type="#_x0000_t75" style="width:322.2pt;height:222pt" o:ole="">
                  <v:imagedata r:id="rId9" o:title=""/>
                </v:shape>
                <o:OLEObject Type="Embed" ProgID="PBrush" ShapeID="_x0000_i1027" DrawAspect="Content" ObjectID="_1616425798" r:id="rId10"/>
              </w:object>
            </w:r>
          </w:p>
        </w:tc>
      </w:tr>
      <w:tr w:rsidR="00EB025A" w:rsidTr="006A2D16">
        <w:tc>
          <w:tcPr>
            <w:tcW w:w="567" w:type="dxa"/>
          </w:tcPr>
          <w:p w:rsidR="00EB025A" w:rsidRDefault="00EB025A" w:rsidP="006A2D16">
            <w:pPr>
              <w:jc w:val="center"/>
            </w:pPr>
            <w:r>
              <w:lastRenderedPageBreak/>
              <w:t>4</w:t>
            </w:r>
          </w:p>
        </w:tc>
        <w:tc>
          <w:tcPr>
            <w:tcW w:w="1843" w:type="dxa"/>
          </w:tcPr>
          <w:p w:rsidR="00EB025A" w:rsidRDefault="00EB025A" w:rsidP="006A2D16">
            <w:pPr>
              <w:jc w:val="center"/>
            </w:pPr>
            <w:r w:rsidRPr="00F14C99">
              <w:t>Метод капитализации по модели Инвуда</w:t>
            </w:r>
          </w:p>
        </w:tc>
        <w:tc>
          <w:tcPr>
            <w:tcW w:w="1418" w:type="dxa"/>
          </w:tcPr>
          <w:p w:rsidR="00EB025A" w:rsidRDefault="00EB025A" w:rsidP="006A2D16">
            <w:pPr>
              <w:jc w:val="center"/>
            </w:pPr>
            <w:r>
              <w:t>Доходный</w:t>
            </w:r>
          </w:p>
        </w:tc>
        <w:tc>
          <w:tcPr>
            <w:tcW w:w="6662" w:type="dxa"/>
          </w:tcPr>
          <w:p w:rsidR="00EB025A" w:rsidRDefault="00EB025A" w:rsidP="006A2D16">
            <w:pPr>
              <w:jc w:val="center"/>
            </w:pPr>
            <w:r w:rsidRPr="0027690F">
              <w:rPr>
                <w:sz w:val="24"/>
                <w:szCs w:val="24"/>
              </w:rPr>
              <w:object w:dxaOrig="10992" w:dyaOrig="9636">
                <v:shape id="_x0000_i1028" type="#_x0000_t75" style="width:322.2pt;height:282.6pt" o:ole="">
                  <v:imagedata r:id="rId11" o:title=""/>
                </v:shape>
                <o:OLEObject Type="Embed" ProgID="PBrush" ShapeID="_x0000_i1028" DrawAspect="Content" ObjectID="_1616425799" r:id="rId12"/>
              </w:object>
            </w:r>
          </w:p>
        </w:tc>
      </w:tr>
      <w:tr w:rsidR="00EB025A" w:rsidTr="006A2D16">
        <w:tc>
          <w:tcPr>
            <w:tcW w:w="567" w:type="dxa"/>
          </w:tcPr>
          <w:p w:rsidR="00EB025A" w:rsidRDefault="00EB025A" w:rsidP="006A2D16">
            <w:pPr>
              <w:jc w:val="center"/>
            </w:pPr>
            <w:r>
              <w:t>5</w:t>
            </w:r>
          </w:p>
        </w:tc>
        <w:tc>
          <w:tcPr>
            <w:tcW w:w="1843" w:type="dxa"/>
          </w:tcPr>
          <w:p w:rsidR="00EB025A" w:rsidRDefault="00EB025A" w:rsidP="006A2D16">
            <w:pPr>
              <w:jc w:val="center"/>
            </w:pPr>
            <w:r w:rsidRPr="005A1F4E">
              <w:t>Метод капитализации по модели Хоскольда</w:t>
            </w:r>
          </w:p>
        </w:tc>
        <w:tc>
          <w:tcPr>
            <w:tcW w:w="1418" w:type="dxa"/>
          </w:tcPr>
          <w:p w:rsidR="00EB025A" w:rsidRDefault="00EB025A" w:rsidP="006A2D16">
            <w:pPr>
              <w:jc w:val="center"/>
            </w:pPr>
            <w:r>
              <w:t>Доходный</w:t>
            </w:r>
          </w:p>
        </w:tc>
        <w:tc>
          <w:tcPr>
            <w:tcW w:w="6662" w:type="dxa"/>
          </w:tcPr>
          <w:p w:rsidR="00EB025A" w:rsidRDefault="00EB025A" w:rsidP="006A2D16">
            <w:pPr>
              <w:pStyle w:val="a5"/>
              <w:spacing w:before="0" w:beforeAutospacing="0" w:after="120" w:afterAutospacing="0"/>
              <w:jc w:val="both"/>
              <w:rPr>
                <w:rFonts w:ascii="&amp;quot" w:hAnsi="&amp;quot"/>
                <w:color w:val="000000"/>
                <w:spacing w:val="2"/>
                <w:sz w:val="19"/>
                <w:szCs w:val="19"/>
              </w:rPr>
            </w:pPr>
            <w:r>
              <w:rPr>
                <w:rFonts w:ascii="&amp;quot" w:hAnsi="&amp;quot"/>
                <w:color w:val="000000"/>
                <w:spacing w:val="2"/>
                <w:sz w:val="19"/>
                <w:szCs w:val="19"/>
              </w:rPr>
              <w:t xml:space="preserve">Если ставка дохода первоначальных инвестиций слишком высока и </w:t>
            </w:r>
            <w:hyperlink r:id="rId13" w:tgtFrame="_blank" w:history="1">
              <w:r>
                <w:rPr>
                  <w:rStyle w:val="a6"/>
                  <w:rFonts w:ascii="&amp;quot" w:hAnsi="&amp;quot"/>
                  <w:color w:val="00A1E0"/>
                  <w:spacing w:val="2"/>
                  <w:sz w:val="19"/>
                  <w:szCs w:val="19"/>
                  <w:bdr w:val="none" w:sz="0" w:space="0" w:color="auto" w:frame="1"/>
                </w:rPr>
                <w:t>реинвестирование</w:t>
              </w:r>
            </w:hyperlink>
            <w:r>
              <w:rPr>
                <w:rFonts w:ascii="&amp;quot" w:hAnsi="&amp;quot"/>
                <w:color w:val="000000"/>
                <w:spacing w:val="2"/>
                <w:sz w:val="19"/>
                <w:szCs w:val="19"/>
              </w:rPr>
              <w:t xml:space="preserve"> по этой же ставке маловероятно, то расчет нормы возмещения капитала осуществляется по безрисковой ставке.</w:t>
            </w:r>
          </w:p>
          <w:p w:rsidR="00EB025A" w:rsidRDefault="00EB025A" w:rsidP="006A2D16">
            <w:pPr>
              <w:pStyle w:val="a5"/>
              <w:spacing w:before="0" w:beforeAutospacing="0" w:after="120" w:afterAutospacing="0"/>
              <w:jc w:val="both"/>
              <w:rPr>
                <w:rFonts w:ascii="&amp;quot" w:hAnsi="&amp;quot"/>
                <w:color w:val="000000"/>
                <w:spacing w:val="2"/>
                <w:sz w:val="19"/>
                <w:szCs w:val="19"/>
              </w:rPr>
            </w:pPr>
            <w:r>
              <w:rPr>
                <w:rStyle w:val="a4"/>
                <w:rFonts w:ascii="&amp;quot" w:hAnsi="&amp;quot"/>
                <w:color w:val="000000"/>
                <w:spacing w:val="2"/>
                <w:sz w:val="19"/>
                <w:szCs w:val="19"/>
                <w:bdr w:val="none" w:sz="0" w:space="0" w:color="auto" w:frame="1"/>
              </w:rPr>
              <w:t>Rk (норма возврата капитала) = Ry (ставка доходности инвестиций) + SFF (фактор фонда размещения) * (n (оставшийся срок экономической жизни) * Y б (безрисковая ставка процента)</w:t>
            </w:r>
          </w:p>
          <w:p w:rsidR="00EB025A" w:rsidRDefault="00EB025A" w:rsidP="006A2D16">
            <w:pPr>
              <w:jc w:val="center"/>
            </w:pPr>
          </w:p>
        </w:tc>
      </w:tr>
      <w:tr w:rsidR="00EB025A" w:rsidTr="006A2D16">
        <w:tc>
          <w:tcPr>
            <w:tcW w:w="567" w:type="dxa"/>
          </w:tcPr>
          <w:p w:rsidR="00EB025A" w:rsidRDefault="00EB025A" w:rsidP="006A2D16">
            <w:pPr>
              <w:jc w:val="center"/>
            </w:pPr>
            <w:r>
              <w:t>6</w:t>
            </w:r>
          </w:p>
        </w:tc>
        <w:tc>
          <w:tcPr>
            <w:tcW w:w="1843" w:type="dxa"/>
          </w:tcPr>
          <w:p w:rsidR="00EB025A" w:rsidRDefault="00EB025A" w:rsidP="006A2D16">
            <w:pPr>
              <w:jc w:val="center"/>
            </w:pPr>
            <w:r w:rsidRPr="005A1F4E">
              <w:t>Метод капитализации по модели Ринга</w:t>
            </w:r>
          </w:p>
        </w:tc>
        <w:tc>
          <w:tcPr>
            <w:tcW w:w="1418" w:type="dxa"/>
          </w:tcPr>
          <w:p w:rsidR="00EB025A" w:rsidRDefault="00EB025A" w:rsidP="006A2D16">
            <w:pPr>
              <w:jc w:val="center"/>
            </w:pPr>
            <w:r>
              <w:t>Доходный</w:t>
            </w:r>
          </w:p>
        </w:tc>
        <w:tc>
          <w:tcPr>
            <w:tcW w:w="6662" w:type="dxa"/>
          </w:tcPr>
          <w:p w:rsidR="00EB025A" w:rsidRDefault="00EB025A" w:rsidP="006A2D16">
            <w:pPr>
              <w:jc w:val="center"/>
            </w:pPr>
            <w:r w:rsidRPr="0027690F">
              <w:rPr>
                <w:sz w:val="24"/>
                <w:szCs w:val="24"/>
              </w:rPr>
              <w:object w:dxaOrig="11004" w:dyaOrig="6852">
                <v:shape id="_x0000_i1029" type="#_x0000_t75" style="width:321.6pt;height:200.4pt" o:ole="">
                  <v:imagedata r:id="rId14" o:title=""/>
                </v:shape>
                <o:OLEObject Type="Embed" ProgID="PBrush" ShapeID="_x0000_i1029" DrawAspect="Content" ObjectID="_1616425800" r:id="rId15"/>
              </w:object>
            </w:r>
          </w:p>
        </w:tc>
      </w:tr>
      <w:tr w:rsidR="00EB025A" w:rsidTr="006A2D16">
        <w:tc>
          <w:tcPr>
            <w:tcW w:w="567" w:type="dxa"/>
          </w:tcPr>
          <w:p w:rsidR="00EB025A" w:rsidRDefault="00EB025A" w:rsidP="006A2D16">
            <w:pPr>
              <w:jc w:val="center"/>
            </w:pPr>
            <w:r>
              <w:t>7</w:t>
            </w:r>
          </w:p>
        </w:tc>
        <w:tc>
          <w:tcPr>
            <w:tcW w:w="1843" w:type="dxa"/>
          </w:tcPr>
          <w:p w:rsidR="00EB025A" w:rsidRDefault="00EB025A" w:rsidP="006A2D16">
            <w:pPr>
              <w:jc w:val="center"/>
            </w:pPr>
            <w:r w:rsidRPr="00F24BE1">
              <w:t>Equity model</w:t>
            </w:r>
          </w:p>
        </w:tc>
        <w:tc>
          <w:tcPr>
            <w:tcW w:w="1418" w:type="dxa"/>
          </w:tcPr>
          <w:p w:rsidR="00EB025A" w:rsidRDefault="00EB025A" w:rsidP="006A2D16">
            <w:pPr>
              <w:jc w:val="center"/>
            </w:pPr>
            <w:r>
              <w:t xml:space="preserve">Доходный </w:t>
            </w:r>
          </w:p>
        </w:tc>
        <w:tc>
          <w:tcPr>
            <w:tcW w:w="6662" w:type="dxa"/>
          </w:tcPr>
          <w:p w:rsidR="00EB025A" w:rsidRDefault="00EB025A" w:rsidP="006A2D16">
            <w:pPr>
              <w:jc w:val="center"/>
            </w:pPr>
            <w:r w:rsidRPr="0027690F">
              <w:rPr>
                <w:sz w:val="24"/>
                <w:szCs w:val="24"/>
              </w:rPr>
              <w:object w:dxaOrig="10536" w:dyaOrig="2520">
                <v:shape id="_x0000_i1030" type="#_x0000_t75" style="width:321.6pt;height:76.8pt" o:ole="">
                  <v:imagedata r:id="rId16" o:title=""/>
                </v:shape>
                <o:OLEObject Type="Embed" ProgID="PBrush" ShapeID="_x0000_i1030" DrawAspect="Content" ObjectID="_1616425801" r:id="rId17"/>
              </w:object>
            </w:r>
          </w:p>
        </w:tc>
      </w:tr>
      <w:tr w:rsidR="00EB025A" w:rsidTr="006A2D16">
        <w:tc>
          <w:tcPr>
            <w:tcW w:w="567" w:type="dxa"/>
          </w:tcPr>
          <w:p w:rsidR="00EB025A" w:rsidRDefault="00EB025A" w:rsidP="006A2D16">
            <w:pPr>
              <w:jc w:val="center"/>
            </w:pPr>
            <w:r>
              <w:t>8</w:t>
            </w:r>
          </w:p>
        </w:tc>
        <w:tc>
          <w:tcPr>
            <w:tcW w:w="1843" w:type="dxa"/>
          </w:tcPr>
          <w:p w:rsidR="00EB025A" w:rsidRDefault="00EB025A" w:rsidP="006A2D16">
            <w:pPr>
              <w:jc w:val="center"/>
            </w:pPr>
            <w:r w:rsidRPr="00F24BE1">
              <w:t>Entity model</w:t>
            </w:r>
          </w:p>
        </w:tc>
        <w:tc>
          <w:tcPr>
            <w:tcW w:w="1418" w:type="dxa"/>
          </w:tcPr>
          <w:p w:rsidR="00EB025A" w:rsidRDefault="00EB025A" w:rsidP="006A2D16">
            <w:pPr>
              <w:jc w:val="center"/>
            </w:pPr>
            <w:r>
              <w:t>Доходный</w:t>
            </w:r>
          </w:p>
        </w:tc>
        <w:tc>
          <w:tcPr>
            <w:tcW w:w="6662" w:type="dxa"/>
          </w:tcPr>
          <w:p w:rsidR="00EB025A" w:rsidRDefault="00EB025A" w:rsidP="006A2D16">
            <w:pPr>
              <w:jc w:val="center"/>
              <w:rPr>
                <w:rFonts w:ascii="Palatino Linotype" w:hAnsi="Palatino Linotype"/>
                <w:color w:val="000000"/>
                <w:sz w:val="16"/>
                <w:szCs w:val="16"/>
              </w:rPr>
            </w:pPr>
            <w:r>
              <w:rPr>
                <w:rFonts w:ascii="Palatino Linotype" w:hAnsi="Palatino Linotype"/>
                <w:color w:val="000000"/>
                <w:sz w:val="16"/>
                <w:szCs w:val="16"/>
              </w:rPr>
              <w:t xml:space="preserve">применение модели </w:t>
            </w:r>
            <w:r>
              <w:rPr>
                <w:rFonts w:ascii="&amp;quot" w:hAnsi="&amp;quot"/>
                <w:i/>
                <w:iCs/>
                <w:color w:val="000000"/>
                <w:sz w:val="16"/>
                <w:szCs w:val="16"/>
              </w:rPr>
              <w:t>Entity Model</w:t>
            </w:r>
            <w:r>
              <w:rPr>
                <w:rFonts w:ascii="Palatino Linotype" w:hAnsi="Palatino Linotype"/>
                <w:color w:val="000000"/>
                <w:sz w:val="16"/>
                <w:szCs w:val="16"/>
              </w:rPr>
              <w:t xml:space="preserve">, в рамках которой оценщик оперирует бездолговыми денежными потоками, ставкой дисконтирования по которым выступает </w:t>
            </w:r>
            <w:r>
              <w:rPr>
                <w:rFonts w:ascii="&amp;quot" w:hAnsi="&amp;quot"/>
                <w:i/>
                <w:iCs/>
                <w:color w:val="000000"/>
                <w:sz w:val="16"/>
                <w:szCs w:val="16"/>
              </w:rPr>
              <w:t>WACC.</w:t>
            </w:r>
            <w:r>
              <w:rPr>
                <w:rFonts w:ascii="Palatino Linotype" w:hAnsi="Palatino Linotype"/>
                <w:color w:val="000000"/>
                <w:sz w:val="16"/>
                <w:szCs w:val="16"/>
              </w:rPr>
              <w:t xml:space="preserve"> Однако величина текущей стоимости бизнеса, полученная таким образом, представляет собой стоимость всего инвестированного капитала. Чтобы определить стоимость собственного капитала, следует вычесть сумму долгов, рассчитанную по балансовой стоимости (что проще для оценщика, но не совсем корректно) либо по текущей стоимости, которая учитывает, когда и как будет возвращаться заемный капитал (что более трудоемко, но точнее).</w:t>
            </w:r>
          </w:p>
          <w:p w:rsidR="00EB025A" w:rsidRDefault="00EB025A" w:rsidP="006A2D16">
            <w:pPr>
              <w:jc w:val="center"/>
            </w:pPr>
            <w:r w:rsidRPr="00767CA1">
              <w:t>Для различных целей предназначены разные модели оценки стоимости бизнеса. Модель оценки полной стоимости капитала (entity model) представляет собой метод вычисления современной сто</w:t>
            </w:r>
            <w:r>
              <w:t>имости потока реальных денег</w:t>
            </w:r>
            <w:r w:rsidRPr="00767CA1">
              <w:t>. Элементы потока п</w:t>
            </w:r>
            <w:r>
              <w:t>рогнозируются и моделируются</w:t>
            </w:r>
            <w:r w:rsidRPr="00767CA1">
              <w:t>, а в качестве ставки дисконтирования берется средневзвешенная цена капитала (weighted average cost of capital – WACC).</w:t>
            </w:r>
          </w:p>
        </w:tc>
      </w:tr>
      <w:tr w:rsidR="00EB025A" w:rsidTr="006A2D16">
        <w:tc>
          <w:tcPr>
            <w:tcW w:w="567" w:type="dxa"/>
          </w:tcPr>
          <w:p w:rsidR="00EB025A" w:rsidRDefault="00EB025A" w:rsidP="006A2D16">
            <w:pPr>
              <w:jc w:val="center"/>
            </w:pPr>
            <w:r>
              <w:t>9</w:t>
            </w:r>
          </w:p>
        </w:tc>
        <w:tc>
          <w:tcPr>
            <w:tcW w:w="1843" w:type="dxa"/>
          </w:tcPr>
          <w:p w:rsidR="00EB025A" w:rsidRDefault="00EB025A" w:rsidP="006A2D16">
            <w:pPr>
              <w:jc w:val="center"/>
            </w:pPr>
            <w:r w:rsidRPr="00F24BE1">
              <w:t>Метод аналогий</w:t>
            </w:r>
          </w:p>
        </w:tc>
        <w:tc>
          <w:tcPr>
            <w:tcW w:w="1418" w:type="dxa"/>
          </w:tcPr>
          <w:p w:rsidR="00EB025A" w:rsidRDefault="00EB025A" w:rsidP="006A2D16">
            <w:pPr>
              <w:jc w:val="center"/>
            </w:pPr>
            <w:r>
              <w:t>Сравнительный</w:t>
            </w:r>
          </w:p>
        </w:tc>
        <w:tc>
          <w:tcPr>
            <w:tcW w:w="6662" w:type="dxa"/>
          </w:tcPr>
          <w:p w:rsidR="00EB025A" w:rsidRDefault="00EB025A" w:rsidP="006A2D16">
            <w:pPr>
              <w:pStyle w:val="a5"/>
              <w:ind w:firstLine="180"/>
              <w:jc w:val="both"/>
              <w:rPr>
                <w:rFonts w:ascii="&amp;quot" w:hAnsi="&amp;quot"/>
                <w:color w:val="000000"/>
                <w:sz w:val="16"/>
                <w:szCs w:val="16"/>
              </w:rPr>
            </w:pPr>
            <w:r>
              <w:rPr>
                <w:rFonts w:ascii="&amp;quot" w:hAnsi="&amp;quot"/>
                <w:color w:val="000000"/>
                <w:sz w:val="16"/>
                <w:szCs w:val="16"/>
              </w:rPr>
              <w:t>При использовании данного метода ставка дисконтирования трактуется как доходность альтернативного вложения средств, инвестированных в целевой бизнес на тот же срок в другой актив, сопоставимый по уровню риска с оцениваемым. Риск при этом измеряется уровнем изменения доходности, а именно — среднеквадратическим отклонением доходности от ее средней величины. Если на рынке удается найти актив, доходность которого изменялась за ретроспективный период точно так же, как доходность оцениваемого бизнеса, в качестве нормы на собственный капитал можно использовать текущую доходность аналога.</w:t>
            </w:r>
          </w:p>
          <w:p w:rsidR="00EB025A" w:rsidRDefault="00EB025A" w:rsidP="006A2D16">
            <w:pPr>
              <w:pStyle w:val="a5"/>
              <w:ind w:firstLine="180"/>
              <w:jc w:val="both"/>
              <w:rPr>
                <w:rFonts w:ascii="&amp;quot" w:hAnsi="&amp;quot"/>
                <w:color w:val="000000"/>
                <w:sz w:val="16"/>
                <w:szCs w:val="16"/>
              </w:rPr>
            </w:pPr>
            <w:r>
              <w:rPr>
                <w:rFonts w:ascii="&amp;quot" w:hAnsi="&amp;quot"/>
                <w:color w:val="000000"/>
                <w:sz w:val="16"/>
                <w:szCs w:val="16"/>
              </w:rPr>
              <w:t>Для реализации метода необходимо осуществить следующий алгоритм.</w:t>
            </w:r>
          </w:p>
          <w:p w:rsidR="00EB025A" w:rsidRDefault="00EB025A" w:rsidP="006A2D16">
            <w:pPr>
              <w:jc w:val="center"/>
            </w:pPr>
            <w:r w:rsidRPr="0027690F">
              <w:rPr>
                <w:sz w:val="24"/>
                <w:szCs w:val="24"/>
              </w:rPr>
              <w:object w:dxaOrig="13812" w:dyaOrig="6360">
                <v:shape id="_x0000_i1031" type="#_x0000_t75" style="width:321.6pt;height:148.2pt" o:ole="">
                  <v:imagedata r:id="rId18" o:title=""/>
                </v:shape>
                <o:OLEObject Type="Embed" ProgID="PBrush" ShapeID="_x0000_i1031" DrawAspect="Content" ObjectID="_1616425802" r:id="rId19"/>
              </w:object>
            </w:r>
          </w:p>
        </w:tc>
      </w:tr>
      <w:tr w:rsidR="00EB025A" w:rsidTr="006A2D16">
        <w:tc>
          <w:tcPr>
            <w:tcW w:w="567" w:type="dxa"/>
          </w:tcPr>
          <w:p w:rsidR="00EB025A" w:rsidRDefault="00EB025A" w:rsidP="006A2D16">
            <w:pPr>
              <w:jc w:val="center"/>
            </w:pPr>
            <w:r>
              <w:t>10</w:t>
            </w:r>
          </w:p>
        </w:tc>
        <w:tc>
          <w:tcPr>
            <w:tcW w:w="1843" w:type="dxa"/>
          </w:tcPr>
          <w:p w:rsidR="00EB025A" w:rsidRDefault="00EB025A" w:rsidP="006A2D16">
            <w:pPr>
              <w:jc w:val="center"/>
            </w:pPr>
            <w:r>
              <w:t>Метод оценки капитальных активов (САРМ)</w:t>
            </w:r>
          </w:p>
        </w:tc>
        <w:tc>
          <w:tcPr>
            <w:tcW w:w="1418" w:type="dxa"/>
          </w:tcPr>
          <w:p w:rsidR="00EB025A" w:rsidRDefault="00EB025A" w:rsidP="006A2D16">
            <w:pPr>
              <w:jc w:val="center"/>
            </w:pPr>
          </w:p>
        </w:tc>
        <w:tc>
          <w:tcPr>
            <w:tcW w:w="6662" w:type="dxa"/>
          </w:tcPr>
          <w:p w:rsidR="00EB025A" w:rsidRDefault="00EB025A" w:rsidP="006A2D16">
            <w:pPr>
              <w:jc w:val="center"/>
            </w:pPr>
            <w:r w:rsidRPr="0027690F">
              <w:rPr>
                <w:sz w:val="24"/>
                <w:szCs w:val="24"/>
              </w:rPr>
              <w:object w:dxaOrig="11160" w:dyaOrig="6624">
                <v:shape id="_x0000_i1032" type="#_x0000_t75" style="width:322.2pt;height:191.4pt" o:ole="">
                  <v:imagedata r:id="rId20" o:title=""/>
                </v:shape>
                <o:OLEObject Type="Embed" ProgID="PBrush" ShapeID="_x0000_i1032" DrawAspect="Content" ObjectID="_1616425803" r:id="rId21"/>
              </w:object>
            </w:r>
          </w:p>
        </w:tc>
      </w:tr>
      <w:tr w:rsidR="00EB025A" w:rsidTr="006A2D16">
        <w:tc>
          <w:tcPr>
            <w:tcW w:w="567" w:type="dxa"/>
          </w:tcPr>
          <w:p w:rsidR="00EB025A" w:rsidRDefault="00EB025A" w:rsidP="006A2D16">
            <w:pPr>
              <w:jc w:val="center"/>
            </w:pPr>
            <w:r>
              <w:t>11</w:t>
            </w:r>
          </w:p>
        </w:tc>
        <w:tc>
          <w:tcPr>
            <w:tcW w:w="1843" w:type="dxa"/>
          </w:tcPr>
          <w:p w:rsidR="00EB025A" w:rsidRDefault="00EB025A" w:rsidP="006A2D16">
            <w:pPr>
              <w:jc w:val="center"/>
            </w:pPr>
            <w:r w:rsidRPr="00F24BE1">
              <w:t>Метод кумулятивного построения ставки дисконта</w:t>
            </w:r>
          </w:p>
        </w:tc>
        <w:tc>
          <w:tcPr>
            <w:tcW w:w="1418" w:type="dxa"/>
          </w:tcPr>
          <w:p w:rsidR="00EB025A" w:rsidRPr="002E6DB7" w:rsidRDefault="00EB025A" w:rsidP="006A2D16">
            <w:pPr>
              <w:jc w:val="center"/>
            </w:pPr>
            <w:r>
              <w:t xml:space="preserve">Доходный </w:t>
            </w:r>
          </w:p>
        </w:tc>
        <w:tc>
          <w:tcPr>
            <w:tcW w:w="6662" w:type="dxa"/>
          </w:tcPr>
          <w:p w:rsidR="00EB025A" w:rsidRDefault="00EB025A" w:rsidP="006A2D16">
            <w:pPr>
              <w:jc w:val="center"/>
            </w:pPr>
            <w:r w:rsidRPr="0027690F">
              <w:rPr>
                <w:sz w:val="24"/>
                <w:szCs w:val="24"/>
              </w:rPr>
              <w:object w:dxaOrig="4968" w:dyaOrig="3588">
                <v:shape id="_x0000_i1033" type="#_x0000_t75" style="width:248.4pt;height:179.4pt" o:ole="">
                  <v:imagedata r:id="rId22" o:title=""/>
                </v:shape>
                <o:OLEObject Type="Embed" ProgID="PBrush" ShapeID="_x0000_i1033" DrawAspect="Content" ObjectID="_1616425804" r:id="rId23"/>
              </w:object>
            </w:r>
          </w:p>
        </w:tc>
      </w:tr>
      <w:tr w:rsidR="00EB025A" w:rsidTr="006A2D16">
        <w:tc>
          <w:tcPr>
            <w:tcW w:w="567" w:type="dxa"/>
          </w:tcPr>
          <w:p w:rsidR="00EB025A" w:rsidRDefault="00EB025A" w:rsidP="006A2D16">
            <w:pPr>
              <w:jc w:val="center"/>
            </w:pPr>
            <w:r>
              <w:t>12</w:t>
            </w:r>
          </w:p>
        </w:tc>
        <w:tc>
          <w:tcPr>
            <w:tcW w:w="1843" w:type="dxa"/>
          </w:tcPr>
          <w:p w:rsidR="00EB025A" w:rsidRDefault="00EB025A" w:rsidP="006A2D16">
            <w:pPr>
              <w:jc w:val="center"/>
            </w:pPr>
            <w:r w:rsidRPr="00EB5B74">
              <w:t>Метод ROE (ROI)</w:t>
            </w:r>
          </w:p>
        </w:tc>
        <w:tc>
          <w:tcPr>
            <w:tcW w:w="1418" w:type="dxa"/>
          </w:tcPr>
          <w:p w:rsidR="00EB025A" w:rsidRDefault="00EB025A" w:rsidP="006A2D16">
            <w:pPr>
              <w:jc w:val="center"/>
            </w:pPr>
            <w:r>
              <w:t xml:space="preserve">Сравнительный </w:t>
            </w:r>
          </w:p>
        </w:tc>
        <w:tc>
          <w:tcPr>
            <w:tcW w:w="6662" w:type="dxa"/>
          </w:tcPr>
          <w:p w:rsidR="00EB025A" w:rsidRPr="00EB5B74" w:rsidRDefault="00EB025A" w:rsidP="006A2D16">
            <w:pPr>
              <w:jc w:val="center"/>
              <w:rPr>
                <w:lang w:val="en-US"/>
              </w:rPr>
            </w:pPr>
            <w:r w:rsidRPr="0027690F">
              <w:rPr>
                <w:sz w:val="24"/>
                <w:szCs w:val="24"/>
              </w:rPr>
              <w:object w:dxaOrig="8532" w:dyaOrig="5208">
                <v:shape id="_x0000_i1034" type="#_x0000_t75" style="width:322.2pt;height:196.8pt" o:ole="">
                  <v:imagedata r:id="rId24" o:title=""/>
                </v:shape>
                <o:OLEObject Type="Embed" ProgID="PBrush" ShapeID="_x0000_i1034" DrawAspect="Content" ObjectID="_1616425805" r:id="rId25"/>
              </w:object>
            </w:r>
          </w:p>
        </w:tc>
      </w:tr>
      <w:tr w:rsidR="00EB025A" w:rsidTr="006A2D16">
        <w:tc>
          <w:tcPr>
            <w:tcW w:w="567" w:type="dxa"/>
          </w:tcPr>
          <w:p w:rsidR="00EB025A" w:rsidRDefault="00EB025A" w:rsidP="006A2D16">
            <w:pPr>
              <w:jc w:val="center"/>
            </w:pPr>
            <w:r>
              <w:t>13</w:t>
            </w:r>
          </w:p>
        </w:tc>
        <w:tc>
          <w:tcPr>
            <w:tcW w:w="1843" w:type="dxa"/>
          </w:tcPr>
          <w:p w:rsidR="00EB025A" w:rsidRDefault="00EB025A" w:rsidP="006A2D16">
            <w:pPr>
              <w:jc w:val="center"/>
            </w:pPr>
            <w:r>
              <w:t>Метод обратного отношения «цена/прибыль»</w:t>
            </w:r>
          </w:p>
        </w:tc>
        <w:tc>
          <w:tcPr>
            <w:tcW w:w="1418" w:type="dxa"/>
          </w:tcPr>
          <w:p w:rsidR="00EB025A" w:rsidRDefault="00EB025A" w:rsidP="006A2D16">
            <w:pPr>
              <w:jc w:val="center"/>
            </w:pPr>
            <w:r>
              <w:t xml:space="preserve">Рыночный </w:t>
            </w:r>
          </w:p>
        </w:tc>
        <w:tc>
          <w:tcPr>
            <w:tcW w:w="6662" w:type="dxa"/>
          </w:tcPr>
          <w:p w:rsidR="00EB025A" w:rsidRDefault="00EB025A" w:rsidP="006A2D16">
            <w:pPr>
              <w:jc w:val="center"/>
            </w:pPr>
            <w:r w:rsidRPr="0027690F">
              <w:rPr>
                <w:sz w:val="24"/>
                <w:szCs w:val="24"/>
              </w:rPr>
              <w:object w:dxaOrig="2904" w:dyaOrig="1608">
                <v:shape id="_x0000_i1035" type="#_x0000_t75" style="width:145.2pt;height:80.4pt" o:ole="">
                  <v:imagedata r:id="rId26" o:title=""/>
                </v:shape>
                <o:OLEObject Type="Embed" ProgID="PBrush" ShapeID="_x0000_i1035" DrawAspect="Content" ObjectID="_1616425806" r:id="rId27"/>
              </w:object>
            </w:r>
          </w:p>
          <w:p w:rsidR="00EB025A" w:rsidRDefault="00EB025A" w:rsidP="006A2D16">
            <w:pPr>
              <w:jc w:val="center"/>
            </w:pPr>
            <w:r>
              <w:rPr>
                <w:rFonts w:ascii="Palatino Linotype" w:hAnsi="Palatino Linotype"/>
                <w:color w:val="000000"/>
                <w:sz w:val="16"/>
                <w:szCs w:val="16"/>
              </w:rPr>
              <w:t xml:space="preserve">где </w:t>
            </w:r>
            <w:r>
              <w:rPr>
                <w:rFonts w:ascii="&amp;quot" w:hAnsi="&amp;quot"/>
                <w:i/>
                <w:iCs/>
                <w:color w:val="000000"/>
                <w:sz w:val="16"/>
                <w:szCs w:val="16"/>
              </w:rPr>
              <w:t>i</w:t>
            </w:r>
            <w:r>
              <w:rPr>
                <w:rFonts w:ascii="&amp;quot" w:hAnsi="&amp;quot"/>
                <w:i/>
                <w:iCs/>
                <w:color w:val="000000"/>
                <w:sz w:val="11"/>
                <w:szCs w:val="11"/>
                <w:vertAlign w:val="subscript"/>
              </w:rPr>
              <w:t>CK</w:t>
            </w:r>
            <w:r>
              <w:rPr>
                <w:rFonts w:ascii="Palatino Linotype" w:hAnsi="Palatino Linotype"/>
                <w:color w:val="000000"/>
                <w:sz w:val="16"/>
                <w:szCs w:val="16"/>
              </w:rPr>
              <w:t xml:space="preserve"> — норма доходности на собственный капитал; </w:t>
            </w:r>
            <w:r>
              <w:rPr>
                <w:rFonts w:ascii="&amp;quot" w:hAnsi="&amp;quot"/>
                <w:i/>
                <w:iCs/>
                <w:color w:val="000000"/>
                <w:sz w:val="16"/>
                <w:szCs w:val="16"/>
              </w:rPr>
              <w:t>Р/Е</w:t>
            </w:r>
            <w:r>
              <w:rPr>
                <w:rFonts w:ascii="Palatino Linotype" w:hAnsi="Palatino Linotype"/>
                <w:color w:val="000000"/>
                <w:sz w:val="16"/>
                <w:szCs w:val="16"/>
              </w:rPr>
              <w:t xml:space="preserve"> — коэффициент «цена/нрибыль»; </w:t>
            </w:r>
            <w:r>
              <w:rPr>
                <w:rFonts w:ascii="&amp;quot" w:hAnsi="&amp;quot"/>
                <w:i/>
                <w:iCs/>
                <w:color w:val="000000"/>
                <w:sz w:val="16"/>
                <w:szCs w:val="16"/>
              </w:rPr>
              <w:t>Р —</w:t>
            </w:r>
            <w:r>
              <w:rPr>
                <w:rFonts w:ascii="Palatino Linotype" w:hAnsi="Palatino Linotype"/>
                <w:color w:val="000000"/>
                <w:sz w:val="16"/>
                <w:szCs w:val="16"/>
              </w:rPr>
              <w:t xml:space="preserve"> суммарная рыночная стоимость акций компаний, находящихся в обращении (капитализация компании); </w:t>
            </w:r>
            <w:r>
              <w:rPr>
                <w:rFonts w:ascii="&amp;quot" w:hAnsi="&amp;quot"/>
                <w:i/>
                <w:iCs/>
                <w:color w:val="000000"/>
                <w:sz w:val="16"/>
                <w:szCs w:val="16"/>
              </w:rPr>
              <w:t>Е</w:t>
            </w:r>
            <w:r>
              <w:rPr>
                <w:rFonts w:ascii="Palatino Linotype" w:hAnsi="Palatino Linotype"/>
                <w:color w:val="000000"/>
                <w:sz w:val="16"/>
                <w:szCs w:val="16"/>
              </w:rPr>
              <w:t xml:space="preserve"> — чистая прибыль.</w:t>
            </w:r>
          </w:p>
        </w:tc>
      </w:tr>
      <w:tr w:rsidR="00EB025A" w:rsidTr="006A2D16">
        <w:tc>
          <w:tcPr>
            <w:tcW w:w="567" w:type="dxa"/>
          </w:tcPr>
          <w:p w:rsidR="00EB025A" w:rsidRDefault="00EB025A" w:rsidP="006A2D16">
            <w:pPr>
              <w:jc w:val="center"/>
            </w:pPr>
            <w:r>
              <w:t>14</w:t>
            </w:r>
          </w:p>
        </w:tc>
        <w:tc>
          <w:tcPr>
            <w:tcW w:w="1843" w:type="dxa"/>
          </w:tcPr>
          <w:p w:rsidR="00EB025A" w:rsidRDefault="00EB025A" w:rsidP="006A2D16">
            <w:pPr>
              <w:jc w:val="center"/>
            </w:pPr>
            <w:r>
              <w:t>Метод сценариев</w:t>
            </w:r>
          </w:p>
        </w:tc>
        <w:tc>
          <w:tcPr>
            <w:tcW w:w="1418" w:type="dxa"/>
          </w:tcPr>
          <w:p w:rsidR="00EB025A" w:rsidRDefault="00EB025A" w:rsidP="006A2D16">
            <w:pPr>
              <w:jc w:val="center"/>
            </w:pPr>
            <w:r>
              <w:t>Доходный</w:t>
            </w:r>
          </w:p>
        </w:tc>
        <w:tc>
          <w:tcPr>
            <w:tcW w:w="6662" w:type="dxa"/>
          </w:tcPr>
          <w:p w:rsidR="00EB025A" w:rsidRPr="003C1285" w:rsidRDefault="00EB025A" w:rsidP="006A2D16">
            <w:pPr>
              <w:rPr>
                <w:rFonts w:ascii="Arial" w:hAnsi="Arial" w:cs="Arial"/>
                <w:color w:val="000000"/>
                <w:sz w:val="12"/>
                <w:szCs w:val="12"/>
              </w:rPr>
            </w:pPr>
            <w:r w:rsidRPr="003C1285">
              <w:rPr>
                <w:rFonts w:ascii="Arial" w:hAnsi="Arial" w:cs="Arial"/>
                <w:color w:val="000000"/>
                <w:sz w:val="12"/>
                <w:szCs w:val="12"/>
              </w:rPr>
              <w:t>Метод сценариев позволяет совместить исследование чувствительности результирующего показателя с анализом вероятностных оценок его отклонений. В общем случае процедура использования данного метода в процессе анализа инвестиционных рисков включает выполнение следующих шагов.</w:t>
            </w:r>
          </w:p>
          <w:p w:rsidR="00EB025A" w:rsidRPr="003C1285" w:rsidRDefault="00EB025A" w:rsidP="006A2D16">
            <w:pPr>
              <w:rPr>
                <w:rFonts w:ascii="Arial" w:hAnsi="Arial" w:cs="Arial"/>
                <w:color w:val="000000"/>
                <w:sz w:val="12"/>
                <w:szCs w:val="12"/>
              </w:rPr>
            </w:pPr>
            <w:r w:rsidRPr="003C1285">
              <w:rPr>
                <w:rFonts w:ascii="Arial" w:hAnsi="Arial" w:cs="Arial"/>
                <w:color w:val="000000"/>
                <w:sz w:val="12"/>
                <w:szCs w:val="12"/>
              </w:rPr>
              <w:t>1. Определяют несколько вариантов изменений ключевых исходных показателей (например, пессимистический, наиболее вероятный и оптимистический).</w:t>
            </w:r>
          </w:p>
          <w:p w:rsidR="00EB025A" w:rsidRPr="003C1285" w:rsidRDefault="00EB025A" w:rsidP="006A2D16">
            <w:pPr>
              <w:rPr>
                <w:rFonts w:ascii="Arial" w:hAnsi="Arial" w:cs="Arial"/>
                <w:color w:val="000000"/>
                <w:sz w:val="12"/>
                <w:szCs w:val="12"/>
              </w:rPr>
            </w:pPr>
            <w:r w:rsidRPr="003C1285">
              <w:rPr>
                <w:rFonts w:ascii="Arial" w:hAnsi="Arial" w:cs="Arial"/>
                <w:color w:val="000000"/>
                <w:sz w:val="12"/>
                <w:szCs w:val="12"/>
              </w:rPr>
              <w:t>2. Каждому варианту изменений приписывают его вероятностную оценку.</w:t>
            </w:r>
          </w:p>
          <w:p w:rsidR="00EB025A" w:rsidRPr="003C1285" w:rsidRDefault="00EB025A" w:rsidP="006A2D16">
            <w:pPr>
              <w:rPr>
                <w:rFonts w:ascii="Arial" w:hAnsi="Arial" w:cs="Arial"/>
                <w:color w:val="000000"/>
                <w:sz w:val="12"/>
                <w:szCs w:val="12"/>
              </w:rPr>
            </w:pPr>
            <w:r w:rsidRPr="003C1285">
              <w:rPr>
                <w:rFonts w:ascii="Arial" w:hAnsi="Arial" w:cs="Arial"/>
                <w:color w:val="000000"/>
                <w:sz w:val="12"/>
                <w:szCs w:val="12"/>
              </w:rPr>
              <w:t>3. Для каждого варианта рассчитывают вероятное значение критерия NPV (либо IRR, РI), а также оценки его отклонений от среднего значения.</w:t>
            </w:r>
          </w:p>
          <w:p w:rsidR="00EB025A" w:rsidRPr="003C1285" w:rsidRDefault="00EB025A" w:rsidP="006A2D16">
            <w:pPr>
              <w:rPr>
                <w:rFonts w:ascii="Arial" w:hAnsi="Arial" w:cs="Arial"/>
                <w:color w:val="000000"/>
                <w:sz w:val="12"/>
                <w:szCs w:val="12"/>
              </w:rPr>
            </w:pPr>
            <w:r w:rsidRPr="003C1285">
              <w:rPr>
                <w:rFonts w:ascii="Arial" w:hAnsi="Arial" w:cs="Arial"/>
                <w:color w:val="000000"/>
                <w:sz w:val="12"/>
                <w:szCs w:val="12"/>
              </w:rPr>
              <w:t>4. Проводится анализ вероятностных распределений полученных результатов.</w:t>
            </w:r>
          </w:p>
          <w:p w:rsidR="00EB025A" w:rsidRPr="003C1285" w:rsidRDefault="00EB025A" w:rsidP="006A2D16">
            <w:pPr>
              <w:rPr>
                <w:rFonts w:ascii="Arial" w:hAnsi="Arial" w:cs="Arial"/>
                <w:color w:val="000000"/>
                <w:sz w:val="12"/>
                <w:szCs w:val="12"/>
              </w:rPr>
            </w:pPr>
            <w:r w:rsidRPr="003C1285">
              <w:rPr>
                <w:rFonts w:ascii="Arial" w:hAnsi="Arial" w:cs="Arial"/>
                <w:color w:val="000000"/>
                <w:sz w:val="12"/>
                <w:szCs w:val="12"/>
              </w:rPr>
              <w:t>Проект с наименьшими стандартным отклонением (s) и коэффициентом вариации (СV) считается менее рисковым.</w:t>
            </w:r>
          </w:p>
          <w:p w:rsidR="00EB025A" w:rsidRPr="003C1285" w:rsidRDefault="00EB025A" w:rsidP="006A2D16">
            <w:pPr>
              <w:rPr>
                <w:rFonts w:ascii="Arial" w:hAnsi="Arial" w:cs="Arial"/>
                <w:color w:val="000000"/>
                <w:sz w:val="12"/>
                <w:szCs w:val="12"/>
              </w:rPr>
            </w:pPr>
            <w:r w:rsidRPr="003C1285">
              <w:rPr>
                <w:rFonts w:ascii="Arial" w:hAnsi="Arial" w:cs="Arial"/>
                <w:color w:val="000000"/>
                <w:sz w:val="12"/>
                <w:szCs w:val="12"/>
              </w:rPr>
              <w:t>В целом метод позволяет получать достаточно наглядную картину для различных вариантов реализации проектов, а также предоставляет информацию о чувствительности и возможных отклонениях, а применение программных средств типа Excel позволяет значительно повысить эффективность подобного анализа путем практически неограниченного увеличения числа сценариев и введения дополнительных переменных.</w:t>
            </w:r>
          </w:p>
          <w:p w:rsidR="00EB025A" w:rsidRPr="003C1285" w:rsidRDefault="00EB025A" w:rsidP="006A2D16">
            <w:pPr>
              <w:rPr>
                <w:rFonts w:ascii="Arial" w:hAnsi="Arial" w:cs="Arial"/>
                <w:color w:val="000000"/>
                <w:sz w:val="12"/>
                <w:szCs w:val="12"/>
              </w:rPr>
            </w:pPr>
            <w:r w:rsidRPr="003C1285">
              <w:rPr>
                <w:rFonts w:ascii="Arial" w:hAnsi="Arial" w:cs="Arial"/>
                <w:color w:val="000000"/>
                <w:sz w:val="12"/>
                <w:szCs w:val="12"/>
              </w:rPr>
              <w:t>Метод сценариев может быть легко реализован в среде EXCEL.</w:t>
            </w:r>
          </w:p>
          <w:p w:rsidR="00EB025A" w:rsidRDefault="00EB025A" w:rsidP="006A2D16">
            <w:pPr>
              <w:jc w:val="center"/>
            </w:pPr>
            <w:r w:rsidRPr="0027690F">
              <w:rPr>
                <w:sz w:val="24"/>
                <w:szCs w:val="24"/>
              </w:rPr>
              <w:object w:dxaOrig="12228" w:dyaOrig="7968">
                <v:shape id="_x0000_i1036" type="#_x0000_t75" style="width:322.2pt;height:210pt" o:ole="">
                  <v:imagedata r:id="rId28" o:title=""/>
                </v:shape>
                <o:OLEObject Type="Embed" ProgID="PBrush" ShapeID="_x0000_i1036" DrawAspect="Content" ObjectID="_1616425807" r:id="rId29"/>
              </w:object>
            </w:r>
          </w:p>
        </w:tc>
      </w:tr>
      <w:tr w:rsidR="00EB025A" w:rsidTr="006A2D16">
        <w:tc>
          <w:tcPr>
            <w:tcW w:w="567" w:type="dxa"/>
          </w:tcPr>
          <w:p w:rsidR="00EB025A" w:rsidRDefault="00EB025A" w:rsidP="006A2D16">
            <w:pPr>
              <w:jc w:val="center"/>
            </w:pPr>
            <w:r>
              <w:t>15</w:t>
            </w:r>
          </w:p>
        </w:tc>
        <w:tc>
          <w:tcPr>
            <w:tcW w:w="1843" w:type="dxa"/>
          </w:tcPr>
          <w:p w:rsidR="00EB025A" w:rsidRDefault="00EB025A" w:rsidP="006A2D16">
            <w:pPr>
              <w:jc w:val="center"/>
            </w:pPr>
            <w:r>
              <w:t>Метод рынка капитала</w:t>
            </w:r>
          </w:p>
        </w:tc>
        <w:tc>
          <w:tcPr>
            <w:tcW w:w="1418" w:type="dxa"/>
          </w:tcPr>
          <w:p w:rsidR="00EB025A" w:rsidRDefault="00EB025A" w:rsidP="006A2D16">
            <w:pPr>
              <w:jc w:val="center"/>
            </w:pPr>
            <w:r>
              <w:t xml:space="preserve">Рыночный </w:t>
            </w:r>
          </w:p>
        </w:tc>
        <w:tc>
          <w:tcPr>
            <w:tcW w:w="6662" w:type="dxa"/>
          </w:tcPr>
          <w:p w:rsidR="00EB025A" w:rsidRDefault="00EB025A" w:rsidP="006A2D16">
            <w:pPr>
              <w:pStyle w:val="a5"/>
              <w:ind w:firstLine="180"/>
              <w:jc w:val="both"/>
              <w:rPr>
                <w:rFonts w:ascii="&amp;quot" w:hAnsi="&amp;quot"/>
                <w:color w:val="000000"/>
                <w:sz w:val="16"/>
                <w:szCs w:val="16"/>
              </w:rPr>
            </w:pPr>
            <w:r>
              <w:rPr>
                <w:rFonts w:ascii="&amp;quot" w:hAnsi="&amp;quot"/>
                <w:color w:val="000000"/>
                <w:sz w:val="16"/>
                <w:szCs w:val="16"/>
              </w:rPr>
              <w:t>Процесс оценки акций (бизнеса) предприятия с применением метода рынка капитала включает следующие основные этапы:</w:t>
            </w:r>
          </w:p>
          <w:p w:rsidR="00EB025A" w:rsidRDefault="00EB025A" w:rsidP="006A2D16">
            <w:pPr>
              <w:numPr>
                <w:ilvl w:val="0"/>
                <w:numId w:val="1"/>
              </w:numPr>
              <w:spacing w:before="100" w:beforeAutospacing="1" w:after="100" w:afterAutospacing="1" w:line="180" w:lineRule="atLeast"/>
              <w:ind w:left="240" w:firstLine="180"/>
              <w:jc w:val="both"/>
              <w:rPr>
                <w:rFonts w:ascii="&amp;quot" w:hAnsi="&amp;quot"/>
                <w:color w:val="242424"/>
                <w:sz w:val="16"/>
                <w:szCs w:val="16"/>
              </w:rPr>
            </w:pPr>
            <w:r>
              <w:rPr>
                <w:rFonts w:ascii="&amp;quot" w:hAnsi="&amp;quot"/>
                <w:color w:val="242424"/>
                <w:sz w:val="16"/>
                <w:szCs w:val="16"/>
              </w:rPr>
              <w:t>*cбор необходимой информации;</w:t>
            </w:r>
          </w:p>
          <w:p w:rsidR="00EB025A" w:rsidRDefault="00EB025A" w:rsidP="006A2D16">
            <w:pPr>
              <w:numPr>
                <w:ilvl w:val="0"/>
                <w:numId w:val="1"/>
              </w:numPr>
              <w:spacing w:before="100" w:beforeAutospacing="1" w:after="100" w:afterAutospacing="1" w:line="180" w:lineRule="atLeast"/>
              <w:ind w:left="240" w:firstLine="180"/>
              <w:jc w:val="both"/>
              <w:rPr>
                <w:rFonts w:ascii="&amp;quot" w:hAnsi="&amp;quot"/>
                <w:color w:val="242424"/>
                <w:sz w:val="16"/>
                <w:szCs w:val="16"/>
              </w:rPr>
            </w:pPr>
            <w:r>
              <w:rPr>
                <w:rFonts w:ascii="&amp;quot" w:hAnsi="&amp;quot"/>
                <w:color w:val="242424"/>
                <w:sz w:val="16"/>
                <w:szCs w:val="16"/>
              </w:rPr>
              <w:t>*выбор аналогичных предприятий;</w:t>
            </w:r>
          </w:p>
          <w:p w:rsidR="00EB025A" w:rsidRDefault="00EB025A" w:rsidP="006A2D16">
            <w:pPr>
              <w:numPr>
                <w:ilvl w:val="0"/>
                <w:numId w:val="1"/>
              </w:numPr>
              <w:spacing w:before="100" w:beforeAutospacing="1" w:after="100" w:afterAutospacing="1" w:line="180" w:lineRule="atLeast"/>
              <w:ind w:left="240" w:firstLine="180"/>
              <w:jc w:val="both"/>
              <w:rPr>
                <w:rFonts w:ascii="&amp;quot" w:hAnsi="&amp;quot"/>
                <w:color w:val="242424"/>
                <w:sz w:val="16"/>
                <w:szCs w:val="16"/>
              </w:rPr>
            </w:pPr>
            <w:r>
              <w:rPr>
                <w:rFonts w:ascii="&amp;quot" w:hAnsi="&amp;quot"/>
                <w:color w:val="242424"/>
                <w:sz w:val="16"/>
                <w:szCs w:val="16"/>
              </w:rPr>
              <w:t>*финансовый анализ;</w:t>
            </w:r>
          </w:p>
          <w:p w:rsidR="00EB025A" w:rsidRDefault="00EB025A" w:rsidP="006A2D16">
            <w:pPr>
              <w:numPr>
                <w:ilvl w:val="0"/>
                <w:numId w:val="1"/>
              </w:numPr>
              <w:spacing w:before="100" w:beforeAutospacing="1" w:after="100" w:afterAutospacing="1" w:line="180" w:lineRule="atLeast"/>
              <w:ind w:left="240" w:firstLine="180"/>
              <w:jc w:val="both"/>
              <w:rPr>
                <w:rFonts w:ascii="&amp;quot" w:hAnsi="&amp;quot"/>
                <w:color w:val="242424"/>
                <w:sz w:val="16"/>
                <w:szCs w:val="16"/>
              </w:rPr>
            </w:pPr>
            <w:r>
              <w:rPr>
                <w:rFonts w:ascii="&amp;quot" w:hAnsi="&amp;quot"/>
                <w:color w:val="242424"/>
                <w:sz w:val="16"/>
                <w:szCs w:val="16"/>
              </w:rPr>
              <w:t>*расчет оценочных мультипликаторов (коэффициентов);</w:t>
            </w:r>
          </w:p>
          <w:p w:rsidR="00EB025A" w:rsidRDefault="00EB025A" w:rsidP="006A2D16">
            <w:pPr>
              <w:numPr>
                <w:ilvl w:val="0"/>
                <w:numId w:val="1"/>
              </w:numPr>
              <w:spacing w:before="100" w:beforeAutospacing="1" w:after="100" w:afterAutospacing="1" w:line="180" w:lineRule="atLeast"/>
              <w:ind w:left="240" w:firstLine="180"/>
              <w:jc w:val="both"/>
              <w:rPr>
                <w:rFonts w:ascii="&amp;quot" w:hAnsi="&amp;quot"/>
                <w:color w:val="242424"/>
                <w:sz w:val="16"/>
                <w:szCs w:val="16"/>
              </w:rPr>
            </w:pPr>
            <w:r>
              <w:rPr>
                <w:rFonts w:ascii="&amp;quot" w:hAnsi="&amp;quot"/>
                <w:color w:val="242424"/>
                <w:sz w:val="16"/>
                <w:szCs w:val="16"/>
              </w:rPr>
              <w:t>*выбор величины мультипликатора (коэффициентов);</w:t>
            </w:r>
          </w:p>
          <w:p w:rsidR="00EB025A" w:rsidRPr="00826A87" w:rsidRDefault="00EB025A" w:rsidP="006A2D16">
            <w:pPr>
              <w:numPr>
                <w:ilvl w:val="0"/>
                <w:numId w:val="1"/>
              </w:numPr>
              <w:spacing w:before="100" w:beforeAutospacing="1" w:after="100" w:afterAutospacing="1" w:line="180" w:lineRule="atLeast"/>
              <w:ind w:left="240" w:firstLine="180"/>
              <w:jc w:val="both"/>
              <w:rPr>
                <w:rFonts w:ascii="&amp;quot" w:hAnsi="&amp;quot"/>
                <w:color w:val="242424"/>
                <w:sz w:val="16"/>
                <w:szCs w:val="16"/>
              </w:rPr>
            </w:pPr>
            <w:r>
              <w:rPr>
                <w:rFonts w:ascii="&amp;quot" w:hAnsi="&amp;quot"/>
                <w:color w:val="242424"/>
                <w:sz w:val="16"/>
                <w:szCs w:val="16"/>
              </w:rPr>
              <w:t>*определение итоговой величины стоимости.</w:t>
            </w:r>
          </w:p>
          <w:p w:rsidR="00EB025A" w:rsidRDefault="00EB025A" w:rsidP="006A2D16">
            <w:pPr>
              <w:jc w:val="center"/>
              <w:rPr>
                <w:rFonts w:ascii="&amp;quot" w:hAnsi="&amp;quot"/>
                <w:i/>
                <w:iCs/>
                <w:color w:val="000000"/>
                <w:sz w:val="19"/>
                <w:szCs w:val="19"/>
                <w:bdr w:val="none" w:sz="0" w:space="0" w:color="auto" w:frame="1"/>
                <w:lang w:val="en-US"/>
              </w:rPr>
            </w:pPr>
          </w:p>
          <w:p w:rsidR="00EB025A" w:rsidRDefault="00EB025A" w:rsidP="006A2D16">
            <w:pPr>
              <w:jc w:val="center"/>
            </w:pPr>
            <w:r>
              <w:rPr>
                <w:rFonts w:ascii="&amp;quot" w:hAnsi="&amp;quot"/>
                <w:i/>
                <w:iCs/>
                <w:color w:val="000000"/>
                <w:sz w:val="19"/>
                <w:szCs w:val="19"/>
                <w:bdr w:val="none" w:sz="0" w:space="0" w:color="auto" w:frame="1"/>
              </w:rPr>
              <w:t>Р/ЕВТ — цена/прибыль до налогообложения</w:t>
            </w:r>
            <w:r>
              <w:rPr>
                <w:rFonts w:ascii="Arial" w:hAnsi="Arial" w:cs="Arial"/>
                <w:color w:val="000000"/>
                <w:sz w:val="19"/>
                <w:szCs w:val="19"/>
              </w:rPr>
              <w:t xml:space="preserve"> (более предпочтителен для сопоставления предприятий, имеющих различные налоговые условия);</w:t>
            </w:r>
          </w:p>
        </w:tc>
      </w:tr>
      <w:tr w:rsidR="00EB025A" w:rsidTr="006A2D16">
        <w:tc>
          <w:tcPr>
            <w:tcW w:w="567" w:type="dxa"/>
          </w:tcPr>
          <w:p w:rsidR="00EB025A" w:rsidRDefault="00EB025A" w:rsidP="006A2D16">
            <w:pPr>
              <w:jc w:val="center"/>
            </w:pPr>
            <w:r>
              <w:t>16</w:t>
            </w:r>
          </w:p>
        </w:tc>
        <w:tc>
          <w:tcPr>
            <w:tcW w:w="1843" w:type="dxa"/>
          </w:tcPr>
          <w:p w:rsidR="00EB025A" w:rsidRDefault="00EB025A" w:rsidP="006A2D16">
            <w:pPr>
              <w:jc w:val="center"/>
            </w:pPr>
            <w:r>
              <w:t>Метод рынка капитала</w:t>
            </w:r>
          </w:p>
        </w:tc>
        <w:tc>
          <w:tcPr>
            <w:tcW w:w="1418" w:type="dxa"/>
          </w:tcPr>
          <w:p w:rsidR="00EB025A" w:rsidRDefault="00EB025A" w:rsidP="006A2D16">
            <w:pPr>
              <w:jc w:val="center"/>
            </w:pPr>
            <w:r>
              <w:t>Рыночный</w:t>
            </w:r>
          </w:p>
        </w:tc>
        <w:tc>
          <w:tcPr>
            <w:tcW w:w="6662" w:type="dxa"/>
          </w:tcPr>
          <w:p w:rsidR="00EB025A" w:rsidRDefault="00EB025A" w:rsidP="006A2D16">
            <w:pPr>
              <w:jc w:val="center"/>
            </w:pPr>
            <w:r>
              <w:rPr>
                <w:rFonts w:ascii="&amp;quot" w:hAnsi="&amp;quot"/>
                <w:i/>
                <w:iCs/>
                <w:color w:val="000000"/>
                <w:sz w:val="19"/>
                <w:szCs w:val="19"/>
                <w:bdr w:val="none" w:sz="0" w:space="0" w:color="auto" w:frame="1"/>
              </w:rPr>
              <w:t>Р/R — цена/валовые доходы</w:t>
            </w:r>
            <w:r>
              <w:rPr>
                <w:rFonts w:ascii="Arial" w:hAnsi="Arial" w:cs="Arial"/>
                <w:color w:val="000000"/>
                <w:sz w:val="19"/>
                <w:szCs w:val="19"/>
              </w:rPr>
              <w:t xml:space="preserve"> (применяется, когда оцениваемое и сопоставимые предприятия имеют сходные операционные расходы — сфера услуг);</w:t>
            </w:r>
          </w:p>
        </w:tc>
      </w:tr>
      <w:tr w:rsidR="00EB025A" w:rsidTr="006A2D16">
        <w:tc>
          <w:tcPr>
            <w:tcW w:w="567" w:type="dxa"/>
          </w:tcPr>
          <w:p w:rsidR="00EB025A" w:rsidRDefault="00EB025A" w:rsidP="006A2D16">
            <w:pPr>
              <w:jc w:val="center"/>
            </w:pPr>
            <w:r>
              <w:t>17</w:t>
            </w:r>
          </w:p>
        </w:tc>
        <w:tc>
          <w:tcPr>
            <w:tcW w:w="1843" w:type="dxa"/>
          </w:tcPr>
          <w:p w:rsidR="00EB025A" w:rsidRDefault="00EB025A" w:rsidP="006A2D16">
            <w:pPr>
              <w:jc w:val="center"/>
            </w:pPr>
            <w:r>
              <w:t>Метод рынка капитала</w:t>
            </w:r>
          </w:p>
        </w:tc>
        <w:tc>
          <w:tcPr>
            <w:tcW w:w="1418" w:type="dxa"/>
          </w:tcPr>
          <w:p w:rsidR="00EB025A" w:rsidRDefault="00EB025A" w:rsidP="006A2D16">
            <w:pPr>
              <w:jc w:val="center"/>
            </w:pPr>
            <w:r>
              <w:t>Рыночный</w:t>
            </w:r>
          </w:p>
        </w:tc>
        <w:tc>
          <w:tcPr>
            <w:tcW w:w="6662" w:type="dxa"/>
          </w:tcPr>
          <w:p w:rsidR="00EB025A" w:rsidRDefault="00EB025A" w:rsidP="006A2D16">
            <w:pPr>
              <w:jc w:val="center"/>
            </w:pPr>
            <w:r>
              <w:rPr>
                <w:rFonts w:ascii="&amp;quot" w:hAnsi="&amp;quot"/>
                <w:i/>
                <w:iCs/>
                <w:color w:val="000000"/>
                <w:sz w:val="19"/>
                <w:szCs w:val="19"/>
                <w:bdr w:val="none" w:sz="0" w:space="0" w:color="auto" w:frame="1"/>
              </w:rPr>
              <w:t>Р/Е — цена/чистая прибыль</w:t>
            </w:r>
            <w:r>
              <w:rPr>
                <w:rFonts w:ascii="Arial" w:hAnsi="Arial" w:cs="Arial"/>
                <w:color w:val="000000"/>
                <w:sz w:val="19"/>
                <w:szCs w:val="19"/>
              </w:rPr>
              <w:t xml:space="preserve"> (особенно уместен, когда прибыль относительно высока и отражает реальное экономическое состояние предприятия);</w:t>
            </w:r>
          </w:p>
        </w:tc>
      </w:tr>
      <w:tr w:rsidR="00EB025A" w:rsidTr="006A2D16">
        <w:tc>
          <w:tcPr>
            <w:tcW w:w="567" w:type="dxa"/>
          </w:tcPr>
          <w:p w:rsidR="00EB025A" w:rsidRDefault="00EB025A" w:rsidP="006A2D16">
            <w:pPr>
              <w:jc w:val="center"/>
            </w:pPr>
            <w:r>
              <w:t>18</w:t>
            </w:r>
          </w:p>
        </w:tc>
        <w:tc>
          <w:tcPr>
            <w:tcW w:w="1843" w:type="dxa"/>
          </w:tcPr>
          <w:p w:rsidR="00EB025A" w:rsidRDefault="00EB025A" w:rsidP="006A2D16">
            <w:pPr>
              <w:jc w:val="center"/>
            </w:pPr>
            <w:r>
              <w:t>Метод рынка капитала</w:t>
            </w:r>
          </w:p>
        </w:tc>
        <w:tc>
          <w:tcPr>
            <w:tcW w:w="1418" w:type="dxa"/>
          </w:tcPr>
          <w:p w:rsidR="00EB025A" w:rsidRDefault="00EB025A" w:rsidP="006A2D16">
            <w:pPr>
              <w:jc w:val="center"/>
            </w:pPr>
            <w:r>
              <w:t>Рыночный</w:t>
            </w:r>
          </w:p>
        </w:tc>
        <w:tc>
          <w:tcPr>
            <w:tcW w:w="6662" w:type="dxa"/>
          </w:tcPr>
          <w:p w:rsidR="00EB025A" w:rsidRDefault="00EB025A" w:rsidP="006A2D16">
            <w:pPr>
              <w:tabs>
                <w:tab w:val="left" w:pos="1248"/>
              </w:tabs>
            </w:pPr>
            <w:r>
              <w:tab/>
            </w:r>
            <w:r>
              <w:rPr>
                <w:rFonts w:ascii="&amp;quot" w:hAnsi="&amp;quot"/>
                <w:i/>
                <w:iCs/>
                <w:color w:val="000000"/>
                <w:sz w:val="19"/>
                <w:szCs w:val="19"/>
                <w:bdr w:val="none" w:sz="0" w:space="0" w:color="auto" w:frame="1"/>
              </w:rPr>
              <w:t xml:space="preserve">Р/D – цена/дивиденды </w:t>
            </w:r>
            <w:r>
              <w:rPr>
                <w:rFonts w:ascii="Arial" w:hAnsi="Arial" w:cs="Arial"/>
                <w:color w:val="000000"/>
                <w:sz w:val="19"/>
                <w:szCs w:val="19"/>
              </w:rPr>
              <w:t>(рассчитывают как на базе фактически выплаченных, так и потенциальных дивидендов по компаниям, акции которых свободно обращаются на фондовом рынке). Используется довольно редко, несмотря на доступность информации. Это связано с тем, что порядок выплат в компаниях открытого и закрытого типов существенно различается;</w:t>
            </w:r>
          </w:p>
        </w:tc>
      </w:tr>
      <w:tr w:rsidR="00EB025A" w:rsidTr="006A2D16">
        <w:tc>
          <w:tcPr>
            <w:tcW w:w="567" w:type="dxa"/>
          </w:tcPr>
          <w:p w:rsidR="00EB025A" w:rsidRDefault="00EB025A" w:rsidP="006A2D16">
            <w:pPr>
              <w:jc w:val="center"/>
            </w:pPr>
            <w:r>
              <w:t>19</w:t>
            </w:r>
          </w:p>
        </w:tc>
        <w:tc>
          <w:tcPr>
            <w:tcW w:w="1843" w:type="dxa"/>
          </w:tcPr>
          <w:p w:rsidR="00EB025A" w:rsidRDefault="00EB025A" w:rsidP="006A2D16">
            <w:pPr>
              <w:jc w:val="center"/>
            </w:pPr>
            <w:r>
              <w:t>Метод рынка капитала</w:t>
            </w:r>
          </w:p>
        </w:tc>
        <w:tc>
          <w:tcPr>
            <w:tcW w:w="1418" w:type="dxa"/>
          </w:tcPr>
          <w:p w:rsidR="00EB025A" w:rsidRDefault="00EB025A" w:rsidP="006A2D16">
            <w:pPr>
              <w:jc w:val="center"/>
            </w:pPr>
            <w:r>
              <w:t>Рыночный</w:t>
            </w:r>
          </w:p>
        </w:tc>
        <w:tc>
          <w:tcPr>
            <w:tcW w:w="6662" w:type="dxa"/>
          </w:tcPr>
          <w:p w:rsidR="00EB025A" w:rsidRDefault="00EB025A" w:rsidP="006A2D16">
            <w:pPr>
              <w:jc w:val="center"/>
            </w:pPr>
            <w:r>
              <w:rPr>
                <w:rFonts w:ascii="&amp;quot" w:hAnsi="&amp;quot"/>
                <w:i/>
                <w:iCs/>
                <w:color w:val="000000"/>
                <w:sz w:val="19"/>
                <w:szCs w:val="19"/>
                <w:bdr w:val="none" w:sz="0" w:space="0" w:color="auto" w:frame="1"/>
              </w:rPr>
              <w:t>Р/СF — цена/денежный поток</w:t>
            </w:r>
            <w:r>
              <w:rPr>
                <w:rFonts w:ascii="Arial" w:hAnsi="Arial" w:cs="Arial"/>
                <w:color w:val="000000"/>
                <w:sz w:val="19"/>
                <w:szCs w:val="19"/>
              </w:rPr>
              <w:t xml:space="preserve"> (уместен, когда предприятие имеет относительно низкий доход по сравнению с начисляемой амортизацией);</w:t>
            </w:r>
          </w:p>
        </w:tc>
      </w:tr>
      <w:tr w:rsidR="00EB025A" w:rsidTr="006A2D16">
        <w:tc>
          <w:tcPr>
            <w:tcW w:w="567" w:type="dxa"/>
          </w:tcPr>
          <w:p w:rsidR="00EB025A" w:rsidRDefault="00EB025A" w:rsidP="006A2D16">
            <w:pPr>
              <w:jc w:val="center"/>
            </w:pPr>
            <w:r>
              <w:t>20</w:t>
            </w:r>
          </w:p>
        </w:tc>
        <w:tc>
          <w:tcPr>
            <w:tcW w:w="1843" w:type="dxa"/>
          </w:tcPr>
          <w:p w:rsidR="00EB025A" w:rsidRDefault="00EB025A" w:rsidP="006A2D16">
            <w:pPr>
              <w:jc w:val="center"/>
            </w:pPr>
            <w:r>
              <w:t>Метод рынка капитала</w:t>
            </w:r>
          </w:p>
        </w:tc>
        <w:tc>
          <w:tcPr>
            <w:tcW w:w="1418" w:type="dxa"/>
          </w:tcPr>
          <w:p w:rsidR="00EB025A" w:rsidRDefault="00EB025A" w:rsidP="006A2D16">
            <w:pPr>
              <w:jc w:val="center"/>
            </w:pPr>
            <w:r>
              <w:t>Рыночный</w:t>
            </w:r>
          </w:p>
        </w:tc>
        <w:tc>
          <w:tcPr>
            <w:tcW w:w="6662" w:type="dxa"/>
          </w:tcPr>
          <w:p w:rsidR="00EB025A" w:rsidRDefault="00EB025A" w:rsidP="006A2D16">
            <w:pPr>
              <w:jc w:val="center"/>
            </w:pPr>
            <w:r>
              <w:rPr>
                <w:rFonts w:ascii="&amp;quot" w:hAnsi="&amp;quot"/>
                <w:i/>
                <w:iCs/>
                <w:color w:val="000000"/>
                <w:sz w:val="19"/>
                <w:szCs w:val="19"/>
                <w:bdr w:val="none" w:sz="0" w:space="0" w:color="auto" w:frame="1"/>
              </w:rPr>
              <w:t>Р/ВV — цена/балансовая стоимость активов</w:t>
            </w:r>
            <w:r>
              <w:rPr>
                <w:rFonts w:ascii="Arial" w:hAnsi="Arial" w:cs="Arial"/>
                <w:color w:val="000000"/>
                <w:sz w:val="19"/>
                <w:szCs w:val="19"/>
              </w:rPr>
              <w:t xml:space="preserve"> (наиболее применим при оценке холдинговых компаний либо необходимости быстро реализовать крупный пакет акций).</w:t>
            </w:r>
          </w:p>
        </w:tc>
      </w:tr>
      <w:tr w:rsidR="00EB025A" w:rsidTr="006A2D16">
        <w:tc>
          <w:tcPr>
            <w:tcW w:w="567" w:type="dxa"/>
          </w:tcPr>
          <w:p w:rsidR="00EB025A" w:rsidRPr="00826A87" w:rsidRDefault="00EB025A" w:rsidP="006A2D16">
            <w:pPr>
              <w:jc w:val="center"/>
              <w:rPr>
                <w:lang w:val="en-US"/>
              </w:rPr>
            </w:pPr>
            <w:r>
              <w:rPr>
                <w:lang w:val="en-US"/>
              </w:rPr>
              <w:t>21</w:t>
            </w:r>
          </w:p>
        </w:tc>
        <w:tc>
          <w:tcPr>
            <w:tcW w:w="1843" w:type="dxa"/>
          </w:tcPr>
          <w:p w:rsidR="00EB025A" w:rsidRPr="00DF1391" w:rsidRDefault="00EB025A" w:rsidP="006A2D16">
            <w:pPr>
              <w:jc w:val="center"/>
            </w:pPr>
            <w:r>
              <w:t>Метод сделок</w:t>
            </w:r>
          </w:p>
        </w:tc>
        <w:tc>
          <w:tcPr>
            <w:tcW w:w="1418" w:type="dxa"/>
          </w:tcPr>
          <w:p w:rsidR="00EB025A" w:rsidRDefault="00EB025A" w:rsidP="006A2D16">
            <w:pPr>
              <w:jc w:val="center"/>
            </w:pPr>
            <w:r>
              <w:t xml:space="preserve">Сравнительный </w:t>
            </w:r>
          </w:p>
        </w:tc>
        <w:tc>
          <w:tcPr>
            <w:tcW w:w="6662" w:type="dxa"/>
          </w:tcPr>
          <w:p w:rsidR="00EB025A" w:rsidRDefault="00EB025A" w:rsidP="006A2D16">
            <w:pPr>
              <w:pStyle w:val="a5"/>
              <w:spacing w:before="0" w:beforeAutospacing="0" w:after="0" w:afterAutospacing="0"/>
              <w:ind w:firstLine="450"/>
              <w:rPr>
                <w:rFonts w:ascii="&amp;quot" w:hAnsi="&amp;quot"/>
                <w:color w:val="000000"/>
                <w:sz w:val="18"/>
                <w:szCs w:val="18"/>
              </w:rPr>
            </w:pPr>
            <w:r>
              <w:rPr>
                <w:rStyle w:val="a4"/>
                <w:rFonts w:ascii="&amp;quot" w:hAnsi="&amp;quot"/>
                <w:color w:val="555555"/>
                <w:sz w:val="18"/>
                <w:szCs w:val="18"/>
              </w:rPr>
              <w:t>Метод сделок</w:t>
            </w:r>
            <w:r>
              <w:rPr>
                <w:rFonts w:ascii="&amp;quot" w:hAnsi="&amp;quot"/>
                <w:color w:val="000000"/>
                <w:sz w:val="18"/>
                <w:szCs w:val="18"/>
              </w:rPr>
              <w:t xml:space="preserve"> - это метод оценки стоимости предприятия (бизнеса) при сравнительном подходе. Основан на использовании в качестве информационной базы реальных рыночных цен купли-продажи контрольных пакетов либо 100%-ного пакета акций предприятий (компаний), сходных с оцениваемым.</w:t>
            </w:r>
          </w:p>
          <w:p w:rsidR="00EB025A" w:rsidRDefault="00EB025A" w:rsidP="006A2D16">
            <w:pPr>
              <w:pStyle w:val="a5"/>
              <w:spacing w:before="0" w:beforeAutospacing="0" w:after="0" w:afterAutospacing="0"/>
              <w:ind w:firstLine="450"/>
              <w:rPr>
                <w:rFonts w:ascii="&amp;quot" w:hAnsi="&amp;quot"/>
                <w:color w:val="000000"/>
                <w:sz w:val="18"/>
                <w:szCs w:val="18"/>
              </w:rPr>
            </w:pPr>
            <w:r>
              <w:rPr>
                <w:rFonts w:ascii="&amp;quot" w:hAnsi="&amp;quot"/>
                <w:color w:val="000000"/>
                <w:sz w:val="18"/>
                <w:szCs w:val="18"/>
              </w:rPr>
              <w:t xml:space="preserve">Метод определяет стоимость оцениваемой доли акционерного капитала с учетом премии за контроль. Метод сделок целесообразнее использовать в том случае, если объект оценки - весь бизнес или контрольный пакет. </w:t>
            </w:r>
          </w:p>
          <w:p w:rsidR="00EB025A" w:rsidRDefault="00EB025A" w:rsidP="006A2D16">
            <w:pPr>
              <w:pStyle w:val="a5"/>
              <w:spacing w:before="0" w:beforeAutospacing="0" w:after="0" w:afterAutospacing="0"/>
              <w:ind w:firstLine="450"/>
              <w:rPr>
                <w:rFonts w:ascii="&amp;quot" w:hAnsi="&amp;quot"/>
                <w:color w:val="000000"/>
                <w:sz w:val="18"/>
                <w:szCs w:val="18"/>
              </w:rPr>
            </w:pPr>
            <w:r>
              <w:rPr>
                <w:rFonts w:ascii="&amp;quot" w:hAnsi="&amp;quot"/>
                <w:color w:val="000000"/>
                <w:sz w:val="18"/>
                <w:szCs w:val="18"/>
              </w:rPr>
              <w:t xml:space="preserve">Оценка стоимости бизнеса методом сделок включает последовательность выполнения работ. </w:t>
            </w:r>
          </w:p>
          <w:p w:rsidR="00EB025A" w:rsidRDefault="00EB025A" w:rsidP="006A2D16">
            <w:pPr>
              <w:pStyle w:val="a5"/>
              <w:spacing w:before="0" w:beforeAutospacing="0" w:after="0" w:afterAutospacing="0"/>
              <w:ind w:firstLine="450"/>
              <w:rPr>
                <w:rFonts w:ascii="&amp;quot" w:hAnsi="&amp;quot"/>
                <w:color w:val="000000"/>
                <w:sz w:val="18"/>
                <w:szCs w:val="18"/>
              </w:rPr>
            </w:pPr>
            <w:r>
              <w:rPr>
                <w:rStyle w:val="a4"/>
                <w:rFonts w:ascii="&amp;quot" w:hAnsi="&amp;quot"/>
                <w:color w:val="555555"/>
                <w:sz w:val="18"/>
                <w:szCs w:val="18"/>
              </w:rPr>
              <w:t>1. Оценщик отбирает компании, относящиеся к той же отрасли, что и оцениваемая,</w:t>
            </w:r>
            <w:r>
              <w:rPr>
                <w:rFonts w:ascii="&amp;quot" w:hAnsi="&amp;quot"/>
                <w:color w:val="000000"/>
                <w:sz w:val="18"/>
                <w:szCs w:val="18"/>
              </w:rPr>
              <w:t xml:space="preserve"> по которым имеется достоверная информация о рыночной цене их акционерного капитала. Затем по отобранным компаниям собирают дополнительные сведения об их финансовом и хозяйственном состоянии и проводят финансовый анализ оцениваемой компании и ее аналогов.</w:t>
            </w:r>
          </w:p>
          <w:p w:rsidR="00EB025A" w:rsidRDefault="00EB025A" w:rsidP="006A2D16">
            <w:pPr>
              <w:pStyle w:val="a5"/>
              <w:spacing w:before="0" w:beforeAutospacing="0" w:after="0" w:afterAutospacing="0"/>
              <w:ind w:firstLine="450"/>
              <w:rPr>
                <w:rFonts w:ascii="&amp;quot" w:hAnsi="&amp;quot"/>
                <w:color w:val="000000"/>
                <w:sz w:val="18"/>
                <w:szCs w:val="18"/>
              </w:rPr>
            </w:pPr>
            <w:r>
              <w:rPr>
                <w:rFonts w:ascii="&amp;quot" w:hAnsi="&amp;quot"/>
                <w:color w:val="000000"/>
                <w:sz w:val="18"/>
                <w:szCs w:val="18"/>
              </w:rPr>
              <w:t xml:space="preserve">По результатам финансового анализа принимают решение о степени сходства аналогов с оцениваемой компанией и определяют ее рейтинг. </w:t>
            </w:r>
          </w:p>
          <w:p w:rsidR="00EB025A" w:rsidRDefault="00EB025A" w:rsidP="006A2D16">
            <w:pPr>
              <w:pStyle w:val="a5"/>
              <w:spacing w:before="0" w:beforeAutospacing="0" w:after="0" w:afterAutospacing="0"/>
              <w:ind w:firstLine="450"/>
              <w:rPr>
                <w:rFonts w:ascii="&amp;quot" w:hAnsi="&amp;quot"/>
                <w:color w:val="000000"/>
                <w:sz w:val="18"/>
                <w:szCs w:val="18"/>
              </w:rPr>
            </w:pPr>
            <w:r>
              <w:rPr>
                <w:rStyle w:val="a4"/>
                <w:rFonts w:ascii="&amp;quot" w:hAnsi="&amp;quot"/>
                <w:color w:val="555555"/>
                <w:sz w:val="18"/>
                <w:szCs w:val="18"/>
              </w:rPr>
              <w:t>2. Рассчитывают оценочные мультипликаторы.</w:t>
            </w:r>
            <w:r>
              <w:rPr>
                <w:rFonts w:ascii="&amp;quot" w:hAnsi="&amp;quot"/>
                <w:color w:val="000000"/>
                <w:sz w:val="18"/>
                <w:szCs w:val="18"/>
              </w:rPr>
              <w:t xml:space="preserve"> Оценочный мультипликатор (коэффициент, показывающий отношение рыночной цены акционерного капитала или его доли к финансовому показателю, отражающему </w:t>
            </w:r>
            <w:hyperlink r:id="rId30" w:history="1">
              <w:r>
                <w:rPr>
                  <w:rStyle w:val="a6"/>
                  <w:rFonts w:ascii="&amp;quot" w:hAnsi="&amp;quot"/>
                  <w:color w:val="AF0A0A"/>
                  <w:sz w:val="18"/>
                  <w:szCs w:val="18"/>
                </w:rPr>
                <w:t>доходность</w:t>
              </w:r>
            </w:hyperlink>
            <w:r>
              <w:rPr>
                <w:rFonts w:ascii="&amp;quot" w:hAnsi="&amp;quot"/>
                <w:color w:val="000000"/>
                <w:sz w:val="18"/>
                <w:szCs w:val="18"/>
              </w:rPr>
              <w:t xml:space="preserve"> компании) рассчитывается по аналогам, и применяется как множитель при аналогичном финансовом показателе оцениваемой компании. Например:</w:t>
            </w:r>
          </w:p>
          <w:p w:rsidR="00EB025A" w:rsidRDefault="00EB025A" w:rsidP="006A2D16">
            <w:pPr>
              <w:numPr>
                <w:ilvl w:val="0"/>
                <w:numId w:val="2"/>
              </w:numPr>
              <w:ind w:left="900" w:right="900"/>
              <w:rPr>
                <w:rFonts w:ascii="&amp;quot" w:hAnsi="&amp;quot"/>
                <w:color w:val="000000"/>
                <w:sz w:val="18"/>
                <w:szCs w:val="18"/>
              </w:rPr>
            </w:pPr>
            <w:r>
              <w:rPr>
                <w:rFonts w:ascii="&amp;quot" w:hAnsi="&amp;quot"/>
                <w:color w:val="000000"/>
                <w:sz w:val="18"/>
                <w:szCs w:val="18"/>
              </w:rPr>
              <w:t xml:space="preserve">рыночная цена аналогичной компании составляет 3000, </w:t>
            </w:r>
            <w:hyperlink r:id="rId31" w:history="1">
              <w:r>
                <w:rPr>
                  <w:rStyle w:val="a6"/>
                  <w:rFonts w:ascii="&amp;quot" w:hAnsi="&amp;quot"/>
                  <w:color w:val="AF0A0A"/>
                  <w:sz w:val="18"/>
                  <w:szCs w:val="18"/>
                </w:rPr>
                <w:t>чистая прибыль</w:t>
              </w:r>
            </w:hyperlink>
            <w:r>
              <w:rPr>
                <w:rFonts w:ascii="&amp;quot" w:hAnsi="&amp;quot"/>
                <w:color w:val="000000"/>
                <w:sz w:val="18"/>
                <w:szCs w:val="18"/>
              </w:rPr>
              <w:t xml:space="preserve"> – 300;</w:t>
            </w:r>
          </w:p>
          <w:p w:rsidR="00EB025A" w:rsidRDefault="00EB025A" w:rsidP="006A2D16">
            <w:pPr>
              <w:numPr>
                <w:ilvl w:val="0"/>
                <w:numId w:val="2"/>
              </w:numPr>
              <w:ind w:left="900" w:right="900"/>
              <w:rPr>
                <w:rFonts w:ascii="&amp;quot" w:hAnsi="&amp;quot"/>
                <w:color w:val="000000"/>
                <w:sz w:val="18"/>
                <w:szCs w:val="18"/>
              </w:rPr>
            </w:pPr>
            <w:r>
              <w:rPr>
                <w:rFonts w:ascii="&amp;quot" w:hAnsi="&amp;quot"/>
                <w:color w:val="000000"/>
                <w:sz w:val="18"/>
                <w:szCs w:val="18"/>
              </w:rPr>
              <w:t>тогда оценочный мультипликатор равен 3000 : 300 = 10;</w:t>
            </w:r>
          </w:p>
          <w:p w:rsidR="00EB025A" w:rsidRDefault="00EB025A" w:rsidP="006A2D16">
            <w:pPr>
              <w:numPr>
                <w:ilvl w:val="0"/>
                <w:numId w:val="2"/>
              </w:numPr>
              <w:ind w:left="900" w:right="900"/>
              <w:rPr>
                <w:rFonts w:ascii="&amp;quot" w:hAnsi="&amp;quot"/>
                <w:color w:val="000000"/>
                <w:sz w:val="18"/>
                <w:szCs w:val="18"/>
              </w:rPr>
            </w:pPr>
            <w:r>
              <w:rPr>
                <w:rFonts w:ascii="&amp;quot" w:hAnsi="&amp;quot"/>
                <w:color w:val="000000"/>
                <w:sz w:val="18"/>
                <w:szCs w:val="18"/>
              </w:rPr>
              <w:t>если прибыль оцениваемой компании равна 250, то ее расчетная рыночная стоимость будет 250 * 10 = 2500.</w:t>
            </w:r>
          </w:p>
          <w:p w:rsidR="00EB025A" w:rsidRDefault="00EB025A" w:rsidP="006A2D16">
            <w:pPr>
              <w:pStyle w:val="a5"/>
              <w:spacing w:before="0" w:beforeAutospacing="0" w:after="0" w:afterAutospacing="0"/>
              <w:ind w:firstLine="450"/>
              <w:rPr>
                <w:rFonts w:ascii="&amp;quot" w:hAnsi="&amp;quot"/>
                <w:color w:val="000000"/>
                <w:sz w:val="18"/>
                <w:szCs w:val="18"/>
              </w:rPr>
            </w:pPr>
            <w:r>
              <w:rPr>
                <w:rFonts w:ascii="&amp;quot" w:hAnsi="&amp;quot"/>
                <w:color w:val="000000"/>
                <w:sz w:val="18"/>
                <w:szCs w:val="18"/>
              </w:rPr>
              <w:t>Сложный момент этого этапа – выбор величины мультипликатора, которую следует применить к оцениваемой компании, так как диапазон значений может быть широким. Основание для выбора - результаты финансового анализа, отражающие место оцениваемой компании среди аналогов.</w:t>
            </w:r>
          </w:p>
          <w:p w:rsidR="00EB025A" w:rsidRDefault="00EB025A" w:rsidP="006A2D16">
            <w:pPr>
              <w:pStyle w:val="a5"/>
              <w:spacing w:before="0" w:beforeAutospacing="0" w:after="0" w:afterAutospacing="0"/>
              <w:ind w:firstLine="450"/>
              <w:rPr>
                <w:rFonts w:ascii="&amp;quot" w:hAnsi="&amp;quot"/>
                <w:color w:val="000000"/>
                <w:sz w:val="18"/>
                <w:szCs w:val="18"/>
              </w:rPr>
            </w:pPr>
            <w:r>
              <w:rPr>
                <w:rStyle w:val="a4"/>
                <w:rFonts w:ascii="&amp;quot" w:hAnsi="&amp;quot"/>
                <w:color w:val="555555"/>
                <w:sz w:val="18"/>
                <w:szCs w:val="18"/>
              </w:rPr>
              <w:t>3. Оценщик рассчитывает итоговую величину стоимости.</w:t>
            </w:r>
            <w:r>
              <w:rPr>
                <w:rFonts w:ascii="&amp;quot" w:hAnsi="&amp;quot"/>
                <w:color w:val="000000"/>
                <w:sz w:val="18"/>
                <w:szCs w:val="18"/>
              </w:rPr>
              <w:t xml:space="preserve"> Результаты оценки, полученной при использовании различных типов мультипликаторов, анализируют по степени достоверности, по количеству и обоснованности предварительных корректировок, по их значимости для конкретного оцениваемого объекта. </w:t>
            </w:r>
          </w:p>
          <w:p w:rsidR="00EB025A" w:rsidRDefault="00EB025A" w:rsidP="006A2D16">
            <w:pPr>
              <w:pStyle w:val="a5"/>
              <w:spacing w:before="0" w:beforeAutospacing="0" w:after="0" w:afterAutospacing="0"/>
              <w:ind w:firstLine="450"/>
              <w:rPr>
                <w:rFonts w:ascii="&amp;quot" w:hAnsi="&amp;quot"/>
                <w:color w:val="000000"/>
                <w:sz w:val="18"/>
                <w:szCs w:val="18"/>
              </w:rPr>
            </w:pPr>
            <w:r>
              <w:rPr>
                <w:rFonts w:ascii="&amp;quot" w:hAnsi="&amp;quot"/>
                <w:color w:val="000000"/>
                <w:sz w:val="18"/>
                <w:szCs w:val="18"/>
              </w:rPr>
              <w:t xml:space="preserve">Итоговую величину стоимости исчисляют как средневзвешенную величину предварительных результатов, с итоговыми корректировками, такими как поправка на наличие нефункционирующих активов, недостаток собств. оборотного капитала и др. </w:t>
            </w:r>
          </w:p>
          <w:p w:rsidR="00EB025A" w:rsidRDefault="00EB025A" w:rsidP="006A2D16">
            <w:pPr>
              <w:pStyle w:val="a5"/>
              <w:spacing w:before="0" w:beforeAutospacing="0" w:after="0" w:afterAutospacing="0"/>
              <w:ind w:firstLine="450"/>
              <w:rPr>
                <w:rFonts w:ascii="&amp;quot" w:hAnsi="&amp;quot"/>
                <w:color w:val="000000"/>
                <w:sz w:val="18"/>
                <w:szCs w:val="18"/>
              </w:rPr>
            </w:pPr>
            <w:r>
              <w:rPr>
                <w:rFonts w:ascii="&amp;quot" w:hAnsi="&amp;quot"/>
                <w:color w:val="000000"/>
                <w:sz w:val="18"/>
                <w:szCs w:val="18"/>
              </w:rPr>
              <w:t>Величина стоимости, найденная по методу сделок, сопоставима с результатами, полученными при использовании методов, свойственных доходному подходу и затратному подходу к оценке стоимости бизнеса.</w:t>
            </w:r>
          </w:p>
          <w:p w:rsidR="00EB025A" w:rsidRDefault="00EB025A" w:rsidP="006A2D16">
            <w:pPr>
              <w:jc w:val="center"/>
            </w:pPr>
          </w:p>
        </w:tc>
      </w:tr>
      <w:tr w:rsidR="00EB025A" w:rsidTr="006A2D16">
        <w:tc>
          <w:tcPr>
            <w:tcW w:w="567" w:type="dxa"/>
          </w:tcPr>
          <w:p w:rsidR="00EB025A" w:rsidRPr="0079773E" w:rsidRDefault="00EB025A" w:rsidP="006A2D16">
            <w:pPr>
              <w:jc w:val="center"/>
              <w:rPr>
                <w:lang w:val="en-US"/>
              </w:rPr>
            </w:pPr>
            <w:r>
              <w:rPr>
                <w:lang w:val="en-US"/>
              </w:rPr>
              <w:t>22</w:t>
            </w:r>
          </w:p>
        </w:tc>
        <w:tc>
          <w:tcPr>
            <w:tcW w:w="1843" w:type="dxa"/>
          </w:tcPr>
          <w:p w:rsidR="00EB025A" w:rsidRDefault="00EB025A" w:rsidP="006A2D16">
            <w:pPr>
              <w:jc w:val="center"/>
            </w:pPr>
            <w:r>
              <w:t>Метод отраслевых коэффициентов</w:t>
            </w:r>
          </w:p>
        </w:tc>
        <w:tc>
          <w:tcPr>
            <w:tcW w:w="1418" w:type="dxa"/>
          </w:tcPr>
          <w:p w:rsidR="00EB025A" w:rsidRDefault="00EB025A" w:rsidP="006A2D16">
            <w:pPr>
              <w:jc w:val="center"/>
            </w:pPr>
            <w:r>
              <w:t>Сравнительный</w:t>
            </w:r>
          </w:p>
        </w:tc>
        <w:tc>
          <w:tcPr>
            <w:tcW w:w="6662" w:type="dxa"/>
          </w:tcPr>
          <w:p w:rsidR="00EB025A" w:rsidRDefault="00EB025A" w:rsidP="006A2D16">
            <w:r>
              <w:rPr>
                <w:rFonts w:ascii="Arial" w:hAnsi="Arial" w:cs="Arial"/>
                <w:sz w:val="19"/>
                <w:szCs w:val="19"/>
              </w:rPr>
              <w:t xml:space="preserve">Определение рыночной стоимости предприятия методом отраслевых коэффициентов (ценовых мультипликаторов) основано на информации о реально состоявшихся продажах предприятий и выявлении соответствующих ценовых мультипликаторов. </w:t>
            </w:r>
          </w:p>
          <w:p w:rsidR="00EB025A" w:rsidRDefault="00EB025A" w:rsidP="006A2D16">
            <w:pPr>
              <w:pStyle w:val="a5"/>
              <w:spacing w:before="0" w:beforeAutospacing="0" w:after="96" w:afterAutospacing="0" w:line="288" w:lineRule="atLeast"/>
              <w:ind w:firstLine="204"/>
              <w:jc w:val="both"/>
              <w:textAlignment w:val="baseline"/>
              <w:rPr>
                <w:rFonts w:ascii="&amp;quot" w:hAnsi="&amp;quot"/>
                <w:sz w:val="19"/>
                <w:szCs w:val="19"/>
              </w:rPr>
            </w:pPr>
            <w:r>
              <w:rPr>
                <w:rFonts w:ascii="&amp;quot" w:hAnsi="&amp;quot"/>
                <w:sz w:val="19"/>
                <w:szCs w:val="19"/>
              </w:rPr>
              <w:t xml:space="preserve">Ценовой мультипликатор - это коэффициент, показывающий соотношение между рыночной целой компании или выпущенных ею акций и результатами производственно-хозяйственной деятельности компании. </w:t>
            </w:r>
          </w:p>
          <w:p w:rsidR="00EB025A" w:rsidRDefault="00EB025A" w:rsidP="006A2D16">
            <w:pPr>
              <w:pStyle w:val="a5"/>
              <w:spacing w:line="264" w:lineRule="atLeast"/>
              <w:jc w:val="both"/>
              <w:rPr>
                <w:rFonts w:ascii="&amp;quot" w:hAnsi="&amp;quot"/>
                <w:color w:val="000000"/>
                <w:sz w:val="19"/>
                <w:szCs w:val="19"/>
              </w:rPr>
            </w:pPr>
            <w:r>
              <w:rPr>
                <w:rFonts w:ascii="&amp;quot" w:hAnsi="&amp;quot"/>
                <w:color w:val="000000"/>
                <w:sz w:val="19"/>
                <w:szCs w:val="19"/>
              </w:rPr>
              <w:t xml:space="preserve">Метод отраслевых коэффициентов называют также методом отраслевых соотношений или правилом «золотого сечения». Этот метод предполагает наличие отраслевых, достаточно стабильных, мультипликаторов. В условиях развитой экономики данные о специальных соотношениях для различных отраслей аккумулируются в торговых ассоциациях, непосредственно у владельцев предприятий, они регулярно публикуются в специальных изданиях. </w:t>
            </w:r>
          </w:p>
          <w:p w:rsidR="00EB025A" w:rsidRDefault="00EB025A" w:rsidP="006A2D16">
            <w:pPr>
              <w:pStyle w:val="a5"/>
              <w:spacing w:line="264" w:lineRule="atLeast"/>
              <w:jc w:val="both"/>
              <w:rPr>
                <w:rFonts w:ascii="&amp;quot" w:hAnsi="&amp;quot"/>
                <w:color w:val="000000"/>
                <w:sz w:val="19"/>
                <w:szCs w:val="19"/>
              </w:rPr>
            </w:pPr>
            <w:r>
              <w:rPr>
                <w:rFonts w:ascii="&amp;quot" w:hAnsi="&amp;quot"/>
                <w:color w:val="000000"/>
                <w:sz w:val="19"/>
                <w:szCs w:val="19"/>
              </w:rPr>
              <w:t>Суть метода отраслевых коэффициентов заключается в том, что на основе анализа практики продаж бизнеса в той или иной отрасли выводится определенная зависимость между ценой продажи и определенными финансовыми параметрами. Этот метод в основном используется для оценки малых предприятий и носит вспомогательный характер. В результате статистического обобщения опыта западных оценочных фирм (в отечественной практике такой опыт практически отсутствует) были разработаны довольно простые формулы определения стоимости оцениваемого предприятия.</w:t>
            </w:r>
          </w:p>
          <w:p w:rsidR="00EB025A" w:rsidRDefault="00EB025A" w:rsidP="006A2D16">
            <w:pPr>
              <w:jc w:val="center"/>
            </w:pPr>
            <w:r w:rsidRPr="0027690F">
              <w:rPr>
                <w:sz w:val="24"/>
                <w:szCs w:val="24"/>
              </w:rPr>
              <w:object w:dxaOrig="10608" w:dyaOrig="6948">
                <v:shape id="_x0000_i1037" type="#_x0000_t75" style="width:322.2pt;height:210.6pt" o:ole="">
                  <v:imagedata r:id="rId32" o:title=""/>
                </v:shape>
                <o:OLEObject Type="Embed" ProgID="PBrush" ShapeID="_x0000_i1037" DrawAspect="Content" ObjectID="_1616425808" r:id="rId33"/>
              </w:object>
            </w:r>
          </w:p>
        </w:tc>
      </w:tr>
    </w:tbl>
    <w:p w:rsidR="00AE236D" w:rsidRDefault="00AE236D"/>
    <w:sectPr w:rsidR="00AE236D" w:rsidSect="00AE236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mp;quo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2579D9"/>
    <w:multiLevelType w:val="multilevel"/>
    <w:tmpl w:val="87AA1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0066C90"/>
    <w:multiLevelType w:val="multilevel"/>
    <w:tmpl w:val="50FAF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savePreviewPicture/>
  <w:compat/>
  <w:rsids>
    <w:rsidRoot w:val="00EB025A"/>
    <w:rsid w:val="00AE236D"/>
    <w:rsid w:val="00EB025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025A"/>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B02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Strong"/>
    <w:basedOn w:val="a0"/>
    <w:uiPriority w:val="22"/>
    <w:qFormat/>
    <w:rsid w:val="00EB025A"/>
    <w:rPr>
      <w:b/>
      <w:bCs/>
    </w:rPr>
  </w:style>
  <w:style w:type="paragraph" w:styleId="a5">
    <w:name w:val="Normal (Web)"/>
    <w:basedOn w:val="a"/>
    <w:uiPriority w:val="99"/>
    <w:unhideWhenUsed/>
    <w:rsid w:val="00EB025A"/>
    <w:pPr>
      <w:spacing w:before="100" w:beforeAutospacing="1" w:after="100" w:afterAutospacing="1"/>
    </w:pPr>
  </w:style>
  <w:style w:type="character" w:styleId="a6">
    <w:name w:val="Hyperlink"/>
    <w:basedOn w:val="a0"/>
    <w:uiPriority w:val="99"/>
    <w:semiHidden/>
    <w:unhideWhenUsed/>
    <w:rsid w:val="00EB025A"/>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hyperlink" Target="http://utmagazine.ru/posts/7604-reinvestirovanie" TargetMode="External"/><Relationship Id="rId18" Type="http://schemas.openxmlformats.org/officeDocument/2006/relationships/image" Target="media/image7.png"/><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oleObject" Target="embeddings/oleObject8.bin"/><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oleObject" Target="embeddings/oleObject4.bin"/><Relationship Id="rId17" Type="http://schemas.openxmlformats.org/officeDocument/2006/relationships/oleObject" Target="embeddings/oleObject6.bin"/><Relationship Id="rId25" Type="http://schemas.openxmlformats.org/officeDocument/2006/relationships/oleObject" Target="embeddings/oleObject10.bin"/><Relationship Id="rId33" Type="http://schemas.openxmlformats.org/officeDocument/2006/relationships/oleObject" Target="embeddings/oleObject13.bin"/><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oleObject" Target="embeddings/oleObject12.bin"/><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png"/><Relationship Id="rId24" Type="http://schemas.openxmlformats.org/officeDocument/2006/relationships/image" Target="media/image10.png"/><Relationship Id="rId32" Type="http://schemas.openxmlformats.org/officeDocument/2006/relationships/image" Target="media/image13.png"/><Relationship Id="rId5" Type="http://schemas.openxmlformats.org/officeDocument/2006/relationships/image" Target="media/image1.png"/><Relationship Id="rId15" Type="http://schemas.openxmlformats.org/officeDocument/2006/relationships/oleObject" Target="embeddings/oleObject5.bin"/><Relationship Id="rId23" Type="http://schemas.openxmlformats.org/officeDocument/2006/relationships/oleObject" Target="embeddings/oleObject9.bin"/><Relationship Id="rId28" Type="http://schemas.openxmlformats.org/officeDocument/2006/relationships/image" Target="media/image12.png"/><Relationship Id="rId10" Type="http://schemas.openxmlformats.org/officeDocument/2006/relationships/oleObject" Target="embeddings/oleObject3.bin"/><Relationship Id="rId19" Type="http://schemas.openxmlformats.org/officeDocument/2006/relationships/oleObject" Target="embeddings/oleObject7.bin"/><Relationship Id="rId31" Type="http://schemas.openxmlformats.org/officeDocument/2006/relationships/hyperlink" Target="http://1-fin.ru/?id=281&amp;t=701"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oleObject" Target="embeddings/oleObject11.bin"/><Relationship Id="rId30" Type="http://schemas.openxmlformats.org/officeDocument/2006/relationships/hyperlink" Target="http://1-fin.ru/?id=281&amp;t=897" TargetMode="Externa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1549</Words>
  <Characters>8835</Characters>
  <Application>Microsoft Office Word</Application>
  <DocSecurity>0</DocSecurity>
  <Lines>73</Lines>
  <Paragraphs>20</Paragraphs>
  <ScaleCrop>false</ScaleCrop>
  <Company>Microsoft</Company>
  <LinksUpToDate>false</LinksUpToDate>
  <CharactersWithSpaces>10364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2</cp:revision>
  <dcterms:created xsi:type="dcterms:W3CDTF">2019-04-10T15:22:00Z</dcterms:created>
  <dcterms:modified xsi:type="dcterms:W3CDTF">2019-04-10T15:22:00Z</dcterms:modified>
</cp:coreProperties>
</file>